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C7EE" w14:textId="77777777" w:rsidR="00F75F78" w:rsidRDefault="00000000">
      <w:pPr>
        <w:jc w:val="center"/>
        <w:rPr>
          <w:rStyle w:val="title1"/>
          <w:rFonts w:eastAsia="方正小标宋简体"/>
          <w:bCs w:val="0"/>
          <w:color w:val="000000" w:themeColor="text1"/>
          <w:sz w:val="36"/>
          <w:szCs w:val="36"/>
        </w:rPr>
      </w:pPr>
      <w:r>
        <w:rPr>
          <w:rStyle w:val="title1"/>
          <w:rFonts w:eastAsia="方正小标宋简体"/>
          <w:color w:val="000000" w:themeColor="text1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000000" w:themeColor="text1"/>
          <w:sz w:val="32"/>
          <w:szCs w:val="32"/>
        </w:rPr>
        <w:t>（单位提名）</w:t>
      </w:r>
    </w:p>
    <w:p w14:paraId="7A13F8CF" w14:textId="77777777" w:rsidR="00F75F78" w:rsidRDefault="00000000">
      <w:pPr>
        <w:spacing w:line="440" w:lineRule="exac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F75F78" w14:paraId="3C6A4A46" w14:textId="77777777">
        <w:trPr>
          <w:trHeight w:val="647"/>
        </w:trPr>
        <w:tc>
          <w:tcPr>
            <w:tcW w:w="2269" w:type="dxa"/>
            <w:vAlign w:val="center"/>
          </w:tcPr>
          <w:p w14:paraId="6B3D0712" w14:textId="77777777" w:rsidR="00F75F78" w:rsidRDefault="00000000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>
              <w:rPr>
                <w:rStyle w:val="title1"/>
                <w:rFonts w:eastAsia="仿宋_GB2312"/>
                <w:color w:val="000000" w:themeColor="text1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F4530B5" w14:textId="77777777" w:rsidR="00F75F78" w:rsidRDefault="00000000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>
              <w:rPr>
                <w:rStyle w:val="title1"/>
                <w:rFonts w:eastAsia="仿宋_GB2312" w:hint="eastAsia"/>
                <w:color w:val="auto"/>
                <w:szCs w:val="22"/>
              </w:rPr>
              <w:t>领域自适应的智能监管关键技术与应用</w:t>
            </w:r>
          </w:p>
        </w:tc>
      </w:tr>
      <w:tr w:rsidR="00F75F78" w14:paraId="6C6D16CF" w14:textId="77777777">
        <w:trPr>
          <w:trHeight w:val="561"/>
        </w:trPr>
        <w:tc>
          <w:tcPr>
            <w:tcW w:w="2269" w:type="dxa"/>
            <w:vAlign w:val="center"/>
          </w:tcPr>
          <w:p w14:paraId="54B033F3" w14:textId="77777777" w:rsidR="00F75F78" w:rsidRDefault="00000000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>
              <w:rPr>
                <w:rStyle w:val="title1"/>
                <w:rFonts w:eastAsia="仿宋_GB2312"/>
                <w:color w:val="000000" w:themeColor="text1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06C5C6ED" w14:textId="77777777" w:rsidR="00F75F78" w:rsidRDefault="00000000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>
              <w:rPr>
                <w:rStyle w:val="title1"/>
                <w:rFonts w:eastAsia="仿宋_GB2312" w:hint="eastAsia"/>
                <w:color w:val="auto"/>
                <w:szCs w:val="22"/>
              </w:rPr>
              <w:t>一等奖</w:t>
            </w:r>
          </w:p>
        </w:tc>
      </w:tr>
      <w:tr w:rsidR="00F75F78" w14:paraId="6A0B1C8A" w14:textId="77777777">
        <w:trPr>
          <w:trHeight w:val="2461"/>
        </w:trPr>
        <w:tc>
          <w:tcPr>
            <w:tcW w:w="2269" w:type="dxa"/>
            <w:vAlign w:val="center"/>
          </w:tcPr>
          <w:p w14:paraId="3011038D" w14:textId="77777777" w:rsidR="00F75F78" w:rsidRDefault="00000000"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17C217E9" w14:textId="77777777" w:rsidR="00F75F78" w:rsidRDefault="00000000"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CFA9264" w14:textId="1C4EBF24" w:rsidR="00F75F78" w:rsidRDefault="00000000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国家标准：《</w:t>
            </w:r>
            <w:r>
              <w:rPr>
                <w:rFonts w:eastAsia="仿宋_GB2312"/>
                <w:bCs/>
                <w:sz w:val="22"/>
                <w:szCs w:val="22"/>
              </w:rPr>
              <w:t>健康信息学</w:t>
            </w:r>
            <w:r>
              <w:rPr>
                <w:rFonts w:eastAsia="仿宋_GB2312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/>
                <w:bCs/>
                <w:sz w:val="22"/>
                <w:szCs w:val="22"/>
              </w:rPr>
              <w:t>互联网健康服务网络架构</w:t>
            </w:r>
            <w:r>
              <w:rPr>
                <w:rFonts w:eastAsia="仿宋_GB2312" w:hint="eastAsia"/>
                <w:bCs/>
                <w:sz w:val="22"/>
                <w:szCs w:val="22"/>
              </w:rPr>
              <w:t>》，</w:t>
            </w:r>
            <w:r w:rsidR="006F5CF5" w:rsidRPr="006F5CF5">
              <w:rPr>
                <w:rFonts w:eastAsia="仿宋_GB2312"/>
                <w:bCs/>
                <w:sz w:val="22"/>
                <w:szCs w:val="22"/>
              </w:rPr>
              <w:t>GB/Z 103-2026</w:t>
            </w:r>
          </w:p>
          <w:p w14:paraId="33CEEE7B" w14:textId="791C0120" w:rsidR="00F75F78" w:rsidRDefault="00A81DB5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PCT</w:t>
            </w:r>
            <w:r w:rsidR="003427A1">
              <w:rPr>
                <w:rFonts w:eastAsia="仿宋_GB2312" w:hint="eastAsia"/>
                <w:bCs/>
                <w:sz w:val="22"/>
                <w:szCs w:val="22"/>
              </w:rPr>
              <w:t>国际发明</w:t>
            </w:r>
            <w:r>
              <w:rPr>
                <w:rFonts w:eastAsia="仿宋_GB2312" w:hint="eastAsia"/>
                <w:bCs/>
                <w:sz w:val="22"/>
                <w:szCs w:val="22"/>
              </w:rPr>
              <w:t>专利</w:t>
            </w:r>
            <w:r w:rsidR="003427A1">
              <w:rPr>
                <w:rFonts w:eastAsia="仿宋_GB2312" w:hint="eastAsia"/>
                <w:bCs/>
                <w:sz w:val="22"/>
                <w:szCs w:val="22"/>
              </w:rPr>
              <w:t>（美国授权）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：</w:t>
            </w:r>
            <w:r>
              <w:rPr>
                <w:rFonts w:eastAsia="仿宋_GB2312"/>
                <w:bCs/>
                <w:sz w:val="22"/>
                <w:szCs w:val="22"/>
              </w:rPr>
              <w:t>Service packaging method based on web page</w:t>
            </w:r>
            <w:r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/>
                <w:bCs/>
                <w:sz w:val="22"/>
                <w:szCs w:val="22"/>
              </w:rPr>
              <w:t>segmentation and search algorithm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US12050652B2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，浙江大学</w:t>
            </w:r>
          </w:p>
          <w:p w14:paraId="249FAA98" w14:textId="3241158E" w:rsidR="00F75F78" w:rsidRPr="00914D95" w:rsidRDefault="00A81DB5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PCT</w:t>
            </w:r>
            <w:r w:rsidR="003427A1">
              <w:rPr>
                <w:rFonts w:eastAsia="仿宋_GB2312" w:hint="eastAsia"/>
                <w:bCs/>
                <w:sz w:val="22"/>
                <w:szCs w:val="22"/>
              </w:rPr>
              <w:t>国际发明专利（美国授权）</w:t>
            </w:r>
            <w:r w:rsidRPr="00914D95">
              <w:rPr>
                <w:rFonts w:eastAsia="仿宋_GB2312" w:hint="eastAsia"/>
                <w:bCs/>
                <w:sz w:val="22"/>
                <w:szCs w:val="22"/>
              </w:rPr>
              <w:t>：</w:t>
            </w:r>
            <w:r w:rsidRPr="00914D95">
              <w:rPr>
                <w:rFonts w:eastAsia="仿宋_GB2312" w:hint="eastAsia"/>
                <w:bCs/>
                <w:sz w:val="22"/>
                <w:szCs w:val="22"/>
              </w:rPr>
              <w:t>Semantic segmentation method for cross-satellite remote sensing images based on unsupervised bidirectional domain adaptation and fusion</w:t>
            </w:r>
            <w:r w:rsidRPr="00914D95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="00343BEA" w:rsidRPr="00914D95">
              <w:rPr>
                <w:rFonts w:eastAsia="仿宋_GB2312"/>
                <w:bCs/>
                <w:sz w:val="22"/>
                <w:szCs w:val="22"/>
              </w:rPr>
              <w:t>US12423825B2</w:t>
            </w:r>
            <w:r w:rsidRPr="00914D95">
              <w:rPr>
                <w:rFonts w:eastAsia="仿宋_GB2312" w:hint="eastAsia"/>
                <w:bCs/>
                <w:sz w:val="22"/>
                <w:szCs w:val="22"/>
              </w:rPr>
              <w:t>，浙江大学</w:t>
            </w:r>
          </w:p>
          <w:p w14:paraId="1C604EC1" w14:textId="05E4B7CA" w:rsidR="00F75F78" w:rsidRDefault="00A81DB5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PCT</w:t>
            </w:r>
            <w:r w:rsidR="003427A1">
              <w:rPr>
                <w:rFonts w:eastAsia="仿宋_GB2312" w:hint="eastAsia"/>
                <w:bCs/>
                <w:sz w:val="22"/>
                <w:szCs w:val="22"/>
              </w:rPr>
              <w:t>国际发明专利（美国授权）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：</w:t>
            </w:r>
            <w:r>
              <w:rPr>
                <w:rFonts w:eastAsia="仿宋_GB2312"/>
                <w:bCs/>
                <w:sz w:val="22"/>
                <w:szCs w:val="22"/>
              </w:rPr>
              <w:t>Missing medical diagnosis data imputation method and apparatus,</w:t>
            </w:r>
            <w:r w:rsidR="00692F9C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/>
                <w:bCs/>
                <w:sz w:val="22"/>
                <w:szCs w:val="22"/>
              </w:rPr>
              <w:t>electronic device, and medium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US12119114B2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，浙江大学</w:t>
            </w:r>
          </w:p>
          <w:p w14:paraId="3D4B4E48" w14:textId="77777777" w:rsidR="00F75F78" w:rsidRDefault="00000000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学术论文：</w:t>
            </w:r>
            <w:r>
              <w:rPr>
                <w:rFonts w:eastAsia="仿宋_GB2312" w:hint="eastAsia"/>
                <w:bCs/>
                <w:sz w:val="22"/>
                <w:szCs w:val="22"/>
              </w:rPr>
              <w:t>Shen H, Zhao T, Zhu M, et al. Groundvlp: Harnessing zero-shot visual grounding from vision-language pre-training and open-vocabulary object detection[C]//Proceedings of the AAAI Conference on Artificial Intelligence. 2024, 38(5): 4766-4775.</w:t>
            </w:r>
          </w:p>
          <w:p w14:paraId="0D06FBF2" w14:textId="77777777" w:rsidR="00F75F78" w:rsidRDefault="00000000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学术论文：</w:t>
            </w:r>
            <w:r>
              <w:rPr>
                <w:rFonts w:eastAsia="仿宋_GB2312"/>
                <w:bCs/>
                <w:sz w:val="22"/>
                <w:szCs w:val="22"/>
              </w:rPr>
              <w:t>Chen C, Feng X, Li Y, et al. Integration of large language models and federated learning[J]. Patterns, 2024, 5(12).</w:t>
            </w:r>
          </w:p>
          <w:p w14:paraId="5FFC39F2" w14:textId="614D5A23" w:rsidR="00F75F78" w:rsidRDefault="00000000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学术论文：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t>Z</w:t>
            </w:r>
            <w:r w:rsidR="00250965">
              <w:rPr>
                <w:rFonts w:eastAsia="仿宋_GB2312" w:hint="eastAsia"/>
                <w:bCs/>
                <w:sz w:val="22"/>
                <w:szCs w:val="22"/>
              </w:rPr>
              <w:t>hang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t xml:space="preserve"> Z, S</w:t>
            </w:r>
            <w:r w:rsidR="00250965">
              <w:rPr>
                <w:rFonts w:eastAsia="仿宋_GB2312" w:hint="eastAsia"/>
                <w:bCs/>
                <w:sz w:val="22"/>
                <w:szCs w:val="22"/>
              </w:rPr>
              <w:t>hen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t xml:space="preserve"> H, Z</w:t>
            </w:r>
            <w:r w:rsidR="00250965">
              <w:rPr>
                <w:rFonts w:eastAsia="仿宋_GB2312" w:hint="eastAsia"/>
                <w:bCs/>
                <w:sz w:val="22"/>
                <w:szCs w:val="22"/>
              </w:rPr>
              <w:t>hao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t xml:space="preserve"> T, et al. Enhancing ultrahigh resolution remote sensing imagery analysis with ImageRAG: A new framework[J]. IEEE Geoscience and Remote Sensing Magazine, 2025, 13(3): 369-394.</w:t>
            </w:r>
          </w:p>
          <w:p w14:paraId="6A47DA3E" w14:textId="41161992" w:rsidR="00F75F78" w:rsidRDefault="00000000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学术论文：</w:t>
            </w:r>
            <w:r>
              <w:rPr>
                <w:rFonts w:eastAsia="仿宋_GB2312"/>
                <w:bCs/>
                <w:sz w:val="22"/>
                <w:szCs w:val="22"/>
              </w:rPr>
              <w:t xml:space="preserve">Sun Y, Chen M, Zhao T, et al. 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t xml:space="preserve">The self-improvement 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lastRenderedPageBreak/>
              <w:t>paradox: Can language models bootstrap reasoning capabilities without external scaffolding?[C]//</w:t>
            </w:r>
            <w:r w:rsidR="00250965">
              <w:t xml:space="preserve"> 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t>Findings of the Association for Computational Linguistics: ACL 2025</w:t>
            </w:r>
            <w:r w:rsidR="00692F9C">
              <w:rPr>
                <w:rFonts w:eastAsia="仿宋_GB2312" w:hint="eastAsia"/>
                <w:bCs/>
                <w:sz w:val="22"/>
                <w:szCs w:val="22"/>
              </w:rPr>
              <w:t xml:space="preserve">. 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t>2025: 6501-6512</w:t>
            </w:r>
            <w:r>
              <w:rPr>
                <w:rFonts w:eastAsia="仿宋_GB2312"/>
                <w:bCs/>
                <w:sz w:val="22"/>
                <w:szCs w:val="22"/>
              </w:rPr>
              <w:t>.</w:t>
            </w:r>
          </w:p>
          <w:p w14:paraId="0F8485BB" w14:textId="71BE2C11" w:rsidR="00F75F78" w:rsidRPr="00CF69C8" w:rsidRDefault="00CE22E3" w:rsidP="00CF69C8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学术论文：</w:t>
            </w:r>
            <w:r w:rsidRPr="00CF69C8">
              <w:rPr>
                <w:rFonts w:eastAsia="仿宋_GB2312"/>
                <w:bCs/>
                <w:sz w:val="22"/>
                <w:szCs w:val="22"/>
              </w:rPr>
              <w:t xml:space="preserve">Sun Y, Chen M, Zhao T, et al. </w:t>
            </w:r>
            <w:r w:rsidR="00250965" w:rsidRPr="00250965">
              <w:rPr>
                <w:rFonts w:eastAsia="仿宋_GB2312"/>
                <w:bCs/>
                <w:sz w:val="22"/>
                <w:szCs w:val="22"/>
              </w:rPr>
              <w:t>Horae: A domain-agnostic language for automated service regulation[C]//Proceedings of the Thirty-Fourth International Joint Conference on Artificial Intelligence. 2025: 9349-9356</w:t>
            </w:r>
            <w:r w:rsidRPr="00CF69C8">
              <w:rPr>
                <w:rFonts w:eastAsia="仿宋_GB2312"/>
                <w:bCs/>
                <w:sz w:val="22"/>
                <w:szCs w:val="22"/>
              </w:rPr>
              <w:t>.</w:t>
            </w:r>
          </w:p>
          <w:p w14:paraId="3CD88F71" w14:textId="62E2D0B5" w:rsidR="00F75F78" w:rsidRPr="00DA4DA4" w:rsidRDefault="00307F88" w:rsidP="00DA4DA4">
            <w:pPr>
              <w:numPr>
                <w:ilvl w:val="0"/>
                <w:numId w:val="1"/>
              </w:numPr>
              <w:spacing w:after="0" w:line="440" w:lineRule="exact"/>
              <w:jc w:val="left"/>
              <w:rPr>
                <w:rFonts w:eastAsia="仿宋_GB2312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中国发明专利</w:t>
            </w:r>
            <w:r w:rsidRPr="008E3CA2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：</w:t>
            </w:r>
            <w:r w:rsidRPr="00307F8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应用于模型转换的管理方法</w:t>
            </w:r>
            <w:r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、</w:t>
            </w:r>
            <w:r w:rsidRPr="00307F8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系统</w:t>
            </w:r>
            <w:r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、</w:t>
            </w:r>
            <w:r w:rsidRPr="00307F8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装置及电子设备</w:t>
            </w:r>
            <w:r w:rsidR="003427A1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，</w:t>
            </w:r>
            <w:r w:rsidRPr="00307F8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ZL202010682147.9</w:t>
            </w:r>
            <w:r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，</w:t>
            </w:r>
            <w:r w:rsidRPr="008E3CA2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杭州海康威视数字技术股份有限公司</w:t>
            </w:r>
            <w:r w:rsidR="008E3CA2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F75F78" w14:paraId="6D8701E0" w14:textId="7777777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752D085" w14:textId="77777777" w:rsidR="00F75F78" w:rsidRDefault="00000000"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5AC9795" w14:textId="77777777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尹建伟，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1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，教授，浙江大学；</w:t>
            </w:r>
          </w:p>
          <w:p w14:paraId="79401B79" w14:textId="77777777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邓水光，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2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，教授，浙江大学宁波国际科创中心；</w:t>
            </w:r>
          </w:p>
          <w:p w14:paraId="3EB2DAA9" w14:textId="6CFC78F3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王鹏，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3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，高级工程师，</w:t>
            </w:r>
            <w:r>
              <w:rPr>
                <w:rFonts w:eastAsia="仿宋_GB2312"/>
                <w:bCs/>
                <w:sz w:val="22"/>
                <w:szCs w:val="22"/>
              </w:rPr>
              <w:t>杭州海康威视数字技术</w:t>
            </w:r>
            <w:r>
              <w:rPr>
                <w:rFonts w:eastAsia="仿宋_GB2312" w:hint="eastAsia"/>
                <w:bCs/>
                <w:sz w:val="22"/>
                <w:szCs w:val="22"/>
              </w:rPr>
              <w:t>股份</w:t>
            </w:r>
            <w:r>
              <w:rPr>
                <w:rFonts w:eastAsia="仿宋_GB2312"/>
                <w:bCs/>
                <w:sz w:val="22"/>
                <w:szCs w:val="22"/>
              </w:rPr>
              <w:t>有限公司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；</w:t>
            </w:r>
          </w:p>
          <w:p w14:paraId="0CCE3DCD" w14:textId="77777777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方晓明，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4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，高级工程师，恒生电子股份有限公司；</w:t>
            </w:r>
          </w:p>
          <w:p w14:paraId="6D3A7713" w14:textId="0CF7485C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郭婷婷，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5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="00A726CB">
              <w:rPr>
                <w:rFonts w:eastAsia="仿宋_GB2312" w:hint="eastAsia"/>
                <w:bCs/>
                <w:sz w:val="22"/>
                <w:szCs w:val="22"/>
              </w:rPr>
              <w:t>中级工程师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="0001169D" w:rsidRPr="00B66395">
              <w:rPr>
                <w:rFonts w:eastAsia="仿宋_GB2312" w:hint="eastAsia"/>
                <w:bCs/>
                <w:sz w:val="22"/>
                <w:szCs w:val="22"/>
              </w:rPr>
              <w:t>湖畔实验室</w:t>
            </w:r>
            <w:r w:rsidR="0001169D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="0001169D" w:rsidRPr="00B66395">
              <w:rPr>
                <w:rFonts w:eastAsia="仿宋_GB2312" w:hint="eastAsia"/>
                <w:bCs/>
                <w:sz w:val="22"/>
                <w:szCs w:val="22"/>
              </w:rPr>
              <w:t>浙江湖畔数据科学与应用实验室</w:t>
            </w:r>
            <w:r w:rsidR="0001169D">
              <w:rPr>
                <w:rFonts w:eastAsia="仿宋_GB2312" w:hint="eastAsia"/>
                <w:bCs/>
                <w:sz w:val="22"/>
                <w:szCs w:val="22"/>
              </w:rPr>
              <w:t>）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；</w:t>
            </w:r>
          </w:p>
          <w:p w14:paraId="6E7B6A65" w14:textId="2CB8F5F8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陈明帅，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>6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，研究员，浙江大学；</w:t>
            </w:r>
          </w:p>
          <w:p w14:paraId="0FAD9F34" w14:textId="4EC0EFF4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张旭鸿，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>7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，研究员，浙江大学宁波国际科创中心；</w:t>
            </w:r>
          </w:p>
          <w:p w14:paraId="12C140C5" w14:textId="5AC23AB5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陈锦涛，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>8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，研究员，浙江大学宁波国际科创中心；</w:t>
            </w:r>
          </w:p>
          <w:p w14:paraId="1ADE85DC" w14:textId="68530E23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赵新奎，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>9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，研究员，浙江大学；</w:t>
            </w:r>
          </w:p>
          <w:p w14:paraId="65C1F68D" w14:textId="5552537E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吴洋洋，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>10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，研究员，浙江大学滨江研究院；</w:t>
            </w:r>
          </w:p>
          <w:p w14:paraId="5D1C70D0" w14:textId="5259EF80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蔡钰祥，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1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>1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，研究员，浙江大学；</w:t>
            </w:r>
          </w:p>
          <w:p w14:paraId="2720C37D" w14:textId="5F45DC76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陈超超，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1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>2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，研究员，浙江大学；</w:t>
            </w:r>
          </w:p>
          <w:p w14:paraId="5242F392" w14:textId="30DD05C0" w:rsidR="00F75F78" w:rsidRPr="008E3CA2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郑航，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1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>3</w:t>
            </w:r>
            <w:r>
              <w:rPr>
                <w:rFonts w:eastAsia="仿宋_GB2312" w:hint="eastAsia"/>
                <w:bCs/>
                <w:sz w:val="22"/>
                <w:szCs w:val="22"/>
              </w:rPr>
              <w:t>，高级工程师，八维通科技有限公司</w:t>
            </w:r>
            <w:r w:rsidR="006F5CF5">
              <w:rPr>
                <w:rFonts w:eastAsia="仿宋_GB2312" w:hint="eastAsia"/>
                <w:bCs/>
                <w:sz w:val="22"/>
                <w:szCs w:val="22"/>
              </w:rPr>
              <w:t>.</w:t>
            </w:r>
          </w:p>
        </w:tc>
      </w:tr>
      <w:tr w:rsidR="00F75F78" w14:paraId="58BA576B" w14:textId="77777777">
        <w:trPr>
          <w:trHeight w:val="699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F5FE668" w14:textId="77777777" w:rsidR="00F75F78" w:rsidRDefault="00000000">
            <w:pPr>
              <w:spacing w:line="440" w:lineRule="exact"/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1D6CDF6" w14:textId="48187168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1.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bCs/>
                <w:sz w:val="22"/>
                <w:szCs w:val="22"/>
              </w:rPr>
              <w:t>浙江大学</w:t>
            </w:r>
          </w:p>
          <w:p w14:paraId="68A82A82" w14:textId="490E7831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2.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bCs/>
                <w:sz w:val="22"/>
                <w:szCs w:val="22"/>
              </w:rPr>
              <w:t>浙江大学宁波国际科创中心</w:t>
            </w:r>
          </w:p>
          <w:p w14:paraId="1673BCC2" w14:textId="540D5765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lastRenderedPageBreak/>
              <w:t>3.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bCs/>
                <w:sz w:val="22"/>
                <w:szCs w:val="22"/>
              </w:rPr>
              <w:t>恒生电子股份有限公司</w:t>
            </w:r>
          </w:p>
          <w:p w14:paraId="711D17CB" w14:textId="6DE4E664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4.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/>
                <w:bCs/>
                <w:sz w:val="22"/>
                <w:szCs w:val="22"/>
              </w:rPr>
              <w:t>杭州海康威视数字技术</w:t>
            </w:r>
            <w:r>
              <w:rPr>
                <w:rFonts w:eastAsia="仿宋_GB2312" w:hint="eastAsia"/>
                <w:bCs/>
                <w:sz w:val="22"/>
                <w:szCs w:val="22"/>
              </w:rPr>
              <w:t>股份</w:t>
            </w:r>
            <w:r>
              <w:rPr>
                <w:rFonts w:eastAsia="仿宋_GB2312"/>
                <w:bCs/>
                <w:sz w:val="22"/>
                <w:szCs w:val="22"/>
              </w:rPr>
              <w:t>有限公司</w:t>
            </w:r>
          </w:p>
          <w:p w14:paraId="1CD37124" w14:textId="4EED4030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5.</w:t>
            </w:r>
            <w:r w:rsidR="004C1A3C">
              <w:rPr>
                <w:rFonts w:hint="eastAsia"/>
              </w:rPr>
              <w:t xml:space="preserve"> </w:t>
            </w:r>
            <w:r w:rsidR="00B66395" w:rsidRPr="00B66395">
              <w:rPr>
                <w:rFonts w:eastAsia="仿宋_GB2312" w:hint="eastAsia"/>
                <w:bCs/>
                <w:sz w:val="22"/>
                <w:szCs w:val="22"/>
              </w:rPr>
              <w:t>湖畔实验室</w:t>
            </w:r>
            <w:r w:rsidR="00B66395">
              <w:rPr>
                <w:rFonts w:eastAsia="仿宋_GB2312" w:hint="eastAsia"/>
                <w:bCs/>
                <w:sz w:val="22"/>
                <w:szCs w:val="22"/>
              </w:rPr>
              <w:t>（</w:t>
            </w:r>
            <w:r w:rsidR="00B66395" w:rsidRPr="00B66395">
              <w:rPr>
                <w:rFonts w:eastAsia="仿宋_GB2312" w:hint="eastAsia"/>
                <w:bCs/>
                <w:sz w:val="22"/>
                <w:szCs w:val="22"/>
              </w:rPr>
              <w:t>浙江湖畔数据科学与应用实验室</w:t>
            </w:r>
            <w:r w:rsidR="00B66395">
              <w:rPr>
                <w:rFonts w:eastAsia="仿宋_GB2312" w:hint="eastAsia"/>
                <w:bCs/>
                <w:sz w:val="22"/>
                <w:szCs w:val="22"/>
              </w:rPr>
              <w:t>）</w:t>
            </w:r>
          </w:p>
          <w:p w14:paraId="0426C53B" w14:textId="1454114A" w:rsidR="00F75F78" w:rsidRDefault="0000000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6.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bCs/>
                <w:sz w:val="22"/>
                <w:szCs w:val="22"/>
              </w:rPr>
              <w:t>浙江大学滨江研究院</w:t>
            </w:r>
          </w:p>
          <w:p w14:paraId="3EEE5832" w14:textId="7EECAC96" w:rsidR="00F75F78" w:rsidRPr="008E3CA2" w:rsidRDefault="00000000" w:rsidP="008E3CA2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7.</w:t>
            </w:r>
            <w:r w:rsidR="004C1A3C">
              <w:rPr>
                <w:rFonts w:eastAsia="仿宋_GB2312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bCs/>
                <w:sz w:val="22"/>
                <w:szCs w:val="22"/>
              </w:rPr>
              <w:t>八维通科技有限公司</w:t>
            </w:r>
          </w:p>
        </w:tc>
      </w:tr>
      <w:tr w:rsidR="00F75F78" w14:paraId="63A797B1" w14:textId="77777777">
        <w:trPr>
          <w:trHeight w:val="692"/>
        </w:trPr>
        <w:tc>
          <w:tcPr>
            <w:tcW w:w="2269" w:type="dxa"/>
            <w:vAlign w:val="center"/>
          </w:tcPr>
          <w:p w14:paraId="7FB89B3A" w14:textId="77777777" w:rsidR="00F75F78" w:rsidRDefault="00000000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000000" w:themeColor="text1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6237" w:type="dxa"/>
            <w:vAlign w:val="center"/>
          </w:tcPr>
          <w:p w14:paraId="68280DD5" w14:textId="77777777" w:rsidR="00F75F78" w:rsidRDefault="00000000">
            <w:pPr>
              <w:contextualSpacing/>
              <w:jc w:val="center"/>
              <w:rPr>
                <w:rStyle w:val="title1"/>
                <w:b w:val="0"/>
                <w:color w:val="000000" w:themeColor="text1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浙江大学</w:t>
            </w:r>
          </w:p>
        </w:tc>
      </w:tr>
      <w:tr w:rsidR="00F75F78" w14:paraId="2C90F7A3" w14:textId="77777777">
        <w:trPr>
          <w:trHeight w:val="3683"/>
        </w:trPr>
        <w:tc>
          <w:tcPr>
            <w:tcW w:w="2269" w:type="dxa"/>
            <w:vAlign w:val="center"/>
          </w:tcPr>
          <w:p w14:paraId="2F73500C" w14:textId="77777777" w:rsidR="00F75F78" w:rsidRDefault="00000000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000000" w:themeColor="text1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5D2A1AA" w14:textId="75C2006D" w:rsidR="00F75F78" w:rsidRDefault="000B209D" w:rsidP="000B209D">
            <w:pPr>
              <w:contextualSpacing/>
              <w:jc w:val="left"/>
              <w:rPr>
                <w:rStyle w:val="title1"/>
                <w:b w:val="0"/>
                <w:color w:val="000000" w:themeColor="text1"/>
              </w:rPr>
            </w:pPr>
            <w:r w:rsidRPr="000B209D">
              <w:rPr>
                <w:rFonts w:eastAsia="仿宋_GB2312" w:hint="eastAsia"/>
                <w:bCs/>
                <w:sz w:val="22"/>
                <w:szCs w:val="22"/>
              </w:rPr>
              <w:t>监管是保障高质量发展的关键，全领域监管是国家重大战略部署，也是产业重大需求。但支持全领域的智能监管关键技术亟待突破，项目以领域自适应作为技术突破点，在多个国家及省市级项目支持下，分别从监管需求、监管数据、监管模型三个维度进行智能监管技术攻关、平台研制、标准制定、开源开放与示范应用推广等系统性工作。项目自适应智能监管整体技术达到国际先进水平，其中元模型驱动的多模态监管建模语言、支持协同监管的可信服务连接技术等技术达到国际领先水平，使得多个应用场景的监管需求解析性能、监管数据获取效率以及监管模型迁移效率等多项核心指标大幅提升，重塑了监管软件产品构建范式，支撑了全链条全领域监管。项目组发表高水平论文</w:t>
            </w:r>
            <w:r w:rsidRPr="000B209D">
              <w:rPr>
                <w:rFonts w:eastAsia="仿宋_GB2312"/>
                <w:bCs/>
                <w:sz w:val="22"/>
                <w:szCs w:val="22"/>
              </w:rPr>
              <w:t>8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0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余篇，获得</w:t>
            </w:r>
            <w:r w:rsidRPr="000B209D">
              <w:rPr>
                <w:rFonts w:eastAsia="仿宋_GB2312"/>
                <w:bCs/>
                <w:sz w:val="22"/>
                <w:szCs w:val="22"/>
              </w:rPr>
              <w:t>6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项国际期刊和会议的最佳论文奖；牵头发布</w:t>
            </w:r>
            <w:r w:rsidRPr="000B209D">
              <w:rPr>
                <w:rFonts w:eastAsia="仿宋_GB2312"/>
                <w:bCs/>
                <w:sz w:val="22"/>
                <w:szCs w:val="22"/>
              </w:rPr>
              <w:t>2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项国家标准、</w:t>
            </w:r>
            <w:r w:rsidRPr="000B209D">
              <w:rPr>
                <w:rFonts w:eastAsia="仿宋_GB2312"/>
                <w:bCs/>
                <w:sz w:val="22"/>
                <w:szCs w:val="22"/>
              </w:rPr>
              <w:t>3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项行业标准；授权发明专利</w:t>
            </w:r>
            <w:r w:rsidRPr="000B209D">
              <w:rPr>
                <w:rFonts w:eastAsia="仿宋_GB2312"/>
                <w:bCs/>
                <w:sz w:val="22"/>
                <w:szCs w:val="22"/>
              </w:rPr>
              <w:t>7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0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余项，获人工智能学会一等奖、</w:t>
            </w:r>
            <w:r w:rsidRPr="000B209D">
              <w:rPr>
                <w:rFonts w:eastAsia="仿宋_GB2312"/>
                <w:bCs/>
                <w:sz w:val="22"/>
                <w:szCs w:val="22"/>
              </w:rPr>
              <w:t>CCF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科技进步卓越奖和日内瓦国际专利展金奖等多项科技奖励。成果应用于高分遥感、智慧城市、现代金融等重点领域，支撑国网</w:t>
            </w:r>
            <w:r w:rsidRPr="000B209D">
              <w:rPr>
                <w:rFonts w:eastAsia="仿宋_GB2312"/>
                <w:bCs/>
                <w:sz w:val="22"/>
                <w:szCs w:val="22"/>
              </w:rPr>
              <w:t>4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省光伏新能源监管、生态环境监管、券商内审稽核、城市环卫等重要场景的智能监管，取得显著经济效益。项目组多次牵头相关领域国家重要科技规划，牵头制定多个国际及国家标准，组织该领域的多个顶尖国际学术会议，获该领域</w:t>
            </w:r>
            <w:r w:rsidRPr="000B209D">
              <w:rPr>
                <w:rFonts w:eastAsia="仿宋_GB2312"/>
                <w:bCs/>
                <w:sz w:val="22"/>
                <w:szCs w:val="22"/>
              </w:rPr>
              <w:t>IEEE</w:t>
            </w:r>
            <w:r w:rsidRPr="000B209D">
              <w:rPr>
                <w:rFonts w:eastAsia="仿宋_GB2312" w:hint="eastAsia"/>
                <w:bCs/>
                <w:sz w:val="22"/>
                <w:szCs w:val="22"/>
              </w:rPr>
              <w:t>杰出领导力奖。</w:t>
            </w:r>
          </w:p>
        </w:tc>
      </w:tr>
    </w:tbl>
    <w:p w14:paraId="719077EC" w14:textId="77777777" w:rsidR="00F75F78" w:rsidRDefault="00F75F78">
      <w:pPr>
        <w:rPr>
          <w:color w:val="000000" w:themeColor="text1"/>
        </w:rPr>
      </w:pPr>
    </w:p>
    <w:sectPr w:rsidR="00F7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C6D4" w14:textId="77777777" w:rsidR="008A4D63" w:rsidRDefault="008A4D63">
      <w:pPr>
        <w:spacing w:line="240" w:lineRule="auto"/>
      </w:pPr>
      <w:r>
        <w:separator/>
      </w:r>
    </w:p>
  </w:endnote>
  <w:endnote w:type="continuationSeparator" w:id="0">
    <w:p w14:paraId="16422A2B" w14:textId="77777777" w:rsidR="008A4D63" w:rsidRDefault="008A4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8C01" w14:textId="77777777" w:rsidR="008A4D63" w:rsidRDefault="008A4D63">
      <w:pPr>
        <w:spacing w:after="0"/>
      </w:pPr>
      <w:r>
        <w:separator/>
      </w:r>
    </w:p>
  </w:footnote>
  <w:footnote w:type="continuationSeparator" w:id="0">
    <w:p w14:paraId="2B9796FE" w14:textId="77777777" w:rsidR="008A4D63" w:rsidRDefault="008A4D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E5439"/>
    <w:multiLevelType w:val="singleLevel"/>
    <w:tmpl w:val="E5FE5439"/>
    <w:lvl w:ilvl="0">
      <w:start w:val="1"/>
      <w:numFmt w:val="decimal"/>
      <w:suff w:val="space"/>
      <w:lvlText w:val="%1."/>
      <w:lvlJc w:val="left"/>
    </w:lvl>
  </w:abstractNum>
  <w:num w:numId="1" w16cid:durableId="114774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7"/>
    <w:rsid w:val="0001169D"/>
    <w:rsid w:val="000B0C8D"/>
    <w:rsid w:val="000B209D"/>
    <w:rsid w:val="001C1BEE"/>
    <w:rsid w:val="00250965"/>
    <w:rsid w:val="003019D3"/>
    <w:rsid w:val="00307F88"/>
    <w:rsid w:val="003427A1"/>
    <w:rsid w:val="00343BEA"/>
    <w:rsid w:val="00384989"/>
    <w:rsid w:val="003A32B6"/>
    <w:rsid w:val="003D5C90"/>
    <w:rsid w:val="0045185A"/>
    <w:rsid w:val="004B00BE"/>
    <w:rsid w:val="004C16A7"/>
    <w:rsid w:val="004C1A3C"/>
    <w:rsid w:val="00682211"/>
    <w:rsid w:val="00692F9C"/>
    <w:rsid w:val="006E0287"/>
    <w:rsid w:val="006E3EA3"/>
    <w:rsid w:val="006F5CF5"/>
    <w:rsid w:val="007448B7"/>
    <w:rsid w:val="007E5BD3"/>
    <w:rsid w:val="008A4D63"/>
    <w:rsid w:val="008E3CA2"/>
    <w:rsid w:val="008F76E7"/>
    <w:rsid w:val="008F7C4D"/>
    <w:rsid w:val="009061EF"/>
    <w:rsid w:val="00914D95"/>
    <w:rsid w:val="00965015"/>
    <w:rsid w:val="009F3924"/>
    <w:rsid w:val="00A52D6F"/>
    <w:rsid w:val="00A726CB"/>
    <w:rsid w:val="00A81DB5"/>
    <w:rsid w:val="00A85A22"/>
    <w:rsid w:val="00AF4AB6"/>
    <w:rsid w:val="00AF7D06"/>
    <w:rsid w:val="00B66395"/>
    <w:rsid w:val="00B710D6"/>
    <w:rsid w:val="00BB7B2F"/>
    <w:rsid w:val="00CA69C0"/>
    <w:rsid w:val="00CE22E3"/>
    <w:rsid w:val="00CF69C8"/>
    <w:rsid w:val="00D31DFE"/>
    <w:rsid w:val="00D62467"/>
    <w:rsid w:val="00D70648"/>
    <w:rsid w:val="00DA4DA4"/>
    <w:rsid w:val="00E2245B"/>
    <w:rsid w:val="00E3762A"/>
    <w:rsid w:val="00E37BF5"/>
    <w:rsid w:val="00ED2889"/>
    <w:rsid w:val="00F63874"/>
    <w:rsid w:val="00F75F78"/>
    <w:rsid w:val="00F96AC8"/>
    <w:rsid w:val="38EF9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1C5D4"/>
  <w15:docId w15:val="{512B9F07-99F6-834E-8E01-B386DF9B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customStyle="1" w:styleId="13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 w:val="21"/>
      <w:szCs w:val="20"/>
      <w14:ligatures w14:val="none"/>
    </w:rPr>
  </w:style>
  <w:style w:type="character" w:customStyle="1" w:styleId="aa">
    <w:name w:val="批注主题 字符"/>
    <w:basedOn w:val="a4"/>
    <w:link w:val="a9"/>
    <w:uiPriority w:val="99"/>
    <w:semiHidden/>
    <w:rPr>
      <w:rFonts w:ascii="Times New Roman" w:eastAsia="宋体" w:hAnsi="Times New Roman" w:cs="Times New Roman"/>
      <w:b/>
      <w:bCs/>
      <w:sz w:val="21"/>
      <w:szCs w:val="20"/>
      <w14:ligatures w14:val="none"/>
    </w:rPr>
  </w:style>
  <w:style w:type="paragraph" w:styleId="af1">
    <w:name w:val="Revision"/>
    <w:hidden/>
    <w:uiPriority w:val="99"/>
    <w:unhideWhenUsed/>
    <w:rsid w:val="006E0287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1289</Characters>
  <Application>Microsoft Office Word</Application>
  <DocSecurity>0</DocSecurity>
  <Lines>61</Lines>
  <Paragraphs>83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zhi</dc:creator>
  <cp:lastModifiedBy>Microsoft Office User</cp:lastModifiedBy>
  <cp:revision>2</cp:revision>
  <dcterms:created xsi:type="dcterms:W3CDTF">2026-06-12T02:27:00Z</dcterms:created>
  <dcterms:modified xsi:type="dcterms:W3CDTF">2026-06-12T02:27:00Z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FAC56897537FC24CE7E51C6A8EA1BA5F_42</vt:lpwstr>
  </property>
</Properties>
</file>