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4D45" w14:textId="77777777" w:rsidR="00405330" w:rsidRDefault="00A50E09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14:paraId="35515B49" w14:textId="77777777" w:rsidR="00405330" w:rsidRDefault="00A50E09">
      <w:pPr>
        <w:spacing w:line="440" w:lineRule="exact"/>
        <w:rPr>
          <w:rFonts w:eastAsia="仿宋_GB2312"/>
          <w:sz w:val="28"/>
          <w:szCs w:val="24"/>
        </w:rPr>
      </w:pPr>
      <w:r>
        <w:rPr>
          <w:rFonts w:eastAsia="仿宋_GB2312"/>
          <w:sz w:val="28"/>
          <w:szCs w:val="24"/>
        </w:rPr>
        <w:t>提名奖项：自然科学奖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405330" w14:paraId="0DB7968A" w14:textId="77777777">
        <w:trPr>
          <w:trHeight w:val="647"/>
        </w:trPr>
        <w:tc>
          <w:tcPr>
            <w:tcW w:w="2156" w:type="dxa"/>
            <w:vAlign w:val="center"/>
          </w:tcPr>
          <w:p w14:paraId="0D27C5E1" w14:textId="77777777" w:rsidR="00405330" w:rsidRDefault="00A50E09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14:paraId="342FED38" w14:textId="77777777" w:rsidR="00BE04A2" w:rsidRPr="00F60B29" w:rsidRDefault="00BE04A2" w:rsidP="00BE04A2">
            <w:pPr>
              <w:spacing w:beforeLines="50" w:before="156" w:line="360" w:lineRule="exact"/>
              <w:jc w:val="center"/>
              <w:rPr>
                <w:rStyle w:val="title1"/>
                <w:rFonts w:eastAsia="仿宋_GB2312"/>
                <w:color w:val="auto"/>
                <w:sz w:val="28"/>
              </w:rPr>
            </w:pPr>
            <w:r w:rsidRPr="00F60B29">
              <w:rPr>
                <w:rStyle w:val="title1"/>
                <w:rFonts w:eastAsia="仿宋_GB2312" w:hint="eastAsia"/>
                <w:color w:val="auto"/>
                <w:sz w:val="28"/>
              </w:rPr>
              <w:t>面向减污降碳的</w:t>
            </w:r>
          </w:p>
          <w:p w14:paraId="49DF11B8" w14:textId="61FBABE2" w:rsidR="00405330" w:rsidRPr="00F60B29" w:rsidRDefault="00BE04A2" w:rsidP="00F60B29">
            <w:pPr>
              <w:spacing w:beforeLines="50" w:before="156" w:line="360" w:lineRule="exact"/>
              <w:jc w:val="center"/>
              <w:rPr>
                <w:rStyle w:val="title1"/>
                <w:rFonts w:eastAsia="仿宋_GB2312"/>
                <w:color w:val="auto"/>
                <w:sz w:val="28"/>
              </w:rPr>
            </w:pPr>
            <w:r w:rsidRPr="00F60B29">
              <w:rPr>
                <w:rStyle w:val="title1"/>
                <w:rFonts w:eastAsia="仿宋_GB2312" w:hint="eastAsia"/>
                <w:color w:val="auto"/>
                <w:sz w:val="28"/>
              </w:rPr>
              <w:t>低温等离子体多场耦合调控理论与方法</w:t>
            </w:r>
          </w:p>
        </w:tc>
      </w:tr>
      <w:tr w:rsidR="00405330" w14:paraId="5F8BCB80" w14:textId="77777777">
        <w:trPr>
          <w:trHeight w:val="561"/>
        </w:trPr>
        <w:tc>
          <w:tcPr>
            <w:tcW w:w="2156" w:type="dxa"/>
            <w:vAlign w:val="center"/>
          </w:tcPr>
          <w:p w14:paraId="5716E5AD" w14:textId="77777777" w:rsidR="00405330" w:rsidRDefault="00A50E09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14:paraId="24760ADF" w14:textId="77777777" w:rsidR="00405330" w:rsidRDefault="00A50E09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8"/>
              </w:rPr>
              <w:t>一等奖</w:t>
            </w:r>
          </w:p>
        </w:tc>
      </w:tr>
      <w:tr w:rsidR="00405330" w14:paraId="57461F9E" w14:textId="77777777">
        <w:trPr>
          <w:trHeight w:val="2461"/>
        </w:trPr>
        <w:tc>
          <w:tcPr>
            <w:tcW w:w="2156" w:type="dxa"/>
            <w:vAlign w:val="center"/>
          </w:tcPr>
          <w:p w14:paraId="110ADA13" w14:textId="77777777" w:rsidR="00405330" w:rsidRDefault="00A50E09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14:paraId="685CC5F2" w14:textId="77777777" w:rsidR="00405330" w:rsidRDefault="00A50E09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14:paraId="4A22B3D9" w14:textId="77777777" w:rsidR="00405330" w:rsidRDefault="00A50E09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 w:hint="eastAsia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 w14:paraId="305A6AFE" w14:textId="77777777" w:rsidR="00405330" w:rsidRDefault="00A50E09">
            <w:pPr>
              <w:spacing w:line="440" w:lineRule="exact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</w:rPr>
              <w:t>代表性论文目录：</w:t>
            </w:r>
          </w:p>
          <w:p w14:paraId="17C75FFA" w14:textId="734098EB" w:rsidR="00405330" w:rsidRDefault="00A50E09">
            <w:pPr>
              <w:pStyle w:val="aa"/>
              <w:numPr>
                <w:ilvl w:val="0"/>
                <w:numId w:val="1"/>
              </w:numPr>
              <w:spacing w:line="440" w:lineRule="exact"/>
              <w:ind w:firstLineChars="0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</w:rPr>
              <w:t>International Journal of Hydrogen Energy, 2008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年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,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 xml:space="preserve"> 33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卷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,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 xml:space="preserve"> 20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期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, 5545-5553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页</w:t>
            </w:r>
          </w:p>
          <w:p w14:paraId="56B9BB28" w14:textId="103761DD" w:rsidR="00405330" w:rsidRDefault="00A50E09">
            <w:pPr>
              <w:pStyle w:val="aa"/>
              <w:numPr>
                <w:ilvl w:val="0"/>
                <w:numId w:val="1"/>
              </w:numPr>
              <w:spacing w:line="440" w:lineRule="exact"/>
              <w:ind w:firstLineChars="0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</w:rPr>
              <w:t>International Journal of Hydrogen Energy, 2014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年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,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 xml:space="preserve"> 39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卷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,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 xml:space="preserve"> 24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期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, 12620-12635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页</w:t>
            </w:r>
          </w:p>
          <w:p w14:paraId="2E4DD65B" w14:textId="0F53B387" w:rsidR="00405330" w:rsidRDefault="00BE04A2">
            <w:pPr>
              <w:pStyle w:val="aa"/>
              <w:numPr>
                <w:ilvl w:val="0"/>
                <w:numId w:val="1"/>
              </w:numPr>
              <w:spacing w:line="440" w:lineRule="exact"/>
              <w:ind w:firstLineChars="0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</w:rPr>
              <w:t>Ch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emical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 xml:space="preserve"> E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n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gineering Journal</w:t>
            </w:r>
            <w:r w:rsidR="00A50E09">
              <w:rPr>
                <w:rFonts w:eastAsia="仿宋" w:hint="eastAsia"/>
                <w:color w:val="000000" w:themeColor="text1"/>
                <w:sz w:val="24"/>
                <w:szCs w:val="24"/>
              </w:rPr>
              <w:t>,</w:t>
            </w:r>
            <w:r w:rsidR="00A50E09">
              <w:rPr>
                <w:rFonts w:eastAsia="仿宋"/>
                <w:color w:val="000000" w:themeColor="text1"/>
                <w:sz w:val="24"/>
                <w:szCs w:val="24"/>
              </w:rPr>
              <w:t xml:space="preserve"> 20</w:t>
            </w:r>
            <w:r w:rsidR="00641C9F">
              <w:rPr>
                <w:rFonts w:eastAsia="仿宋"/>
                <w:color w:val="000000" w:themeColor="text1"/>
                <w:sz w:val="24"/>
                <w:szCs w:val="24"/>
              </w:rPr>
              <w:t>1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8</w:t>
            </w:r>
            <w:r w:rsidR="00A50E09">
              <w:rPr>
                <w:rFonts w:eastAsia="仿宋"/>
                <w:color w:val="000000" w:themeColor="text1"/>
                <w:sz w:val="24"/>
                <w:szCs w:val="24"/>
              </w:rPr>
              <w:t>年</w:t>
            </w:r>
            <w:r w:rsidR="00A50E09">
              <w:rPr>
                <w:rFonts w:eastAsia="仿宋" w:hint="eastAsia"/>
                <w:color w:val="000000" w:themeColor="text1"/>
                <w:sz w:val="24"/>
                <w:szCs w:val="24"/>
              </w:rPr>
              <w:t>,</w:t>
            </w:r>
            <w:r w:rsidR="00A50E09">
              <w:rPr>
                <w:rFonts w:eastAsia="仿宋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345</w:t>
            </w:r>
            <w:r w:rsidR="00A50E09">
              <w:rPr>
                <w:rFonts w:eastAsia="仿宋"/>
                <w:color w:val="000000" w:themeColor="text1"/>
                <w:sz w:val="24"/>
                <w:szCs w:val="24"/>
              </w:rPr>
              <w:t>卷</w:t>
            </w:r>
            <w:r w:rsidR="00A50E09">
              <w:rPr>
                <w:rFonts w:eastAsia="仿宋" w:hint="eastAsia"/>
                <w:color w:val="000000" w:themeColor="text1"/>
                <w:sz w:val="24"/>
                <w:szCs w:val="24"/>
              </w:rPr>
              <w:t>,</w:t>
            </w:r>
            <w:r w:rsidR="00A50E09">
              <w:rPr>
                <w:rFonts w:eastAsia="仿宋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67-78</w:t>
            </w:r>
            <w:r w:rsidR="00A50E09">
              <w:rPr>
                <w:rFonts w:eastAsia="仿宋" w:hint="eastAsia"/>
                <w:color w:val="000000" w:themeColor="text1"/>
                <w:sz w:val="24"/>
                <w:szCs w:val="24"/>
              </w:rPr>
              <w:t>页</w:t>
            </w:r>
          </w:p>
          <w:p w14:paraId="7B253F51" w14:textId="4811FC4D" w:rsidR="00405330" w:rsidRDefault="00A50E09">
            <w:pPr>
              <w:pStyle w:val="aa"/>
              <w:numPr>
                <w:ilvl w:val="0"/>
                <w:numId w:val="1"/>
              </w:numPr>
              <w:spacing w:line="440" w:lineRule="exact"/>
              <w:ind w:firstLineChars="0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</w:rPr>
              <w:t xml:space="preserve">Fuel, 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2016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年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,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176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卷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,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7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8-85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页</w:t>
            </w:r>
          </w:p>
          <w:p w14:paraId="5EFAF398" w14:textId="191AEDE1" w:rsidR="00405330" w:rsidRDefault="00A50E09">
            <w:pPr>
              <w:pStyle w:val="aa"/>
              <w:numPr>
                <w:ilvl w:val="0"/>
                <w:numId w:val="1"/>
              </w:numPr>
              <w:spacing w:line="440" w:lineRule="exact"/>
              <w:ind w:firstLineChars="0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</w:rPr>
              <w:t>Journal of Hazardous Materials, 2019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年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,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 xml:space="preserve"> 369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卷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,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 xml:space="preserve"> 244-253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页</w:t>
            </w:r>
          </w:p>
          <w:p w14:paraId="5C600115" w14:textId="20B6255B" w:rsidR="00405330" w:rsidRDefault="00BE04A2">
            <w:pPr>
              <w:pStyle w:val="aa"/>
              <w:numPr>
                <w:ilvl w:val="0"/>
                <w:numId w:val="1"/>
              </w:numPr>
              <w:spacing w:line="440" w:lineRule="exact"/>
              <w:ind w:firstLineChars="0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</w:rPr>
              <w:t>Plasma Chemistry and Plasma Processing</w:t>
            </w:r>
            <w:r w:rsidR="00A50E09">
              <w:rPr>
                <w:rFonts w:eastAsia="仿宋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2007</w:t>
            </w:r>
            <w:r w:rsidR="00A50E09">
              <w:rPr>
                <w:rFonts w:eastAsia="仿宋"/>
                <w:color w:val="000000" w:themeColor="text1"/>
                <w:sz w:val="24"/>
                <w:szCs w:val="24"/>
              </w:rPr>
              <w:t>年</w:t>
            </w:r>
            <w:r w:rsidR="00A50E09">
              <w:rPr>
                <w:rFonts w:eastAsia="仿宋" w:hint="eastAsia"/>
                <w:color w:val="000000" w:themeColor="text1"/>
                <w:sz w:val="24"/>
                <w:szCs w:val="24"/>
              </w:rPr>
              <w:t>,</w:t>
            </w:r>
            <w:r w:rsidR="00A50E09">
              <w:rPr>
                <w:rFonts w:eastAsia="仿宋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27</w:t>
            </w:r>
            <w:r w:rsidR="00A50E09">
              <w:rPr>
                <w:rFonts w:eastAsia="仿宋"/>
                <w:color w:val="000000" w:themeColor="text1"/>
                <w:sz w:val="24"/>
                <w:szCs w:val="24"/>
              </w:rPr>
              <w:t>卷</w:t>
            </w:r>
            <w:r w:rsidR="00A50E09">
              <w:rPr>
                <w:rFonts w:eastAsia="仿宋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546-558</w:t>
            </w:r>
            <w:r w:rsidR="00A50E09">
              <w:rPr>
                <w:rFonts w:eastAsia="仿宋"/>
                <w:color w:val="000000" w:themeColor="text1"/>
                <w:sz w:val="24"/>
                <w:szCs w:val="24"/>
              </w:rPr>
              <w:t>页</w:t>
            </w:r>
          </w:p>
          <w:p w14:paraId="6A166DED" w14:textId="7B41C6C2" w:rsidR="00405330" w:rsidRDefault="00BE04A2">
            <w:pPr>
              <w:pStyle w:val="aa"/>
              <w:numPr>
                <w:ilvl w:val="0"/>
                <w:numId w:val="1"/>
              </w:numPr>
              <w:spacing w:line="440" w:lineRule="exact"/>
              <w:ind w:firstLineChars="0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</w:rPr>
              <w:t>Journal of CO</w:t>
            </w:r>
            <w:r w:rsidRPr="00F60B29">
              <w:rPr>
                <w:rFonts w:eastAsia="仿宋"/>
                <w:color w:val="000000" w:themeColor="text1"/>
                <w:sz w:val="24"/>
                <w:szCs w:val="24"/>
                <w:vertAlign w:val="subscript"/>
              </w:rPr>
              <w:t>2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 xml:space="preserve"> Utilization, </w:t>
            </w:r>
            <w:r w:rsidR="00A50E09">
              <w:rPr>
                <w:rFonts w:eastAsia="仿宋"/>
                <w:color w:val="000000" w:themeColor="text1"/>
                <w:sz w:val="24"/>
                <w:szCs w:val="24"/>
              </w:rPr>
              <w:t>201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8</w:t>
            </w:r>
            <w:r w:rsidR="00A50E09">
              <w:rPr>
                <w:rFonts w:eastAsia="仿宋"/>
                <w:color w:val="000000" w:themeColor="text1"/>
                <w:sz w:val="24"/>
                <w:szCs w:val="24"/>
              </w:rPr>
              <w:t>年</w:t>
            </w:r>
            <w:r w:rsidR="00A50E09">
              <w:rPr>
                <w:rFonts w:eastAsia="仿宋" w:hint="eastAsia"/>
                <w:color w:val="000000" w:themeColor="text1"/>
                <w:sz w:val="24"/>
                <w:szCs w:val="24"/>
              </w:rPr>
              <w:t>,</w:t>
            </w:r>
            <w:r w:rsidR="00A50E09">
              <w:rPr>
                <w:rFonts w:eastAsia="仿宋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27</w:t>
            </w:r>
            <w:r w:rsidR="00A50E09">
              <w:rPr>
                <w:rFonts w:eastAsia="仿宋"/>
                <w:color w:val="000000" w:themeColor="text1"/>
                <w:sz w:val="24"/>
                <w:szCs w:val="24"/>
              </w:rPr>
              <w:t>卷</w:t>
            </w:r>
            <w:r w:rsidR="00A50E09">
              <w:rPr>
                <w:rFonts w:eastAsia="仿宋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472-479</w:t>
            </w:r>
            <w:r w:rsidR="00A50E09">
              <w:rPr>
                <w:rFonts w:eastAsia="仿宋" w:hint="eastAsia"/>
                <w:color w:val="000000" w:themeColor="text1"/>
                <w:sz w:val="24"/>
                <w:szCs w:val="24"/>
              </w:rPr>
              <w:t>页</w:t>
            </w:r>
          </w:p>
          <w:p w14:paraId="7983FB21" w14:textId="6FDA6A30" w:rsidR="00405330" w:rsidRDefault="004B4D13">
            <w:pPr>
              <w:pStyle w:val="aa"/>
              <w:numPr>
                <w:ilvl w:val="0"/>
                <w:numId w:val="1"/>
              </w:numPr>
              <w:spacing w:line="440" w:lineRule="exact"/>
              <w:ind w:firstLineChars="0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</w:rPr>
              <w:t>Fuel</w:t>
            </w:r>
            <w:r w:rsidR="00A50E09">
              <w:rPr>
                <w:rFonts w:eastAsia="仿宋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2017</w:t>
            </w:r>
            <w:r w:rsidR="00A50E09">
              <w:rPr>
                <w:rFonts w:eastAsia="仿宋" w:hint="eastAsia"/>
                <w:color w:val="000000" w:themeColor="text1"/>
                <w:sz w:val="24"/>
                <w:szCs w:val="24"/>
              </w:rPr>
              <w:t>年</w:t>
            </w:r>
            <w:r w:rsidR="00A50E09">
              <w:rPr>
                <w:rFonts w:eastAsia="仿宋" w:hint="eastAsia"/>
                <w:color w:val="000000" w:themeColor="text1"/>
                <w:sz w:val="24"/>
                <w:szCs w:val="24"/>
              </w:rPr>
              <w:t>,</w:t>
            </w:r>
            <w:r w:rsidR="00A50E09">
              <w:rPr>
                <w:rFonts w:eastAsia="仿宋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19</w:t>
            </w:r>
            <w:r w:rsidR="00A50E09">
              <w:rPr>
                <w:rFonts w:eastAsia="仿宋"/>
                <w:color w:val="000000" w:themeColor="text1"/>
                <w:sz w:val="24"/>
                <w:szCs w:val="24"/>
              </w:rPr>
              <w:t>9</w:t>
            </w:r>
            <w:r w:rsidR="00A50E09">
              <w:rPr>
                <w:rFonts w:eastAsia="仿宋" w:hint="eastAsia"/>
                <w:color w:val="000000" w:themeColor="text1"/>
                <w:sz w:val="24"/>
                <w:szCs w:val="24"/>
              </w:rPr>
              <w:t>卷</w:t>
            </w:r>
            <w:r w:rsidR="00A50E09">
              <w:rPr>
                <w:rFonts w:eastAsia="仿宋" w:hint="eastAsia"/>
                <w:color w:val="000000" w:themeColor="text1"/>
                <w:sz w:val="24"/>
                <w:szCs w:val="24"/>
              </w:rPr>
              <w:t>,</w:t>
            </w:r>
            <w:r w:rsidR="00A50E09">
              <w:rPr>
                <w:rFonts w:eastAsia="仿宋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430-437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页</w:t>
            </w:r>
          </w:p>
          <w:p w14:paraId="52052B4B" w14:textId="77777777" w:rsidR="00405330" w:rsidRDefault="00405330">
            <w:pPr>
              <w:pStyle w:val="aa"/>
              <w:spacing w:line="440" w:lineRule="exact"/>
              <w:ind w:firstLineChars="0" w:firstLine="0"/>
              <w:rPr>
                <w:rFonts w:eastAsia="仿宋"/>
                <w:color w:val="000000" w:themeColor="text1"/>
                <w:sz w:val="24"/>
                <w:szCs w:val="24"/>
              </w:rPr>
            </w:pPr>
          </w:p>
          <w:p w14:paraId="1D9B8DF7" w14:textId="77777777" w:rsidR="00405330" w:rsidRDefault="00A50E09">
            <w:pPr>
              <w:pStyle w:val="aa"/>
              <w:spacing w:line="440" w:lineRule="exact"/>
              <w:ind w:firstLineChars="0" w:firstLine="0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主要知识产权和标准规范目录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:</w:t>
            </w:r>
          </w:p>
          <w:p w14:paraId="46EE581D" w14:textId="7415603E" w:rsidR="00610341" w:rsidRDefault="00610341" w:rsidP="002D7A54">
            <w:pPr>
              <w:pStyle w:val="aa"/>
              <w:numPr>
                <w:ilvl w:val="0"/>
                <w:numId w:val="2"/>
              </w:numPr>
              <w:spacing w:line="440" w:lineRule="exact"/>
              <w:ind w:firstLineChars="0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BC4E1B">
              <w:rPr>
                <w:rFonts w:eastAsia="仿宋"/>
                <w:color w:val="000000" w:themeColor="text1"/>
                <w:sz w:val="24"/>
                <w:szCs w:val="24"/>
              </w:rPr>
              <w:t>协同驱动旋转滑动弧放电等离子体重整甲烷制氢装置</w:t>
            </w:r>
            <w:r w:rsidRPr="00BC4E1B">
              <w:rPr>
                <w:rFonts w:eastAsia="仿宋" w:hint="eastAsia"/>
                <w:color w:val="000000" w:themeColor="text1"/>
                <w:sz w:val="24"/>
                <w:szCs w:val="24"/>
              </w:rPr>
              <w:t>，发明专利，</w:t>
            </w:r>
            <w:r w:rsidRPr="00BC4E1B">
              <w:rPr>
                <w:rFonts w:eastAsia="仿宋"/>
                <w:color w:val="000000" w:themeColor="text1"/>
                <w:sz w:val="24"/>
                <w:szCs w:val="24"/>
              </w:rPr>
              <w:t>ZL201010146281.3</w:t>
            </w:r>
          </w:p>
          <w:p w14:paraId="51381D0A" w14:textId="3652DE82" w:rsidR="00610341" w:rsidRPr="00F60B29" w:rsidRDefault="00610341" w:rsidP="00610341">
            <w:pPr>
              <w:pStyle w:val="aa"/>
              <w:numPr>
                <w:ilvl w:val="0"/>
                <w:numId w:val="2"/>
              </w:numPr>
              <w:spacing w:line="440" w:lineRule="exact"/>
              <w:ind w:firstLineChars="0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一种具有高运行稳定性的滑动弧等离子体反应器，发明专利，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ZL201811496183.5</w:t>
            </w:r>
          </w:p>
          <w:p w14:paraId="3424BE62" w14:textId="242F0076" w:rsidR="00610341" w:rsidRPr="009D2E94" w:rsidRDefault="001C0EAE" w:rsidP="00F60B29">
            <w:pPr>
              <w:pStyle w:val="aa"/>
              <w:numPr>
                <w:ilvl w:val="0"/>
                <w:numId w:val="2"/>
              </w:numPr>
              <w:spacing w:line="440" w:lineRule="exact"/>
              <w:ind w:firstLineChars="0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306EB5">
              <w:rPr>
                <w:rFonts w:eastAsia="仿宋" w:hint="eastAsia"/>
                <w:color w:val="000000" w:themeColor="text1"/>
                <w:sz w:val="24"/>
                <w:szCs w:val="24"/>
              </w:rPr>
              <w:t>一种与催化剂结合的滑动弧等离子体有机物处理装置，发明专利，</w:t>
            </w:r>
            <w:r w:rsidRPr="00306EB5">
              <w:rPr>
                <w:rFonts w:eastAsia="仿宋"/>
                <w:color w:val="000000" w:themeColor="text1"/>
                <w:sz w:val="24"/>
                <w:szCs w:val="24"/>
              </w:rPr>
              <w:t>ZL201910001099.X</w:t>
            </w:r>
          </w:p>
          <w:p w14:paraId="473F24BC" w14:textId="44EDB6F5" w:rsidR="00AF36E6" w:rsidRPr="00306EB5" w:rsidRDefault="0030554F" w:rsidP="00AF36E6">
            <w:pPr>
              <w:pStyle w:val="aa"/>
              <w:numPr>
                <w:ilvl w:val="0"/>
                <w:numId w:val="2"/>
              </w:numPr>
              <w:spacing w:line="440" w:lineRule="exact"/>
              <w:ind w:firstLineChars="0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30554F">
              <w:rPr>
                <w:rFonts w:eastAsia="仿宋" w:hint="eastAsia"/>
                <w:color w:val="000000" w:themeColor="text1"/>
                <w:sz w:val="24"/>
                <w:szCs w:val="24"/>
              </w:rPr>
              <w:t>一种脱除大流量焚烧炉尾气中持久性有机污染物的方法及装置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，发明专利，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ZL</w:t>
            </w:r>
            <w:r w:rsidRPr="0030554F">
              <w:rPr>
                <w:rFonts w:eastAsia="仿宋"/>
                <w:color w:val="000000" w:themeColor="text1"/>
                <w:sz w:val="24"/>
                <w:szCs w:val="24"/>
              </w:rPr>
              <w:t>201310245783.5</w:t>
            </w:r>
          </w:p>
          <w:p w14:paraId="2933A2E8" w14:textId="3D659F1A" w:rsidR="00610341" w:rsidRPr="009D2E94" w:rsidRDefault="00610341" w:rsidP="00AF36E6">
            <w:pPr>
              <w:pStyle w:val="aa"/>
              <w:numPr>
                <w:ilvl w:val="0"/>
                <w:numId w:val="2"/>
              </w:numPr>
              <w:spacing w:line="440" w:lineRule="exact"/>
              <w:ind w:firstLineChars="0"/>
              <w:rPr>
                <w:rFonts w:eastAsia="仿宋"/>
                <w:color w:val="000000" w:themeColor="text1"/>
                <w:sz w:val="24"/>
                <w:szCs w:val="24"/>
              </w:rPr>
            </w:pPr>
            <w:r w:rsidRPr="009D2E94">
              <w:rPr>
                <w:rFonts w:eastAsia="仿宋"/>
                <w:color w:val="000000" w:themeColor="text1"/>
                <w:sz w:val="24"/>
                <w:szCs w:val="24"/>
              </w:rPr>
              <w:t>脉动射流等离子体协同转化温室气体和生物炭的系统及方法，</w:t>
            </w:r>
            <w:r w:rsidR="009D2E94">
              <w:rPr>
                <w:rFonts w:eastAsia="仿宋" w:hint="eastAsia"/>
                <w:color w:val="000000" w:themeColor="text1"/>
                <w:sz w:val="24"/>
                <w:szCs w:val="24"/>
              </w:rPr>
              <w:t>发明专利，</w:t>
            </w:r>
            <w:r w:rsidRPr="009D2E94">
              <w:rPr>
                <w:rFonts w:eastAsia="仿宋"/>
                <w:color w:val="000000" w:themeColor="text1"/>
                <w:sz w:val="24"/>
                <w:szCs w:val="24"/>
              </w:rPr>
              <w:t>ZL201910077048.5</w:t>
            </w:r>
          </w:p>
          <w:p w14:paraId="3A99B7BA" w14:textId="54CFD69F" w:rsidR="00610341" w:rsidRPr="00F60B29" w:rsidRDefault="00610341" w:rsidP="00306EB5">
            <w:pPr>
              <w:rPr>
                <w:rFonts w:asciiTheme="minorEastAsia" w:eastAsiaTheme="minorEastAsia" w:hAnsiTheme="minorEastAsia"/>
              </w:rPr>
            </w:pPr>
          </w:p>
        </w:tc>
      </w:tr>
      <w:tr w:rsidR="00405330" w14:paraId="664F5659" w14:textId="77777777">
        <w:trPr>
          <w:trHeight w:val="1958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3837C957" w14:textId="77777777" w:rsidR="00405330" w:rsidRDefault="00A50E09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/>
                <w:bCs/>
                <w:sz w:val="28"/>
                <w:szCs w:val="24"/>
              </w:rPr>
              <w:lastRenderedPageBreak/>
              <w:t>主要完成人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14:paraId="7D932F8D" w14:textId="77777777" w:rsidR="001C45E9" w:rsidRDefault="001C45E9" w:rsidP="001C45E9">
            <w:pPr>
              <w:spacing w:line="440" w:lineRule="exact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严建华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，教授，浙江大学</w:t>
            </w:r>
          </w:p>
          <w:p w14:paraId="4F33D962" w14:textId="77777777" w:rsidR="00405330" w:rsidRDefault="00A50E09">
            <w:pPr>
              <w:spacing w:line="440" w:lineRule="exact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/>
                <w:color w:val="000000" w:themeColor="text1"/>
                <w:sz w:val="24"/>
                <w:szCs w:val="24"/>
              </w:rPr>
              <w:t>薄拯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，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教授，浙江大学</w:t>
            </w:r>
          </w:p>
          <w:p w14:paraId="69F7145B" w14:textId="12943926" w:rsidR="00405330" w:rsidRDefault="00A50E09">
            <w:pPr>
              <w:spacing w:line="440" w:lineRule="exact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张浩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，研究员，浙江大学</w:t>
            </w:r>
          </w:p>
          <w:p w14:paraId="46D4DD12" w14:textId="77777777" w:rsidR="00405330" w:rsidRDefault="00A50E09">
            <w:pPr>
              <w:spacing w:line="440" w:lineRule="exact"/>
              <w:rPr>
                <w:rFonts w:eastAsia="仿宋"/>
                <w:color w:val="000000" w:themeColor="text1"/>
                <w:sz w:val="24"/>
                <w:szCs w:val="24"/>
              </w:rPr>
            </w:pP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吴昂键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，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副教授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，浙江大学</w:t>
            </w:r>
          </w:p>
          <w:p w14:paraId="6F31D899" w14:textId="77777777" w:rsidR="00405330" w:rsidRDefault="00A50E09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李晓东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，</w:t>
            </w:r>
            <w:r>
              <w:rPr>
                <w:rFonts w:eastAsia="仿宋" w:hint="eastAsia"/>
                <w:color w:val="000000" w:themeColor="text1"/>
                <w:sz w:val="24"/>
                <w:szCs w:val="24"/>
              </w:rPr>
              <w:t>教授</w:t>
            </w:r>
            <w:r>
              <w:rPr>
                <w:rFonts w:eastAsia="仿宋"/>
                <w:color w:val="000000" w:themeColor="text1"/>
                <w:sz w:val="24"/>
                <w:szCs w:val="24"/>
              </w:rPr>
              <w:t>，浙江大学</w:t>
            </w:r>
          </w:p>
        </w:tc>
      </w:tr>
      <w:tr w:rsidR="00405330" w14:paraId="74C820A5" w14:textId="77777777">
        <w:trPr>
          <w:trHeight w:val="1986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14:paraId="0CB07C69" w14:textId="77777777" w:rsidR="00405330" w:rsidRDefault="00A50E09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14:paraId="69A18715" w14:textId="77777777" w:rsidR="00405330" w:rsidRDefault="00A50E09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</w:tc>
      </w:tr>
      <w:tr w:rsidR="00405330" w14:paraId="776DABB3" w14:textId="77777777">
        <w:trPr>
          <w:trHeight w:val="692"/>
        </w:trPr>
        <w:tc>
          <w:tcPr>
            <w:tcW w:w="2156" w:type="dxa"/>
            <w:vAlign w:val="center"/>
          </w:tcPr>
          <w:p w14:paraId="3C9948FC" w14:textId="77777777" w:rsidR="00405330" w:rsidRDefault="00A50E09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14:paraId="5F91CCE1" w14:textId="77777777" w:rsidR="00405330" w:rsidRDefault="00A50E09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浙江大学</w:t>
            </w:r>
          </w:p>
        </w:tc>
      </w:tr>
      <w:tr w:rsidR="00405330" w14:paraId="09784A4C" w14:textId="77777777">
        <w:trPr>
          <w:trHeight w:val="3683"/>
        </w:trPr>
        <w:tc>
          <w:tcPr>
            <w:tcW w:w="2156" w:type="dxa"/>
            <w:vAlign w:val="center"/>
          </w:tcPr>
          <w:p w14:paraId="4560FBAC" w14:textId="77777777" w:rsidR="00405330" w:rsidRDefault="00A50E09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 w14:paraId="34A3C2E3" w14:textId="531C3E0E" w:rsidR="002233B2" w:rsidRPr="00F60B29" w:rsidRDefault="00A50E09">
            <w:pPr>
              <w:spacing w:line="360" w:lineRule="auto"/>
              <w:contextualSpacing/>
              <w:rPr>
                <w:rStyle w:val="title1"/>
                <w:rFonts w:eastAsia="仿宋"/>
                <w:b w:val="0"/>
                <w:bCs w:val="0"/>
                <w:color w:val="auto"/>
              </w:rPr>
            </w:pPr>
            <w:r>
              <w:rPr>
                <w:rFonts w:eastAsia="仿宋"/>
                <w:sz w:val="24"/>
                <w:szCs w:val="24"/>
              </w:rPr>
              <w:t>该项目团队</w:t>
            </w:r>
            <w:r w:rsidR="00631B94">
              <w:rPr>
                <w:rFonts w:eastAsia="仿宋" w:hint="eastAsia"/>
                <w:sz w:val="24"/>
                <w:szCs w:val="24"/>
              </w:rPr>
              <w:t>围绕</w:t>
            </w:r>
            <w:r w:rsidR="009D2211" w:rsidRPr="00F60B29">
              <w:rPr>
                <w:rFonts w:eastAsia="仿宋" w:hint="eastAsia"/>
                <w:sz w:val="24"/>
              </w:rPr>
              <w:t>减污降碳</w:t>
            </w:r>
            <w:r w:rsidR="002233B2">
              <w:rPr>
                <w:rFonts w:eastAsia="仿宋" w:hint="eastAsia"/>
                <w:sz w:val="24"/>
                <w:szCs w:val="24"/>
              </w:rPr>
              <w:t>国家重大需求，</w:t>
            </w:r>
            <w:r>
              <w:rPr>
                <w:rFonts w:eastAsia="仿宋" w:hint="eastAsia"/>
                <w:sz w:val="24"/>
                <w:szCs w:val="24"/>
              </w:rPr>
              <w:t>经过二十</w:t>
            </w:r>
            <w:r w:rsidR="002D16E7">
              <w:rPr>
                <w:rFonts w:eastAsia="仿宋" w:hint="eastAsia"/>
                <w:sz w:val="24"/>
                <w:szCs w:val="24"/>
              </w:rPr>
              <w:t>余</w:t>
            </w:r>
            <w:r>
              <w:rPr>
                <w:rFonts w:eastAsia="仿宋" w:hint="eastAsia"/>
                <w:sz w:val="24"/>
                <w:szCs w:val="24"/>
              </w:rPr>
              <w:t>年</w:t>
            </w:r>
            <w:r w:rsidR="002233B2">
              <w:rPr>
                <w:rFonts w:eastAsia="仿宋" w:hint="eastAsia"/>
                <w:sz w:val="24"/>
                <w:szCs w:val="24"/>
              </w:rPr>
              <w:t>持续攻关</w:t>
            </w:r>
            <w:r>
              <w:rPr>
                <w:rFonts w:eastAsia="仿宋" w:hint="eastAsia"/>
                <w:sz w:val="24"/>
                <w:szCs w:val="24"/>
              </w:rPr>
              <w:t>，</w:t>
            </w:r>
            <w:r w:rsidR="002233B2">
              <w:rPr>
                <w:rFonts w:eastAsia="仿宋" w:hint="eastAsia"/>
                <w:sz w:val="24"/>
                <w:szCs w:val="24"/>
              </w:rPr>
              <w:t>以滑动弧</w:t>
            </w:r>
            <w:r w:rsidR="002D16E7">
              <w:rPr>
                <w:rFonts w:eastAsia="仿宋" w:hint="eastAsia"/>
                <w:sz w:val="24"/>
                <w:szCs w:val="24"/>
              </w:rPr>
              <w:t>低温</w:t>
            </w:r>
            <w:r w:rsidR="002233B2">
              <w:rPr>
                <w:rFonts w:eastAsia="仿宋" w:hint="eastAsia"/>
                <w:sz w:val="24"/>
                <w:szCs w:val="24"/>
              </w:rPr>
              <w:t>等离子体为核心手段，系统</w:t>
            </w:r>
            <w:r>
              <w:rPr>
                <w:rFonts w:eastAsia="仿宋" w:hint="eastAsia"/>
                <w:sz w:val="24"/>
                <w:szCs w:val="24"/>
              </w:rPr>
              <w:t>揭示了低温等离子体</w:t>
            </w:r>
            <w:r w:rsidR="002D16E7">
              <w:rPr>
                <w:rFonts w:eastAsia="仿宋" w:hint="eastAsia"/>
                <w:sz w:val="24"/>
                <w:szCs w:val="24"/>
              </w:rPr>
              <w:t>活性</w:t>
            </w:r>
            <w:r>
              <w:rPr>
                <w:rFonts w:eastAsia="仿宋" w:hint="eastAsia"/>
                <w:sz w:val="24"/>
                <w:szCs w:val="24"/>
              </w:rPr>
              <w:t>物种生成演化机理，</w:t>
            </w:r>
            <w:r w:rsidR="002233B2">
              <w:rPr>
                <w:rFonts w:eastAsia="仿宋" w:hint="eastAsia"/>
                <w:sz w:val="24"/>
                <w:szCs w:val="24"/>
              </w:rPr>
              <w:t>阐明</w:t>
            </w:r>
            <w:r>
              <w:rPr>
                <w:rFonts w:eastAsia="仿宋" w:hint="eastAsia"/>
                <w:sz w:val="24"/>
                <w:szCs w:val="24"/>
              </w:rPr>
              <w:t>了低温等离子体化学反应</w:t>
            </w:r>
            <w:r w:rsidR="002D16E7">
              <w:rPr>
                <w:rFonts w:eastAsia="仿宋" w:hint="eastAsia"/>
                <w:sz w:val="24"/>
                <w:szCs w:val="24"/>
              </w:rPr>
              <w:t>驱动</w:t>
            </w:r>
            <w:r>
              <w:rPr>
                <w:rFonts w:eastAsia="仿宋" w:hint="eastAsia"/>
                <w:sz w:val="24"/>
                <w:szCs w:val="24"/>
              </w:rPr>
              <w:t>路径，</w:t>
            </w:r>
            <w:r w:rsidR="00631B94">
              <w:rPr>
                <w:rFonts w:eastAsia="仿宋" w:hint="eastAsia"/>
                <w:sz w:val="24"/>
                <w:szCs w:val="24"/>
              </w:rPr>
              <w:t>面向</w:t>
            </w:r>
            <w:r w:rsidR="00631B94" w:rsidRPr="00F60B29">
              <w:rPr>
                <w:rFonts w:eastAsia="仿宋" w:hint="eastAsia"/>
                <w:sz w:val="24"/>
                <w:szCs w:val="24"/>
              </w:rPr>
              <w:t>制氢、污染物</w:t>
            </w:r>
            <w:r w:rsidR="00631B94">
              <w:rPr>
                <w:rFonts w:eastAsia="仿宋" w:hint="eastAsia"/>
                <w:sz w:val="24"/>
                <w:szCs w:val="24"/>
              </w:rPr>
              <w:t>清洁</w:t>
            </w:r>
            <w:r w:rsidR="00631B94" w:rsidRPr="00F60B29">
              <w:rPr>
                <w:rFonts w:eastAsia="仿宋" w:hint="eastAsia"/>
                <w:sz w:val="24"/>
                <w:szCs w:val="24"/>
              </w:rPr>
              <w:t>处置、</w:t>
            </w:r>
            <w:r w:rsidR="00A959C9">
              <w:rPr>
                <w:rFonts w:eastAsia="仿宋" w:hint="eastAsia"/>
                <w:sz w:val="24"/>
                <w:szCs w:val="24"/>
              </w:rPr>
              <w:t>温室气体高值转化</w:t>
            </w:r>
            <w:r w:rsidR="00631B94" w:rsidRPr="00F60B29">
              <w:rPr>
                <w:rFonts w:eastAsia="仿宋" w:hint="eastAsia"/>
                <w:sz w:val="24"/>
                <w:szCs w:val="24"/>
              </w:rPr>
              <w:t>提出了多场耦合</w:t>
            </w:r>
            <w:r w:rsidR="00631B94">
              <w:rPr>
                <w:rFonts w:eastAsia="仿宋" w:hint="eastAsia"/>
                <w:sz w:val="24"/>
                <w:szCs w:val="24"/>
              </w:rPr>
              <w:t>定向</w:t>
            </w:r>
            <w:r w:rsidR="00631B94" w:rsidRPr="00F60B29">
              <w:rPr>
                <w:rFonts w:eastAsia="仿宋" w:hint="eastAsia"/>
                <w:sz w:val="24"/>
                <w:szCs w:val="24"/>
              </w:rPr>
              <w:t>调控</w:t>
            </w:r>
            <w:r w:rsidR="00631B94">
              <w:rPr>
                <w:rFonts w:eastAsia="仿宋" w:hint="eastAsia"/>
                <w:sz w:val="24"/>
                <w:szCs w:val="24"/>
              </w:rPr>
              <w:t>新思路</w:t>
            </w:r>
            <w:r>
              <w:rPr>
                <w:rFonts w:eastAsia="仿宋" w:hint="eastAsia"/>
                <w:sz w:val="24"/>
                <w:szCs w:val="24"/>
              </w:rPr>
              <w:t>。</w:t>
            </w:r>
            <w:r w:rsidR="00631B94" w:rsidRPr="00F60B29">
              <w:rPr>
                <w:rFonts w:eastAsia="仿宋" w:hint="eastAsia"/>
                <w:sz w:val="24"/>
                <w:szCs w:val="24"/>
              </w:rPr>
              <w:t>在等离子体制氢方面，</w:t>
            </w:r>
            <w:r w:rsidR="00F8213C">
              <w:rPr>
                <w:rFonts w:eastAsia="仿宋" w:hint="eastAsia"/>
                <w:sz w:val="24"/>
                <w:szCs w:val="24"/>
              </w:rPr>
              <w:t>融合</w:t>
            </w:r>
            <w:r w:rsidR="00810166">
              <w:rPr>
                <w:rFonts w:eastAsia="仿宋" w:hint="eastAsia"/>
                <w:sz w:val="24"/>
                <w:szCs w:val="24"/>
              </w:rPr>
              <w:t>原位</w:t>
            </w:r>
            <w:r w:rsidR="002233B2">
              <w:rPr>
                <w:rFonts w:eastAsia="仿宋" w:hint="eastAsia"/>
                <w:sz w:val="24"/>
                <w:szCs w:val="24"/>
              </w:rPr>
              <w:t>光谱诊断</w:t>
            </w:r>
            <w:r w:rsidR="00F8213C">
              <w:rPr>
                <w:rFonts w:eastAsia="仿宋" w:hint="eastAsia"/>
                <w:sz w:val="24"/>
                <w:szCs w:val="24"/>
              </w:rPr>
              <w:t>和</w:t>
            </w:r>
            <w:r w:rsidR="00631B94" w:rsidRPr="00F60B29">
              <w:rPr>
                <w:rFonts w:eastAsia="仿宋" w:hint="eastAsia"/>
                <w:sz w:val="24"/>
                <w:szCs w:val="24"/>
              </w:rPr>
              <w:t>零维化学动力学模型，揭示了</w:t>
            </w:r>
            <w:r w:rsidR="00F8213C">
              <w:rPr>
                <w:rFonts w:eastAsia="仿宋" w:hint="eastAsia"/>
                <w:sz w:val="24"/>
                <w:szCs w:val="24"/>
              </w:rPr>
              <w:t>多场作用下</w:t>
            </w:r>
            <w:r w:rsidR="00631B94" w:rsidRPr="00F60B29">
              <w:rPr>
                <w:rFonts w:eastAsia="仿宋" w:hint="eastAsia"/>
                <w:sz w:val="24"/>
                <w:szCs w:val="24"/>
              </w:rPr>
              <w:t>电子</w:t>
            </w:r>
            <w:r w:rsidR="002233B2">
              <w:rPr>
                <w:rFonts w:eastAsia="仿宋" w:hint="eastAsia"/>
                <w:sz w:val="24"/>
                <w:szCs w:val="24"/>
              </w:rPr>
              <w:t>和</w:t>
            </w:r>
            <w:r w:rsidR="00631B94" w:rsidRPr="00F60B29">
              <w:rPr>
                <w:rFonts w:eastAsia="仿宋" w:hint="eastAsia"/>
                <w:sz w:val="24"/>
                <w:szCs w:val="24"/>
              </w:rPr>
              <w:t>激发态物种</w:t>
            </w:r>
            <w:r w:rsidR="00810166">
              <w:rPr>
                <w:rFonts w:eastAsia="仿宋" w:hint="eastAsia"/>
                <w:sz w:val="24"/>
                <w:szCs w:val="24"/>
              </w:rPr>
              <w:t>诱导的</w:t>
            </w:r>
            <w:r w:rsidR="00631B94" w:rsidRPr="00F60B29">
              <w:rPr>
                <w:rFonts w:eastAsia="仿宋" w:hint="eastAsia"/>
                <w:sz w:val="24"/>
                <w:szCs w:val="24"/>
              </w:rPr>
              <w:t>甲烷</w:t>
            </w:r>
            <w:r w:rsidR="00F8213C">
              <w:rPr>
                <w:rFonts w:eastAsia="仿宋" w:hint="eastAsia"/>
                <w:sz w:val="24"/>
                <w:szCs w:val="24"/>
              </w:rPr>
              <w:t>活化</w:t>
            </w:r>
            <w:r w:rsidR="00DB6FF8">
              <w:rPr>
                <w:rFonts w:eastAsia="仿宋" w:hint="eastAsia"/>
                <w:sz w:val="24"/>
                <w:szCs w:val="24"/>
              </w:rPr>
              <w:t>机制</w:t>
            </w:r>
            <w:r w:rsidR="00631B94" w:rsidRPr="00F60B29">
              <w:rPr>
                <w:rFonts w:eastAsia="仿宋" w:hint="eastAsia"/>
                <w:sz w:val="24"/>
                <w:szCs w:val="24"/>
              </w:rPr>
              <w:t>，</w:t>
            </w:r>
            <w:r w:rsidR="00DB6FF8">
              <w:rPr>
                <w:rFonts w:eastAsia="仿宋" w:hint="eastAsia"/>
                <w:sz w:val="24"/>
                <w:szCs w:val="24"/>
              </w:rPr>
              <w:t>提出了</w:t>
            </w:r>
            <w:r w:rsidR="00631B94" w:rsidRPr="00F60B29">
              <w:rPr>
                <w:rFonts w:eastAsia="仿宋" w:hint="eastAsia"/>
                <w:sz w:val="24"/>
                <w:szCs w:val="24"/>
              </w:rPr>
              <w:t>热化学与等离子体化学</w:t>
            </w:r>
            <w:r w:rsidR="002233B2">
              <w:rPr>
                <w:rFonts w:eastAsia="仿宋" w:hint="eastAsia"/>
                <w:sz w:val="24"/>
                <w:szCs w:val="24"/>
              </w:rPr>
              <w:t>共</w:t>
            </w:r>
            <w:r w:rsidR="00631B94" w:rsidRPr="00F60B29">
              <w:rPr>
                <w:rFonts w:eastAsia="仿宋" w:hint="eastAsia"/>
                <w:sz w:val="24"/>
                <w:szCs w:val="24"/>
              </w:rPr>
              <w:t>耦合</w:t>
            </w:r>
            <w:r w:rsidR="002233B2">
              <w:rPr>
                <w:rFonts w:eastAsia="仿宋" w:hint="eastAsia"/>
                <w:sz w:val="24"/>
                <w:szCs w:val="24"/>
              </w:rPr>
              <w:t>制</w:t>
            </w:r>
            <w:r w:rsidR="00631B94" w:rsidRPr="00F60B29">
              <w:rPr>
                <w:rFonts w:eastAsia="仿宋" w:hint="eastAsia"/>
                <w:sz w:val="24"/>
                <w:szCs w:val="24"/>
              </w:rPr>
              <w:t>氢</w:t>
            </w:r>
            <w:r w:rsidR="002233B2">
              <w:rPr>
                <w:rFonts w:eastAsia="仿宋" w:hint="eastAsia"/>
                <w:sz w:val="24"/>
                <w:szCs w:val="24"/>
              </w:rPr>
              <w:t>性能</w:t>
            </w:r>
            <w:r w:rsidR="002F303D">
              <w:rPr>
                <w:rFonts w:eastAsia="仿宋" w:hint="eastAsia"/>
                <w:sz w:val="24"/>
                <w:szCs w:val="24"/>
              </w:rPr>
              <w:t>提升</w:t>
            </w:r>
            <w:r w:rsidR="00DB6FF8">
              <w:rPr>
                <w:rFonts w:eastAsia="仿宋" w:hint="eastAsia"/>
                <w:sz w:val="24"/>
                <w:szCs w:val="24"/>
              </w:rPr>
              <w:t>方法</w:t>
            </w:r>
            <w:r w:rsidR="002233B2">
              <w:rPr>
                <w:rFonts w:eastAsia="仿宋" w:hint="eastAsia"/>
                <w:sz w:val="24"/>
                <w:szCs w:val="24"/>
              </w:rPr>
              <w:t>和</w:t>
            </w:r>
            <w:r w:rsidR="00631B94" w:rsidRPr="00F60B29">
              <w:rPr>
                <w:rFonts w:eastAsia="仿宋" w:hint="eastAsia"/>
                <w:sz w:val="24"/>
                <w:szCs w:val="24"/>
              </w:rPr>
              <w:t>烃类产物</w:t>
            </w:r>
            <w:r w:rsidR="00F8213C">
              <w:rPr>
                <w:rFonts w:eastAsia="仿宋" w:hint="eastAsia"/>
                <w:sz w:val="24"/>
                <w:szCs w:val="24"/>
              </w:rPr>
              <w:t>定向演化路径</w:t>
            </w:r>
            <w:r w:rsidR="00631B94" w:rsidRPr="00F60B29">
              <w:rPr>
                <w:rFonts w:eastAsia="仿宋" w:hint="eastAsia"/>
                <w:sz w:val="24"/>
                <w:szCs w:val="24"/>
              </w:rPr>
              <w:t>；在污染物</w:t>
            </w:r>
            <w:r w:rsidR="00F8213C">
              <w:rPr>
                <w:rFonts w:eastAsia="仿宋" w:hint="eastAsia"/>
                <w:sz w:val="24"/>
                <w:szCs w:val="24"/>
              </w:rPr>
              <w:t>清洁</w:t>
            </w:r>
            <w:r w:rsidR="00631B94" w:rsidRPr="00F60B29">
              <w:rPr>
                <w:rFonts w:eastAsia="仿宋" w:hint="eastAsia"/>
                <w:sz w:val="24"/>
                <w:szCs w:val="24"/>
              </w:rPr>
              <w:t>处置方面，</w:t>
            </w:r>
            <w:r w:rsidR="00F8213C">
              <w:rPr>
                <w:rFonts w:eastAsia="仿宋" w:hint="eastAsia"/>
                <w:sz w:val="24"/>
                <w:szCs w:val="24"/>
              </w:rPr>
              <w:t>建立了</w:t>
            </w:r>
            <w:r w:rsidR="00274903">
              <w:rPr>
                <w:rFonts w:eastAsia="仿宋" w:hint="eastAsia"/>
                <w:sz w:val="24"/>
                <w:szCs w:val="24"/>
              </w:rPr>
              <w:t>流</w:t>
            </w:r>
            <w:r w:rsidR="00F8213C">
              <w:rPr>
                <w:rFonts w:eastAsia="仿宋" w:hint="eastAsia"/>
                <w:sz w:val="24"/>
                <w:szCs w:val="24"/>
              </w:rPr>
              <w:t>场</w:t>
            </w:r>
            <w:r w:rsidR="00274903">
              <w:rPr>
                <w:rFonts w:eastAsia="仿宋" w:hint="eastAsia"/>
                <w:sz w:val="24"/>
                <w:szCs w:val="24"/>
              </w:rPr>
              <w:t>、电</w:t>
            </w:r>
            <w:r w:rsidR="00F8213C">
              <w:rPr>
                <w:rFonts w:eastAsia="仿宋" w:hint="eastAsia"/>
                <w:sz w:val="24"/>
                <w:szCs w:val="24"/>
              </w:rPr>
              <w:t>场</w:t>
            </w:r>
            <w:r w:rsidR="00274903">
              <w:rPr>
                <w:rFonts w:eastAsia="仿宋" w:hint="eastAsia"/>
                <w:sz w:val="24"/>
                <w:szCs w:val="24"/>
              </w:rPr>
              <w:t>和温度场</w:t>
            </w:r>
            <w:r w:rsidR="00631B94" w:rsidRPr="00F60B29">
              <w:rPr>
                <w:rFonts w:eastAsia="仿宋" w:hint="eastAsia"/>
                <w:sz w:val="24"/>
                <w:szCs w:val="24"/>
              </w:rPr>
              <w:t>对</w:t>
            </w:r>
            <w:r w:rsidR="00306EB5">
              <w:rPr>
                <w:rFonts w:eastAsia="仿宋" w:hint="eastAsia"/>
                <w:sz w:val="24"/>
                <w:szCs w:val="24"/>
              </w:rPr>
              <w:t>等离子体反应中</w:t>
            </w:r>
            <w:r w:rsidR="008A2546">
              <w:rPr>
                <w:rFonts w:eastAsia="仿宋" w:hint="eastAsia"/>
                <w:sz w:val="24"/>
                <w:szCs w:val="24"/>
              </w:rPr>
              <w:t>活性组分</w:t>
            </w:r>
            <w:r w:rsidR="00631B94" w:rsidRPr="00F60B29">
              <w:rPr>
                <w:rFonts w:eastAsia="仿宋" w:hint="eastAsia"/>
                <w:sz w:val="24"/>
                <w:szCs w:val="24"/>
              </w:rPr>
              <w:t>的调控</w:t>
            </w:r>
            <w:r w:rsidR="00F8213C">
              <w:rPr>
                <w:rFonts w:eastAsia="仿宋" w:hint="eastAsia"/>
                <w:sz w:val="24"/>
                <w:szCs w:val="24"/>
              </w:rPr>
              <w:t>关系，解析了电子</w:t>
            </w:r>
            <w:r w:rsidR="00A959C9">
              <w:rPr>
                <w:rFonts w:eastAsia="仿宋" w:hint="eastAsia"/>
                <w:sz w:val="24"/>
                <w:szCs w:val="24"/>
              </w:rPr>
              <w:t>碰撞</w:t>
            </w:r>
            <w:r w:rsidR="00F8213C">
              <w:rPr>
                <w:rFonts w:eastAsia="仿宋" w:hint="eastAsia"/>
                <w:sz w:val="24"/>
                <w:szCs w:val="24"/>
              </w:rPr>
              <w:t>和自由基诱导对焦油</w:t>
            </w:r>
            <w:r w:rsidR="002F303D">
              <w:rPr>
                <w:rFonts w:eastAsia="仿宋" w:hint="eastAsia"/>
                <w:sz w:val="24"/>
                <w:szCs w:val="24"/>
              </w:rPr>
              <w:t>、</w:t>
            </w:r>
            <w:r w:rsidR="002F303D">
              <w:rPr>
                <w:rFonts w:eastAsia="仿宋"/>
                <w:sz w:val="24"/>
                <w:szCs w:val="24"/>
              </w:rPr>
              <w:t>VOC</w:t>
            </w:r>
            <w:r w:rsidR="002F303D">
              <w:rPr>
                <w:rFonts w:eastAsia="仿宋" w:hint="eastAsia"/>
                <w:sz w:val="24"/>
                <w:szCs w:val="24"/>
              </w:rPr>
              <w:t>s</w:t>
            </w:r>
            <w:r w:rsidR="00F8213C">
              <w:rPr>
                <w:rFonts w:eastAsia="仿宋" w:hint="eastAsia"/>
                <w:sz w:val="24"/>
                <w:szCs w:val="24"/>
              </w:rPr>
              <w:t>等</w:t>
            </w:r>
            <w:r w:rsidR="002F303D">
              <w:rPr>
                <w:rFonts w:eastAsia="仿宋" w:hint="eastAsia"/>
                <w:sz w:val="24"/>
                <w:szCs w:val="24"/>
              </w:rPr>
              <w:t>污染物</w:t>
            </w:r>
            <w:r w:rsidR="00F8213C">
              <w:rPr>
                <w:rFonts w:eastAsia="仿宋" w:hint="eastAsia"/>
                <w:sz w:val="24"/>
                <w:szCs w:val="24"/>
              </w:rPr>
              <w:t>的降解机制和</w:t>
            </w:r>
            <w:r w:rsidR="00960485">
              <w:rPr>
                <w:rFonts w:eastAsia="仿宋" w:hint="eastAsia"/>
                <w:sz w:val="24"/>
                <w:szCs w:val="24"/>
              </w:rPr>
              <w:t>协同重整</w:t>
            </w:r>
            <w:r w:rsidR="00F8213C">
              <w:rPr>
                <w:rFonts w:eastAsia="仿宋" w:hint="eastAsia"/>
                <w:sz w:val="24"/>
                <w:szCs w:val="24"/>
              </w:rPr>
              <w:t>方法</w:t>
            </w:r>
            <w:r w:rsidR="00631B94" w:rsidRPr="00F60B29">
              <w:rPr>
                <w:rFonts w:eastAsia="仿宋" w:hint="eastAsia"/>
                <w:sz w:val="24"/>
                <w:szCs w:val="24"/>
              </w:rPr>
              <w:t>；在</w:t>
            </w:r>
            <w:r w:rsidR="00A959C9" w:rsidRPr="00A959C9">
              <w:rPr>
                <w:rFonts w:eastAsia="仿宋"/>
                <w:sz w:val="24"/>
                <w:szCs w:val="24"/>
              </w:rPr>
              <w:t>温室气体高值转化</w:t>
            </w:r>
            <w:r w:rsidR="00631B94" w:rsidRPr="00F60B29">
              <w:rPr>
                <w:rFonts w:eastAsia="仿宋" w:hint="eastAsia"/>
                <w:sz w:val="24"/>
                <w:szCs w:val="24"/>
              </w:rPr>
              <w:t>方面，</w:t>
            </w:r>
            <w:r w:rsidR="00F8213C">
              <w:rPr>
                <w:rFonts w:eastAsia="仿宋" w:hint="eastAsia"/>
                <w:sz w:val="24"/>
                <w:szCs w:val="24"/>
              </w:rPr>
              <w:t>通过</w:t>
            </w:r>
            <w:r w:rsidR="00631B94" w:rsidRPr="00F60B29">
              <w:rPr>
                <w:rFonts w:eastAsia="仿宋" w:hint="eastAsia"/>
                <w:sz w:val="24"/>
                <w:szCs w:val="24"/>
              </w:rPr>
              <w:t>比能量输入、气体</w:t>
            </w:r>
            <w:r w:rsidR="00960485">
              <w:rPr>
                <w:rFonts w:eastAsia="仿宋" w:hint="eastAsia"/>
                <w:sz w:val="24"/>
                <w:szCs w:val="24"/>
              </w:rPr>
              <w:t>组分</w:t>
            </w:r>
            <w:r w:rsidR="001D41BA">
              <w:rPr>
                <w:rFonts w:eastAsia="仿宋" w:hint="eastAsia"/>
                <w:sz w:val="24"/>
                <w:szCs w:val="24"/>
              </w:rPr>
              <w:t>及</w:t>
            </w:r>
            <w:r w:rsidR="00631B94" w:rsidRPr="00F60B29">
              <w:rPr>
                <w:rFonts w:eastAsia="仿宋" w:hint="eastAsia"/>
                <w:sz w:val="24"/>
                <w:szCs w:val="24"/>
              </w:rPr>
              <w:t>催化剂</w:t>
            </w:r>
            <w:r w:rsidR="00AA72FC">
              <w:rPr>
                <w:rFonts w:eastAsia="仿宋" w:hint="eastAsia"/>
                <w:sz w:val="24"/>
                <w:szCs w:val="24"/>
              </w:rPr>
              <w:t>界面</w:t>
            </w:r>
            <w:r w:rsidR="00F8213C">
              <w:rPr>
                <w:rFonts w:eastAsia="仿宋" w:hint="eastAsia"/>
                <w:sz w:val="24"/>
                <w:szCs w:val="24"/>
              </w:rPr>
              <w:t>调控</w:t>
            </w:r>
            <w:r w:rsidR="00631B94" w:rsidRPr="00F60B29">
              <w:rPr>
                <w:rFonts w:eastAsia="仿宋" w:hint="eastAsia"/>
                <w:sz w:val="24"/>
                <w:szCs w:val="24"/>
              </w:rPr>
              <w:t>，</w:t>
            </w:r>
            <w:r w:rsidR="006A2712">
              <w:rPr>
                <w:rFonts w:eastAsia="仿宋" w:hint="eastAsia"/>
                <w:sz w:val="24"/>
                <w:szCs w:val="24"/>
              </w:rPr>
              <w:t>阐明</w:t>
            </w:r>
            <w:r w:rsidR="00631B94" w:rsidRPr="00F60B29">
              <w:rPr>
                <w:rFonts w:eastAsia="仿宋" w:hint="eastAsia"/>
                <w:sz w:val="24"/>
                <w:szCs w:val="24"/>
              </w:rPr>
              <w:t>了转化率与能量效率的演化规律</w:t>
            </w:r>
            <w:r w:rsidR="00F8213C">
              <w:rPr>
                <w:rFonts w:eastAsia="仿宋" w:hint="eastAsia"/>
                <w:sz w:val="24"/>
                <w:szCs w:val="24"/>
              </w:rPr>
              <w:t>和高温</w:t>
            </w:r>
            <w:r w:rsidR="00631B94" w:rsidRPr="00F60B29">
              <w:rPr>
                <w:rFonts w:eastAsia="仿宋" w:hint="eastAsia"/>
                <w:sz w:val="24"/>
                <w:szCs w:val="24"/>
              </w:rPr>
              <w:t>对</w:t>
            </w:r>
            <w:r w:rsidR="002233B2">
              <w:rPr>
                <w:rFonts w:eastAsia="仿宋"/>
                <w:sz w:val="24"/>
                <w:szCs w:val="24"/>
              </w:rPr>
              <w:t>CO</w:t>
            </w:r>
            <w:r w:rsidR="002233B2" w:rsidRPr="00BC4E1B">
              <w:rPr>
                <w:rFonts w:eastAsia="仿宋" w:hint="eastAsia"/>
                <w:sz w:val="24"/>
                <w:szCs w:val="24"/>
                <w:vertAlign w:val="subscript"/>
              </w:rPr>
              <w:t>2</w:t>
            </w:r>
            <w:r w:rsidR="00631B94" w:rsidRPr="00F60B29">
              <w:rPr>
                <w:rFonts w:eastAsia="仿宋" w:hint="eastAsia"/>
                <w:sz w:val="24"/>
                <w:szCs w:val="24"/>
              </w:rPr>
              <w:t>转化的抑制</w:t>
            </w:r>
            <w:r w:rsidR="006A2712">
              <w:rPr>
                <w:rFonts w:eastAsia="仿宋" w:hint="eastAsia"/>
                <w:sz w:val="24"/>
                <w:szCs w:val="24"/>
              </w:rPr>
              <w:t>作用</w:t>
            </w:r>
            <w:r w:rsidR="00631B94" w:rsidRPr="00F60B29">
              <w:rPr>
                <w:rFonts w:eastAsia="仿宋" w:hint="eastAsia"/>
                <w:sz w:val="24"/>
                <w:szCs w:val="24"/>
              </w:rPr>
              <w:t>，实现了</w:t>
            </w:r>
            <w:r w:rsidR="001D41BA">
              <w:rPr>
                <w:rFonts w:eastAsia="仿宋"/>
                <w:sz w:val="24"/>
                <w:szCs w:val="24"/>
              </w:rPr>
              <w:t>CO</w:t>
            </w:r>
            <w:r w:rsidR="001D41BA" w:rsidRPr="00F60B29">
              <w:rPr>
                <w:rFonts w:eastAsia="仿宋"/>
                <w:sz w:val="24"/>
                <w:szCs w:val="24"/>
                <w:vertAlign w:val="subscript"/>
              </w:rPr>
              <w:t>2</w:t>
            </w:r>
            <w:r w:rsidR="001D41BA">
              <w:rPr>
                <w:rFonts w:eastAsia="仿宋" w:hint="eastAsia"/>
                <w:sz w:val="24"/>
                <w:szCs w:val="24"/>
              </w:rPr>
              <w:t>常压高效活化和</w:t>
            </w:r>
            <w:r w:rsidR="00F8213C" w:rsidRPr="00BC4E1B">
              <w:rPr>
                <w:rFonts w:eastAsia="仿宋" w:hint="eastAsia"/>
                <w:sz w:val="24"/>
                <w:szCs w:val="24"/>
              </w:rPr>
              <w:t>低碳燃料</w:t>
            </w:r>
            <w:r w:rsidR="00631B94" w:rsidRPr="00F60B29">
              <w:rPr>
                <w:rFonts w:eastAsia="仿宋" w:hint="eastAsia"/>
                <w:sz w:val="24"/>
                <w:szCs w:val="24"/>
              </w:rPr>
              <w:t>定向</w:t>
            </w:r>
            <w:r w:rsidR="00DB6FF8">
              <w:rPr>
                <w:rFonts w:eastAsia="仿宋" w:hint="eastAsia"/>
                <w:sz w:val="24"/>
                <w:szCs w:val="24"/>
              </w:rPr>
              <w:t>制备</w:t>
            </w:r>
            <w:r w:rsidR="00631B94" w:rsidRPr="00F60B29">
              <w:rPr>
                <w:rFonts w:eastAsia="仿宋" w:hint="eastAsia"/>
                <w:sz w:val="24"/>
                <w:szCs w:val="24"/>
              </w:rPr>
              <w:t>。</w:t>
            </w:r>
            <w:r w:rsidR="009D2211" w:rsidRPr="00150761">
              <w:rPr>
                <w:rFonts w:eastAsia="仿宋_GB2312"/>
                <w:sz w:val="24"/>
              </w:rPr>
              <w:t>相关成果发表在国际</w:t>
            </w:r>
            <w:r w:rsidR="009D2211">
              <w:rPr>
                <w:rFonts w:eastAsia="仿宋_GB2312" w:hint="eastAsia"/>
                <w:sz w:val="24"/>
              </w:rPr>
              <w:t>重要</w:t>
            </w:r>
            <w:r w:rsidR="009D2211" w:rsidRPr="00150761">
              <w:rPr>
                <w:rFonts w:eastAsia="仿宋_GB2312" w:hint="eastAsia"/>
                <w:sz w:val="24"/>
              </w:rPr>
              <w:t>学术</w:t>
            </w:r>
            <w:r w:rsidR="009D2211" w:rsidRPr="00150761">
              <w:rPr>
                <w:rFonts w:eastAsia="仿宋_GB2312"/>
                <w:sz w:val="24"/>
              </w:rPr>
              <w:t>期刊，被国际同行</w:t>
            </w:r>
            <w:r w:rsidR="009D2211">
              <w:rPr>
                <w:rFonts w:eastAsia="仿宋_GB2312" w:hint="eastAsia"/>
                <w:sz w:val="24"/>
              </w:rPr>
              <w:t>高度</w:t>
            </w:r>
            <w:r w:rsidR="009D2211" w:rsidRPr="00150761">
              <w:rPr>
                <w:rFonts w:eastAsia="仿宋_GB2312"/>
                <w:sz w:val="24"/>
              </w:rPr>
              <w:t>评价</w:t>
            </w:r>
            <w:r w:rsidR="009D2211">
              <w:rPr>
                <w:rFonts w:eastAsia="仿宋_GB2312" w:hint="eastAsia"/>
                <w:sz w:val="24"/>
              </w:rPr>
              <w:t>，</w:t>
            </w:r>
            <w:r w:rsidR="009D2211" w:rsidRPr="00150761">
              <w:rPr>
                <w:rFonts w:eastAsia="仿宋_GB2312" w:hint="eastAsia"/>
                <w:sz w:val="24"/>
              </w:rPr>
              <w:t>为学科发展做出</w:t>
            </w:r>
            <w:r w:rsidR="009D2211">
              <w:rPr>
                <w:rFonts w:eastAsia="仿宋_GB2312" w:hint="eastAsia"/>
                <w:sz w:val="24"/>
              </w:rPr>
              <w:t>了</w:t>
            </w:r>
            <w:r w:rsidR="009D2211" w:rsidRPr="00150761">
              <w:rPr>
                <w:rFonts w:eastAsia="仿宋_GB2312" w:hint="eastAsia"/>
                <w:sz w:val="24"/>
              </w:rPr>
              <w:t>积极贡献</w:t>
            </w:r>
            <w:r w:rsidR="009D2211">
              <w:rPr>
                <w:rFonts w:eastAsia="仿宋_GB2312" w:hint="eastAsia"/>
                <w:sz w:val="24"/>
              </w:rPr>
              <w:t>。</w:t>
            </w:r>
            <w:r>
              <w:rPr>
                <w:rFonts w:eastAsia="仿宋"/>
                <w:sz w:val="24"/>
                <w:szCs w:val="24"/>
              </w:rPr>
              <w:t>同意提名该成果为</w:t>
            </w:r>
            <w:r>
              <w:rPr>
                <w:rFonts w:eastAsia="仿宋"/>
                <w:sz w:val="24"/>
                <w:szCs w:val="24"/>
              </w:rPr>
              <w:t>202</w:t>
            </w:r>
            <w:r w:rsidR="009D2211">
              <w:rPr>
                <w:rFonts w:eastAsia="仿宋" w:hint="eastAsia"/>
                <w:sz w:val="24"/>
                <w:szCs w:val="24"/>
              </w:rPr>
              <w:t>5</w:t>
            </w:r>
            <w:r>
              <w:rPr>
                <w:rFonts w:eastAsia="仿宋"/>
                <w:sz w:val="24"/>
                <w:szCs w:val="24"/>
              </w:rPr>
              <w:t>年度浙江省自然科学一等奖。</w:t>
            </w:r>
          </w:p>
        </w:tc>
      </w:tr>
    </w:tbl>
    <w:p w14:paraId="66C6F231" w14:textId="77777777" w:rsidR="00405330" w:rsidRDefault="00405330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sectPr w:rsidR="004053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C272A" w14:textId="77777777" w:rsidR="00C34AD6" w:rsidRDefault="00C34AD6" w:rsidP="00641C9F">
      <w:r>
        <w:separator/>
      </w:r>
    </w:p>
  </w:endnote>
  <w:endnote w:type="continuationSeparator" w:id="0">
    <w:p w14:paraId="6158A6E7" w14:textId="77777777" w:rsidR="00C34AD6" w:rsidRDefault="00C34AD6" w:rsidP="00641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B0604020202020204"/>
    <w:charset w:val="86"/>
    <w:family w:val="modern"/>
    <w:pitch w:val="fixed"/>
    <w:sig w:usb0="00002A87" w:usb1="080E0000" w:usb2="00000010" w:usb3="00000000" w:csb0="0004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B5F55" w14:textId="77777777" w:rsidR="00C34AD6" w:rsidRDefault="00C34AD6" w:rsidP="00641C9F">
      <w:r>
        <w:separator/>
      </w:r>
    </w:p>
  </w:footnote>
  <w:footnote w:type="continuationSeparator" w:id="0">
    <w:p w14:paraId="0966C852" w14:textId="77777777" w:rsidR="00C34AD6" w:rsidRDefault="00C34AD6" w:rsidP="00641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F17CBC"/>
    <w:multiLevelType w:val="multilevel"/>
    <w:tmpl w:val="76A57204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6A57204"/>
    <w:multiLevelType w:val="multilevel"/>
    <w:tmpl w:val="76A57204"/>
    <w:lvl w:ilvl="0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  <w:color w:val="000000" w:themeColor="text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B228A6"/>
    <w:multiLevelType w:val="hybridMultilevel"/>
    <w:tmpl w:val="594637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3541492">
    <w:abstractNumId w:val="1"/>
  </w:num>
  <w:num w:numId="2" w16cid:durableId="1563755717">
    <w:abstractNumId w:val="0"/>
  </w:num>
  <w:num w:numId="3" w16cid:durableId="2029258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g4YjMzY2NjMmNiNDVjNjhkYTE1YmIyZThhNWY3NjIifQ=="/>
  </w:docVars>
  <w:rsids>
    <w:rsidRoot w:val="007A378A"/>
    <w:rsid w:val="00002ED4"/>
    <w:rsid w:val="000B141B"/>
    <w:rsid w:val="00120202"/>
    <w:rsid w:val="00133845"/>
    <w:rsid w:val="00143192"/>
    <w:rsid w:val="001C0EAE"/>
    <w:rsid w:val="001C45E9"/>
    <w:rsid w:val="001D41BA"/>
    <w:rsid w:val="002233B2"/>
    <w:rsid w:val="00274007"/>
    <w:rsid w:val="00274903"/>
    <w:rsid w:val="002A7C2A"/>
    <w:rsid w:val="002C5841"/>
    <w:rsid w:val="002D16E7"/>
    <w:rsid w:val="002D7A54"/>
    <w:rsid w:val="002F303D"/>
    <w:rsid w:val="002F7362"/>
    <w:rsid w:val="00303E68"/>
    <w:rsid w:val="0030554F"/>
    <w:rsid w:val="00306EB5"/>
    <w:rsid w:val="0038417F"/>
    <w:rsid w:val="00405330"/>
    <w:rsid w:val="00437D02"/>
    <w:rsid w:val="00460A9F"/>
    <w:rsid w:val="00470273"/>
    <w:rsid w:val="00494331"/>
    <w:rsid w:val="004B4D13"/>
    <w:rsid w:val="004D3794"/>
    <w:rsid w:val="004F5A0E"/>
    <w:rsid w:val="00536BFB"/>
    <w:rsid w:val="00561C97"/>
    <w:rsid w:val="005956FF"/>
    <w:rsid w:val="00610341"/>
    <w:rsid w:val="00631B94"/>
    <w:rsid w:val="00641C9F"/>
    <w:rsid w:val="00653BB3"/>
    <w:rsid w:val="006A2712"/>
    <w:rsid w:val="0071721A"/>
    <w:rsid w:val="00734C1B"/>
    <w:rsid w:val="007735A3"/>
    <w:rsid w:val="0078469B"/>
    <w:rsid w:val="007A378A"/>
    <w:rsid w:val="007E26A2"/>
    <w:rsid w:val="00810166"/>
    <w:rsid w:val="00821DF8"/>
    <w:rsid w:val="00822F96"/>
    <w:rsid w:val="0084713B"/>
    <w:rsid w:val="008630E1"/>
    <w:rsid w:val="008A2546"/>
    <w:rsid w:val="008B76F6"/>
    <w:rsid w:val="00905872"/>
    <w:rsid w:val="0093320B"/>
    <w:rsid w:val="00940199"/>
    <w:rsid w:val="00960485"/>
    <w:rsid w:val="009716F7"/>
    <w:rsid w:val="00981B9D"/>
    <w:rsid w:val="00986AF1"/>
    <w:rsid w:val="009A49FE"/>
    <w:rsid w:val="009D2211"/>
    <w:rsid w:val="009D2E94"/>
    <w:rsid w:val="009D5E97"/>
    <w:rsid w:val="009F023D"/>
    <w:rsid w:val="009F3651"/>
    <w:rsid w:val="00A21963"/>
    <w:rsid w:val="00A2366E"/>
    <w:rsid w:val="00A50E09"/>
    <w:rsid w:val="00A959C9"/>
    <w:rsid w:val="00AA72FC"/>
    <w:rsid w:val="00AF36E6"/>
    <w:rsid w:val="00B15080"/>
    <w:rsid w:val="00B272D7"/>
    <w:rsid w:val="00B52CD1"/>
    <w:rsid w:val="00B83835"/>
    <w:rsid w:val="00BE04A2"/>
    <w:rsid w:val="00BE0B8F"/>
    <w:rsid w:val="00BE380B"/>
    <w:rsid w:val="00C03F73"/>
    <w:rsid w:val="00C168E6"/>
    <w:rsid w:val="00C34AD6"/>
    <w:rsid w:val="00CC64D3"/>
    <w:rsid w:val="00D3650A"/>
    <w:rsid w:val="00D67D9E"/>
    <w:rsid w:val="00D97E6E"/>
    <w:rsid w:val="00DB6FF8"/>
    <w:rsid w:val="00DD47D2"/>
    <w:rsid w:val="00E308B0"/>
    <w:rsid w:val="00EB1888"/>
    <w:rsid w:val="00EE67E4"/>
    <w:rsid w:val="00F154B8"/>
    <w:rsid w:val="00F45234"/>
    <w:rsid w:val="00F60B29"/>
    <w:rsid w:val="00F62F86"/>
    <w:rsid w:val="00F75E88"/>
    <w:rsid w:val="00F8213C"/>
    <w:rsid w:val="00FD3A18"/>
    <w:rsid w:val="00FD650C"/>
    <w:rsid w:val="2C7A3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B1EF7"/>
  <w15:docId w15:val="{A7C0A73B-F1E2-40AE-8C63-8950C6293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widowControl/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szCs w:val="20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paragraph" w:styleId="ab">
    <w:name w:val="Revision"/>
    <w:hidden/>
    <w:uiPriority w:val="99"/>
    <w:unhideWhenUsed/>
    <w:rsid w:val="00BE04A2"/>
    <w:rPr>
      <w:kern w:val="2"/>
      <w:sz w:val="21"/>
    </w:rPr>
  </w:style>
  <w:style w:type="paragraph" w:customStyle="1" w:styleId="Style18">
    <w:name w:val="_Style 18"/>
    <w:basedOn w:val="a"/>
    <w:next w:val="aa"/>
    <w:uiPriority w:val="34"/>
    <w:qFormat/>
    <w:rsid w:val="00610341"/>
    <w:pPr>
      <w:widowControl/>
      <w:ind w:left="720"/>
      <w:contextualSpacing/>
      <w:jc w:val="left"/>
    </w:pPr>
    <w:rPr>
      <w:rFonts w:ascii="Calibri" w:hAnsi="Calibri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Angjian Wu</cp:lastModifiedBy>
  <cp:revision>3</cp:revision>
  <dcterms:created xsi:type="dcterms:W3CDTF">2026-06-11T07:36:00Z</dcterms:created>
  <dcterms:modified xsi:type="dcterms:W3CDTF">2026-06-11T07:37:00Z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4BCC1D3CAFCD418A9446B3C2817B617E_12</vt:lpwstr>
  </property>
</Properties>
</file>