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 xmlns:v="urn:schemas-microsoft-com:vml" xmlns:o="urn:schemas-microsoft-com:office:office" xmlns:wp="http://schemas.openxmlformats.org/drawingml/2006/wordprocessingDrawing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项目申报指南 - 小米揭榜挂帅2026科研专项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【前言】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为贯彻落实国家关于“引导企业与高校密切合作、推动产学研融通创新”的战略部署，深化科教兴国与人才强国战略，小米集团秉持“技术为本”理念，依托“深耕底层技术、持续长期投入、软硬深度融合、AI 全面赋能”的科技战略，正式启动 2026 小米揭榜挂帅科研专项。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校企合作是落实科教兴国、人才强国、创新驱动发展三大战略的重要抓手。本项目旨在促成企业与高校紧密合作，共同凝练科技问题、攻克关键技术，构建“基础探索-技术突破-产业转化”的创新闭环，打造多方共赢的产学研融合新生态。诚邀各高校及科研人员踊跃申报，鼓励积极推荐优秀同行参与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第一条 总则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本项目由小米集团全额出资，集团技术委员会、人力资源部及公益基金会联合发起。项目聚焦产业真实技术问题，面向国内高校及科研院所征集解决方案，搭建高水平产学研合作平台。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2026年度共发布 </w:t>
      </w:r>
      <w:r>
        <w:rPr>
          <w:rFonts w:eastAsia="等线" w:ascii="Arial" w:cs="Arial" w:hAnsi="Arial"/>
          <w:b w:val="true"/>
          <w:sz w:val="22"/>
        </w:rPr>
        <w:t>85</w:t>
      </w:r>
      <w:r>
        <w:rPr>
          <w:rFonts w:eastAsia="等线" w:ascii="Arial" w:cs="Arial" w:hAnsi="Arial"/>
          <w:sz w:val="22"/>
        </w:rPr>
        <w:t xml:space="preserve"> 项技术研究命题，涵盖</w:t>
      </w:r>
      <w:r>
        <w:rPr>
          <w:rFonts w:eastAsia="等线" w:ascii="Arial" w:cs="Arial" w:hAnsi="Arial"/>
          <w:b w:val="true"/>
          <w:sz w:val="22"/>
        </w:rPr>
        <w:t>硬件及驱动、智能汽车、人工智能、材料与工艺、前沿交叉</w:t>
      </w:r>
      <w:r>
        <w:rPr>
          <w:rFonts w:eastAsia="等线" w:ascii="Arial" w:cs="Arial" w:hAnsi="Arial"/>
          <w:sz w:val="22"/>
        </w:rPr>
        <w:t>五大技术赛道（详见</w:t>
      </w:r>
      <w:hyperlink r:id="rId4">
        <w:r>
          <w:rPr>
            <w:rFonts w:eastAsia="等线" w:ascii="Arial" w:cs="Arial" w:hAnsi="Arial"/>
            <w:color w:val="3370ff"/>
            <w:sz w:val="22"/>
          </w:rPr>
          <w:t>附件二《课题清单》</w:t>
        </w:r>
      </w:hyperlink>
      <w:r>
        <w:rPr>
          <w:rFonts w:eastAsia="等线" w:ascii="Arial" w:cs="Arial" w:hAnsi="Arial"/>
          <w:sz w:val="22"/>
        </w:rPr>
        <w:t>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本年度发布50项种子课题，新增35项攻坚课题，同时打造开放合作通道，构建“种子课题-攻坚课题-开放合作通道”三级支持体系，形成"基础探索-技术突破-产业转化"的创新路径。具体政策对比如下：</w:t>
      </w:r>
    </w:p>
    <w:p>
      <w:pPr>
        <w:spacing w:before="120" w:after="120" w:line="288" w:lineRule="auto"/>
        <w:ind w:left="0"/>
      </w:pPr>
      <w:r>
        <w:object>
          <v:shapetype coordsize="21600,21600" filled="f" id="_x0000_t75" o:preferrelative="t" path="m@4@5l@4@11@9@11@9@5xe" stroked="f" o:spt="75.0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id="_x0000_i1025" style="width:414pt;height:141pt;mso-width-percent:0;mso-height-percent:0;mso-width-percent:0;mso-height-percent:0" type="#_x0000_t75" o:ole="">
            <v:imagedata r:id="rId6" o:title=""/>
          </v:shape>
          <o:OLEObject DrawAspect="Icon" ObjectID="_1718471219" ProgID="Excel.Sheet.12" ShapeID="_x0000_i1025" Type="Embed" r:id="rId5"/>
        </w:object>
      </w:r>
    </w:p>
    <w:p>
      <w:pPr>
        <w:spacing w:after="120"/>
        <w:ind w:left="0"/>
        <w:jc w:val="center"/>
      </w:pPr>
      <w:r>
        <w:rPr>
          <w:rFonts w:eastAsia="等线" w:ascii="Arial" w:cs="Arial" w:hAnsi="Arial"/>
          <w:b w:val="true"/>
          <w:sz w:val="22"/>
        </w:rPr>
        <w:t>点击图片可查看完整电子表格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i w:val="true"/>
          <w:sz w:val="22"/>
        </w:rPr>
        <w:t>&gt; 注：种子课题与攻坚课题的申报限额互不冲突，但同一类型内需遵守限报规定。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第二条 申请条件</w:t>
      </w:r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基础资格 - 申请人须同时满足以下条件：</w:t>
      </w:r>
    </w:p>
    <w:p>
      <w:pPr>
        <w:numPr>
          <w:numId w:val="2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身份要求：国内高校或科研院所的全职教师或研究人员（不含在站博士后）。</w:t>
      </w:r>
    </w:p>
    <w:p>
      <w:pPr>
        <w:numPr>
          <w:numId w:val="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能力要求：具备独立开展科研工作能力，可组建师生团队共同实施。</w:t>
      </w:r>
    </w:p>
    <w:p>
      <w:pPr>
        <w:numPr>
          <w:numId w:val="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关系要求：与境外单位无正式聘用关系。</w:t>
      </w:r>
    </w:p>
    <w:p>
      <w:pPr>
        <w:numPr>
          <w:numId w:val="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资质要求：所在单位具备签署科研合作协议资质，申请人可代表单位签署保密协议等法律文件。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分类要求</w:t>
      </w:r>
    </w:p>
    <w:p>
      <w:pPr>
        <w:numPr>
          <w:numId w:val="7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种子课题：申请人出生日期在 1986 年 1 月 1 日（含）之后，或已获得“小米青年学者”资助。</w:t>
      </w:r>
    </w:p>
    <w:p>
      <w:pPr>
        <w:numPr>
          <w:numId w:val="8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攻坚课题及开放合作：年龄不限，重点考察团队在重大技术攻关方面的经验与实力。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第三条 计划安排</w:t>
      </w:r>
    </w:p>
    <w:p>
      <w:pPr>
        <w:spacing w:before="120" w:after="120" w:line="288" w:lineRule="auto"/>
        <w:ind w:left="0"/>
        <w:jc w:val="center"/>
      </w:pPr>
      <w:r>
        <w:drawing>
          <wp:inline distT="0" distR="0" distB="0" distL="0">
            <wp:extent cx="5143500" cy="2257425"/>
            <wp:docPr id="0" name="Drawing 0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i w:val="true"/>
          <w:sz w:val="22"/>
        </w:rPr>
        <w:t>&gt; 注：开放合作通道全年受理，收到方案后 30 个工作日内反馈。</w:t>
      </w:r>
      <w:r>
        <w:rPr>
          <w:rFonts w:eastAsia="等线" w:ascii="Arial" w:cs="Arial" w:hAnsi="Arial"/>
          <w:sz w:val="22"/>
        </w:rPr>
        <w:br/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第四条 申报方式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申报路径</w:t>
      </w:r>
    </w:p>
    <w:p>
      <w:pPr>
        <w:numPr>
          <w:numId w:val="10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方案提报链接：</w:t>
      </w:r>
      <w:hyperlink r:id="rId9">
        <w:r>
          <w:rPr>
            <w:rFonts w:eastAsia="等线" w:ascii="Arial" w:cs="Arial" w:hAnsi="Arial"/>
            <w:color w:val="3370ff"/>
            <w:sz w:val="22"/>
          </w:rPr>
          <w:t>点击提报</w:t>
        </w:r>
      </w:hyperlink>
    </w:p>
    <w:p>
      <w:pPr>
        <w:numPr>
          <w:numId w:val="11"/>
        </w:numPr>
        <w:spacing w:before="120" w:after="120" w:line="288" w:lineRule="auto"/>
        <w:ind w:left="907"/>
        <w:jc w:val="left"/>
      </w:pPr>
      <w:r>
        <w:rPr>
          <w:rFonts w:eastAsia="等线" w:ascii="Arial" w:cs="Arial" w:hAnsi="Arial"/>
          <w:sz w:val="22"/>
        </w:rPr>
        <w:t>注意事项：</w:t>
      </w:r>
      <w:r>
        <w:rPr>
          <w:rFonts w:eastAsia="等线" w:ascii="Arial" w:cs="Arial" w:hAnsi="Arial"/>
          <w:b w:val="true"/>
          <w:sz w:val="22"/>
        </w:rPr>
        <w:t>提报前</w:t>
      </w:r>
      <w:r>
        <w:rPr>
          <w:rFonts w:eastAsia="等线" w:ascii="Arial" w:cs="Arial" w:hAnsi="Arial"/>
          <w:sz w:val="22"/>
        </w:rPr>
        <w:t>请用电脑端下载</w:t>
      </w:r>
      <w:hyperlink r:id="rId10">
        <w:r>
          <w:rPr>
            <w:rFonts w:eastAsia="等线" w:ascii="Arial" w:cs="Arial" w:hAnsi="Arial"/>
            <w:color w:val="3370ff"/>
            <w:sz w:val="22"/>
          </w:rPr>
          <w:t>附件三《申报表》</w:t>
        </w:r>
      </w:hyperlink>
      <w:r>
        <w:rPr>
          <w:rFonts w:eastAsia="等线" w:ascii="Arial" w:cs="Arial" w:hAnsi="Arial"/>
          <w:sz w:val="22"/>
        </w:rPr>
        <w:t>模板，填写完成后保存为 Word 格式，提报时直接上传。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申报时间</w:t>
      </w:r>
    </w:p>
    <w:p>
      <w:pPr>
        <w:numPr>
          <w:numId w:val="1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种子课题：2026 年 3 月 23 日 8:00 - 2026 年 4 月 10 日 24:00（北京时间）；</w:t>
      </w:r>
    </w:p>
    <w:p>
      <w:pPr>
        <w:numPr>
          <w:numId w:val="1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攻坚课题：2026 年 3 月 23 日 8:00 - 2026 年 6 月 30 日 24:00（北京时间）；</w:t>
      </w:r>
    </w:p>
    <w:p>
      <w:pPr>
        <w:numPr>
          <w:numId w:val="1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开放合作通道：全年受理，收到方案后30个工作日内反馈。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咨询联系</w:t>
      </w:r>
    </w:p>
    <w:p>
      <w:pPr>
        <w:numPr>
          <w:numId w:val="17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联系人：张经理</w:t>
      </w:r>
    </w:p>
    <w:p>
      <w:pPr>
        <w:numPr>
          <w:numId w:val="18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电话：(010) 53286060</w:t>
      </w:r>
    </w:p>
    <w:p>
      <w:pPr>
        <w:numPr>
          <w:numId w:val="19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邮箱：</w:t>
      </w:r>
      <w:r>
        <w:rPr>
          <w:rFonts w:eastAsia="等线" w:ascii="Arial" w:cs="Arial" w:hAnsi="Arial"/>
          <w:sz w:val="22"/>
        </w:rPr>
        <w:t>zhangyajing@xiaomi.co</w:t>
      </w:r>
      <w:r>
        <w:rPr>
          <w:rFonts w:eastAsia="等线" w:ascii="Arial" w:cs="Arial" w:hAnsi="Arial"/>
          <w:sz w:val="22"/>
        </w:rPr>
        <w:t>m, xiaodan@xiaomi.com</w:t>
      </w:r>
    </w:p>
    <w:p>
      <w:pPr>
        <w:numPr>
          <w:numId w:val="20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在线提问：</w:t>
      </w:r>
      <w:hyperlink r:id="rId11">
        <w:r>
          <w:rPr>
            <w:rFonts w:eastAsia="等线" w:ascii="Arial" w:cs="Arial" w:hAnsi="Arial"/>
            <w:color w:val="3370ff"/>
            <w:sz w:val="22"/>
          </w:rPr>
          <w:t>点击提问</w:t>
        </w:r>
      </w:hyperlink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第五条 方案评审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小米集团将邀请来自集团与一线业务的产业技术专家担任项目评委，成立项目专家委员会，负责监督计划实施及项目内部评审。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评审主要考量维度包括：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申请方案的创新性和可行性；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申请者的实施计划及输出成果的意义和价值；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申请者（及团队）的学术水平和科研能力。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第六条 项目管理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小米集团成立联合项目组，对项目实行全生命周期管理（含启动、评选、交流、签约、执行及验收）。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交流机制：评审前不组织线下交流；入选团队将由集团技术委员会统一组织</w:t>
      </w:r>
      <w:r>
        <w:rPr>
          <w:rFonts w:eastAsia="等线" w:ascii="Arial" w:cs="Arial" w:hAnsi="Arial"/>
          <w:sz w:val="22"/>
          <w:u w:val="single"/>
        </w:rPr>
        <w:t>线上对接</w:t>
      </w:r>
      <w:r>
        <w:rPr>
          <w:rFonts w:eastAsia="等线" w:ascii="Arial" w:cs="Arial" w:hAnsi="Arial"/>
          <w:sz w:val="22"/>
        </w:rPr>
        <w:t>。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签约要求：获选团队须在结果公布后30 个工作日内完成协议签署，逾期视为自动放弃。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项目开展</w:t>
      </w:r>
      <w:r>
        <w:rPr>
          <w:rFonts w:eastAsia="等线" w:ascii="Arial" w:cs="Arial" w:hAnsi="Arial"/>
          <w:b w:val="true"/>
          <w:sz w:val="22"/>
        </w:rPr>
        <w:t>：</w:t>
      </w:r>
      <w:r>
        <w:rPr>
          <w:rFonts w:eastAsia="等线" w:ascii="Arial" w:cs="Arial" w:hAnsi="Arial"/>
          <w:sz w:val="22"/>
        </w:rPr>
        <w:t>受资助者与小米集团技术委员会、具体业务团队共同配合开展项目工作，具体流程以与小米集团技术委员会沟通为准。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变更与终止：</w:t>
      </w:r>
    </w:p>
    <w:p>
      <w:pPr>
        <w:numPr>
          <w:numId w:val="28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项目立项后原则上不得更换负责人。</w:t>
      </w:r>
    </w:p>
    <w:p>
      <w:pPr>
        <w:numPr>
          <w:numId w:val="29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研究期限：以签署协议约定为准（种子课题一般为 1 年，攻坚课题不超过 2年）。</w:t>
      </w:r>
    </w:p>
    <w:p>
      <w:pPr>
        <w:numPr>
          <w:numId w:val="30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因故中断研究需配合集团完成终止协议及资产清算。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第七条 知识产权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项目产生的新增成果（论文、专利、代码等）知识产权由项目负责人所在院校与小米集团共同所有，</w:t>
      </w:r>
      <w:r>
        <w:rPr>
          <w:rFonts w:eastAsia="等线" w:ascii="Arial" w:cs="Arial" w:hAnsi="Arial"/>
          <w:b w:val="true"/>
          <w:sz w:val="22"/>
        </w:rPr>
        <w:t>具体细节以签署协议为准</w:t>
      </w:r>
      <w:r>
        <w:rPr>
          <w:rFonts w:eastAsia="等线" w:ascii="Arial" w:cs="Arial" w:hAnsi="Arial"/>
          <w:sz w:val="22"/>
        </w:rPr>
        <w:t>。相关论文或著作将被收录到小米集团内部学术论文库供浏览查阅。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第八条 附则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本指南自发布之日起实施，由小米集团技术委员会负责解释。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小米集团保留对本项目相关事宜的最终解释权。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right"/>
      </w:pPr>
      <w:r>
        <w:rPr>
          <w:rFonts w:eastAsia="等线" w:ascii="Arial" w:cs="Arial" w:hAnsi="Arial"/>
          <w:sz w:val="22"/>
        </w:rPr>
        <w:t>小米集团</w:t>
      </w:r>
    </w:p>
    <w:p>
      <w:pPr>
        <w:spacing w:before="120" w:after="120" w:line="288" w:lineRule="auto"/>
        <w:ind w:left="0"/>
        <w:jc w:val="right"/>
      </w:pPr>
      <w:r>
        <w:rPr>
          <w:rFonts w:eastAsia="等线" w:ascii="Arial" w:cs="Arial" w:hAnsi="Arial"/>
          <w:sz w:val="22"/>
        </w:rPr>
        <w:t>2026 年 03 月 18 日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eead2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hyperlink r:id="rId12">
              <w:r>
                <w:rPr>
                  <w:rFonts w:eastAsia="等线" w:ascii="Arial" w:cs="Arial" w:hAnsi="Arial"/>
                  <w:color w:val="3370ff"/>
                  <w:sz w:val="22"/>
                </w:rPr>
                <w:t>附件一：项目申报指南（本文件）</w:t>
              </w:r>
            </w:hyperlink>
          </w:p>
          <w:p>
            <w:pPr>
              <w:spacing w:before="120" w:after="120" w:line="288" w:lineRule="auto"/>
              <w:ind w:left="0"/>
              <w:jc w:val="left"/>
            </w:pPr>
            <w:hyperlink r:id="rId13">
              <w:r>
                <w:rPr>
                  <w:rFonts w:eastAsia="等线" w:ascii="Arial" w:cs="Arial" w:hAnsi="Arial"/>
                  <w:color w:val="3370ff"/>
                  <w:sz w:val="22"/>
                </w:rPr>
                <w:t>附件二：2026 年度课题清单（含课题详细描述）</w:t>
              </w:r>
            </w:hyperlink>
          </w:p>
          <w:p>
            <w:pPr>
              <w:spacing w:before="120" w:after="120" w:line="288" w:lineRule="auto"/>
              <w:ind w:left="0"/>
              <w:jc w:val="left"/>
            </w:pPr>
            <w:hyperlink r:id="rId14">
              <w:r>
                <w:rPr>
                  <w:rFonts w:eastAsia="等线" w:ascii="Arial" w:cs="Arial" w:hAnsi="Arial"/>
                  <w:color w:val="3370ff"/>
                  <w:sz w:val="22"/>
                </w:rPr>
                <w:t>附件三：项目申报表（模板）需在电脑端下载，手机端仅可预览</w:t>
              </w:r>
            </w:hyperlink>
          </w:p>
          <w:p>
            <w:pPr>
              <w:spacing w:before="120" w:after="120" w:line="288" w:lineRule="auto"/>
              <w:ind w:left="0"/>
              <w:jc w:val="left"/>
            </w:pPr>
            <w:hyperlink r:id="rId15">
              <w:r>
                <w:rPr>
                  <w:rFonts w:eastAsia="等线" w:ascii="Arial" w:cs="Arial" w:hAnsi="Arial"/>
                  <w:color w:val="3370ff"/>
                  <w:sz w:val="22"/>
                </w:rPr>
                <w:t>附件四：课题揭榜状态速查</w:t>
              </w:r>
            </w:hyperlink>
          </w:p>
          <w:p>
            <w:pPr>
              <w:spacing w:before="120" w:after="120" w:line="288" w:lineRule="auto"/>
              <w:ind w:left="0"/>
              <w:jc w:val="left"/>
            </w:pPr>
          </w:p>
          <w:p>
            <w:pPr>
              <w:spacing w:before="120" w:after="120" w:line="288" w:lineRule="auto"/>
              <w:ind w:left="0"/>
              <w:jc w:val="left"/>
            </w:pPr>
            <w:hyperlink r:id="rId16">
              <w:r>
                <w:rPr>
                  <w:rFonts w:eastAsia="等线" w:ascii="Arial" w:cs="Arial" w:hAnsi="Arial"/>
                  <w:color w:val="3370ff"/>
                  <w:sz w:val="22"/>
                </w:rPr>
                <w:t>申报及提问入口</w:t>
              </w:r>
            </w:hyperlink>
          </w:p>
        </w:tc>
      </w:tr>
    </w:tbl>
    <w:p>
      <w:pPr>
        <w:spacing w:before="120" w:after="120" w:line="288" w:lineRule="auto"/>
        <w:ind w:left="0"/>
        <w:jc w:val="left"/>
      </w:pPr>
    </w:p>
    <w:sectPr>
      <w:footerReference w:type="default" r:id="rId3"/>
      <w:headerReference w:type="default" r:id="rId17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443102">
    <w:lvl>
      <w:numFmt w:val="bullet"/>
      <w:suff w:val="tab"/>
      <w:lvlText w:val="•"/>
      <w:rPr>
        <w:color w:val="3370ff"/>
      </w:rPr>
    </w:lvl>
  </w:abstractNum>
  <w:abstractNum w:abstractNumId="443103">
    <w:lvl>
      <w:numFmt w:val="bullet"/>
      <w:suff w:val="tab"/>
      <w:lvlText w:val="￮"/>
      <w:rPr>
        <w:color w:val="3370ff"/>
      </w:rPr>
    </w:lvl>
  </w:abstractNum>
  <w:abstractNum w:abstractNumId="443104">
    <w:lvl>
      <w:numFmt w:val="bullet"/>
      <w:suff w:val="tab"/>
      <w:lvlText w:val="￮"/>
      <w:rPr>
        <w:color w:val="3370ff"/>
      </w:rPr>
    </w:lvl>
  </w:abstractNum>
  <w:abstractNum w:abstractNumId="443105">
    <w:lvl>
      <w:numFmt w:val="bullet"/>
      <w:suff w:val="tab"/>
      <w:lvlText w:val="￮"/>
      <w:rPr>
        <w:color w:val="3370ff"/>
      </w:rPr>
    </w:lvl>
  </w:abstractNum>
  <w:abstractNum w:abstractNumId="443106">
    <w:lvl>
      <w:numFmt w:val="bullet"/>
      <w:suff w:val="tab"/>
      <w:lvlText w:val="￮"/>
      <w:rPr>
        <w:color w:val="3370ff"/>
      </w:rPr>
    </w:lvl>
  </w:abstractNum>
  <w:abstractNum w:abstractNumId="443107">
    <w:lvl>
      <w:numFmt w:val="bullet"/>
      <w:suff w:val="tab"/>
      <w:lvlText w:val="•"/>
      <w:rPr>
        <w:color w:val="3370ff"/>
      </w:rPr>
    </w:lvl>
  </w:abstractNum>
  <w:abstractNum w:abstractNumId="443108">
    <w:lvl>
      <w:numFmt w:val="bullet"/>
      <w:suff w:val="tab"/>
      <w:lvlText w:val="￮"/>
      <w:rPr>
        <w:color w:val="3370ff"/>
      </w:rPr>
    </w:lvl>
  </w:abstractNum>
  <w:abstractNum w:abstractNumId="443109">
    <w:lvl>
      <w:numFmt w:val="bullet"/>
      <w:suff w:val="tab"/>
      <w:lvlText w:val="￮"/>
      <w:rPr>
        <w:color w:val="3370ff"/>
      </w:rPr>
    </w:lvl>
  </w:abstractNum>
  <w:abstractNum w:abstractNumId="443110">
    <w:lvl>
      <w:numFmt w:val="bullet"/>
      <w:suff w:val="tab"/>
      <w:lvlText w:val="•"/>
      <w:rPr>
        <w:color w:val="3370ff"/>
      </w:rPr>
    </w:lvl>
  </w:abstractNum>
  <w:abstractNum w:abstractNumId="443111">
    <w:lvl>
      <w:numFmt w:val="bullet"/>
      <w:suff w:val="tab"/>
      <w:lvlText w:val="￮"/>
      <w:rPr>
        <w:color w:val="3370ff"/>
      </w:rPr>
    </w:lvl>
  </w:abstractNum>
  <w:abstractNum w:abstractNumId="443112">
    <w:lvl>
      <w:numFmt w:val="bullet"/>
      <w:suff w:val="tab"/>
      <w:lvlText w:val="▪"/>
      <w:rPr>
        <w:color w:val="3370ff"/>
        <w:sz w:val="11"/>
      </w:rPr>
    </w:lvl>
  </w:abstractNum>
  <w:abstractNum w:abstractNumId="443113">
    <w:lvl>
      <w:numFmt w:val="bullet"/>
      <w:suff w:val="tab"/>
      <w:lvlText w:val="•"/>
      <w:rPr>
        <w:color w:val="3370ff"/>
      </w:rPr>
    </w:lvl>
  </w:abstractNum>
  <w:abstractNum w:abstractNumId="443114">
    <w:lvl>
      <w:numFmt w:val="bullet"/>
      <w:suff w:val="tab"/>
      <w:lvlText w:val="￮"/>
      <w:rPr>
        <w:color w:val="3370ff"/>
      </w:rPr>
    </w:lvl>
  </w:abstractNum>
  <w:abstractNum w:abstractNumId="443115">
    <w:lvl>
      <w:numFmt w:val="bullet"/>
      <w:suff w:val="tab"/>
      <w:lvlText w:val="￮"/>
      <w:rPr>
        <w:color w:val="3370ff"/>
      </w:rPr>
    </w:lvl>
  </w:abstractNum>
  <w:abstractNum w:abstractNumId="443116">
    <w:lvl>
      <w:numFmt w:val="bullet"/>
      <w:suff w:val="tab"/>
      <w:lvlText w:val="￮"/>
      <w:rPr>
        <w:color w:val="3370ff"/>
      </w:rPr>
    </w:lvl>
  </w:abstractNum>
  <w:abstractNum w:abstractNumId="443117">
    <w:lvl>
      <w:numFmt w:val="bullet"/>
      <w:suff w:val="tab"/>
      <w:lvlText w:val="•"/>
      <w:rPr>
        <w:color w:val="3370ff"/>
      </w:rPr>
    </w:lvl>
  </w:abstractNum>
  <w:abstractNum w:abstractNumId="443118">
    <w:lvl>
      <w:numFmt w:val="bullet"/>
      <w:suff w:val="tab"/>
      <w:lvlText w:val="￮"/>
      <w:rPr>
        <w:color w:val="3370ff"/>
      </w:rPr>
    </w:lvl>
  </w:abstractNum>
  <w:abstractNum w:abstractNumId="443119">
    <w:lvl>
      <w:numFmt w:val="bullet"/>
      <w:suff w:val="tab"/>
      <w:lvlText w:val="￮"/>
      <w:rPr>
        <w:color w:val="3370ff"/>
      </w:rPr>
    </w:lvl>
  </w:abstractNum>
  <w:abstractNum w:abstractNumId="443120">
    <w:lvl>
      <w:numFmt w:val="bullet"/>
      <w:suff w:val="tab"/>
      <w:lvlText w:val="￮"/>
      <w:rPr>
        <w:color w:val="3370ff"/>
      </w:rPr>
    </w:lvl>
  </w:abstractNum>
  <w:abstractNum w:abstractNumId="443121">
    <w:lvl>
      <w:numFmt w:val="bullet"/>
      <w:suff w:val="tab"/>
      <w:lvlText w:val="￮"/>
      <w:rPr>
        <w:color w:val="3370ff"/>
      </w:rPr>
    </w:lvl>
  </w:abstractNum>
  <w:abstractNum w:abstractNumId="443122">
    <w:lvl>
      <w:numFmt w:val="bullet"/>
      <w:suff w:val="tab"/>
      <w:lvlText w:val="•"/>
      <w:rPr>
        <w:color w:val="3370ff"/>
      </w:rPr>
    </w:lvl>
  </w:abstractNum>
  <w:abstractNum w:abstractNumId="443123">
    <w:lvl>
      <w:numFmt w:val="bullet"/>
      <w:suff w:val="tab"/>
      <w:lvlText w:val="•"/>
      <w:rPr>
        <w:color w:val="3370ff"/>
      </w:rPr>
    </w:lvl>
  </w:abstractNum>
  <w:abstractNum w:abstractNumId="443124">
    <w:lvl>
      <w:numFmt w:val="bullet"/>
      <w:suff w:val="tab"/>
      <w:lvlText w:val="•"/>
      <w:rPr>
        <w:color w:val="3370ff"/>
      </w:rPr>
    </w:lvl>
  </w:abstractNum>
  <w:abstractNum w:abstractNumId="443125">
    <w:lvl>
      <w:numFmt w:val="bullet"/>
      <w:suff w:val="tab"/>
      <w:lvlText w:val="•"/>
      <w:rPr>
        <w:color w:val="3370ff"/>
      </w:rPr>
    </w:lvl>
  </w:abstractNum>
  <w:abstractNum w:abstractNumId="443126">
    <w:lvl>
      <w:numFmt w:val="bullet"/>
      <w:suff w:val="tab"/>
      <w:lvlText w:val="•"/>
      <w:rPr>
        <w:color w:val="3370ff"/>
      </w:rPr>
    </w:lvl>
  </w:abstractNum>
  <w:abstractNum w:abstractNumId="443127">
    <w:lvl>
      <w:numFmt w:val="bullet"/>
      <w:suff w:val="tab"/>
      <w:lvlText w:val="•"/>
      <w:rPr>
        <w:color w:val="3370ff"/>
      </w:rPr>
    </w:lvl>
  </w:abstractNum>
  <w:abstractNum w:abstractNumId="443128">
    <w:lvl>
      <w:numFmt w:val="bullet"/>
      <w:suff w:val="tab"/>
      <w:lvlText w:val="•"/>
      <w:rPr>
        <w:color w:val="3370ff"/>
      </w:rPr>
    </w:lvl>
  </w:abstractNum>
  <w:abstractNum w:abstractNumId="443129">
    <w:lvl>
      <w:numFmt w:val="bullet"/>
      <w:suff w:val="tab"/>
      <w:lvlText w:val="￮"/>
      <w:rPr>
        <w:color w:val="3370ff"/>
      </w:rPr>
    </w:lvl>
  </w:abstractNum>
  <w:abstractNum w:abstractNumId="443130">
    <w:lvl>
      <w:numFmt w:val="bullet"/>
      <w:suff w:val="tab"/>
      <w:lvlText w:val="￮"/>
      <w:rPr>
        <w:color w:val="3370ff"/>
      </w:rPr>
    </w:lvl>
  </w:abstractNum>
  <w:abstractNum w:abstractNumId="443131">
    <w:lvl>
      <w:numFmt w:val="bullet"/>
      <w:suff w:val="tab"/>
      <w:lvlText w:val="￮"/>
      <w:rPr>
        <w:color w:val="3370ff"/>
      </w:rPr>
    </w:lvl>
  </w:abstractNum>
  <w:abstractNum w:abstractNumId="443132">
    <w:lvl>
      <w:numFmt w:val="bullet"/>
      <w:suff w:val="tab"/>
      <w:lvlText w:val="•"/>
      <w:rPr>
        <w:color w:val="3370ff"/>
      </w:rPr>
    </w:lvl>
  </w:abstractNum>
  <w:abstractNum w:abstractNumId="443133">
    <w:lvl>
      <w:numFmt w:val="bullet"/>
      <w:suff w:val="tab"/>
      <w:lvlText w:val="•"/>
      <w:rPr>
        <w:color w:val="3370ff"/>
      </w:rPr>
    </w:lvl>
  </w:abstractNum>
  <w:num w:numId="1">
    <w:abstractNumId w:val="443102"/>
  </w:num>
  <w:num w:numId="2">
    <w:abstractNumId w:val="443103"/>
  </w:num>
  <w:num w:numId="3">
    <w:abstractNumId w:val="443104"/>
  </w:num>
  <w:num w:numId="4">
    <w:abstractNumId w:val="443105"/>
  </w:num>
  <w:num w:numId="5">
    <w:abstractNumId w:val="443106"/>
  </w:num>
  <w:num w:numId="6">
    <w:abstractNumId w:val="443107"/>
  </w:num>
  <w:num w:numId="7">
    <w:abstractNumId w:val="443108"/>
  </w:num>
  <w:num w:numId="8">
    <w:abstractNumId w:val="443109"/>
  </w:num>
  <w:num w:numId="9">
    <w:abstractNumId w:val="443110"/>
  </w:num>
  <w:num w:numId="10">
    <w:abstractNumId w:val="443111"/>
  </w:num>
  <w:num w:numId="11">
    <w:abstractNumId w:val="443112"/>
  </w:num>
  <w:num w:numId="12">
    <w:abstractNumId w:val="443113"/>
  </w:num>
  <w:num w:numId="13">
    <w:abstractNumId w:val="443114"/>
  </w:num>
  <w:num w:numId="14">
    <w:abstractNumId w:val="443115"/>
  </w:num>
  <w:num w:numId="15">
    <w:abstractNumId w:val="443116"/>
  </w:num>
  <w:num w:numId="16">
    <w:abstractNumId w:val="443117"/>
  </w:num>
  <w:num w:numId="17">
    <w:abstractNumId w:val="443118"/>
  </w:num>
  <w:num w:numId="18">
    <w:abstractNumId w:val="443119"/>
  </w:num>
  <w:num w:numId="19">
    <w:abstractNumId w:val="443120"/>
  </w:num>
  <w:num w:numId="20">
    <w:abstractNumId w:val="443121"/>
  </w:num>
  <w:num w:numId="21">
    <w:abstractNumId w:val="443122"/>
  </w:num>
  <w:num w:numId="22">
    <w:abstractNumId w:val="443123"/>
  </w:num>
  <w:num w:numId="23">
    <w:abstractNumId w:val="443124"/>
  </w:num>
  <w:num w:numId="24">
    <w:abstractNumId w:val="443125"/>
  </w:num>
  <w:num w:numId="25">
    <w:abstractNumId w:val="443126"/>
  </w:num>
  <w:num w:numId="26">
    <w:abstractNumId w:val="443127"/>
  </w:num>
  <w:num w:numId="27">
    <w:abstractNumId w:val="443128"/>
  </w:num>
  <w:num w:numId="28">
    <w:abstractNumId w:val="443129"/>
  </w:num>
  <w:num w:numId="29">
    <w:abstractNumId w:val="443130"/>
  </w:num>
  <w:num w:numId="30">
    <w:abstractNumId w:val="443131"/>
  </w:num>
  <w:num w:numId="31">
    <w:abstractNumId w:val="443132"/>
  </w:num>
  <w:num w:numId="32">
    <w:abstractNumId w:val="443133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10" Target="https://my.feishu.cn/wiki/TOEzwNW5RifXPlkq33FcB0rXngo" TargetMode="External" Type="http://schemas.openxmlformats.org/officeDocument/2006/relationships/hyperlink"/><Relationship Id="rId11" Target="https://mi.feishu.cn/share/base/form/shrcnLlTQzCb3KGRvvCZ2NgACjf" TargetMode="External" Type="http://schemas.openxmlformats.org/officeDocument/2006/relationships/hyperlink"/><Relationship Id="rId12" Target="https://my.feishu.cn/wiki/JXPkwM0HziFAXvkzctXcRhLjnMh" TargetMode="External" Type="http://schemas.openxmlformats.org/officeDocument/2006/relationships/hyperlink"/><Relationship Id="rId13" Target="https://my.feishu.cn/wiki/Ptm9wEVaYiI654kC95iczcCUnjg" TargetMode="External" Type="http://schemas.openxmlformats.org/officeDocument/2006/relationships/hyperlink"/><Relationship Id="rId14" Target="https://my.feishu.cn/wiki/TOEzwNW5RifXPlkq33FcB0rXngo" TargetMode="External" Type="http://schemas.openxmlformats.org/officeDocument/2006/relationships/hyperlink"/><Relationship Id="rId15" Target="https://my.feishu.cn/app/CJEWbLS8iaIHu2stv9zcjjOLnYf?from=from_copylink" TargetMode="External" Type="http://schemas.openxmlformats.org/officeDocument/2006/relationships/hyperlink"/><Relationship Id="rId16" Target="https://mi.feishu.cn/share/base/form/shrcnLlTQzCb3KGRvvCZ2NgACjf" TargetMode="External" Type="http://schemas.openxmlformats.org/officeDocument/2006/relationships/hyperlink"/><Relationship Id="rId17" Target="header1.xml" Type="http://schemas.openxmlformats.org/officeDocument/2006/relationships/header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ttps://my.feishu.cn/wiki/Ptm9wEVaYiI654kC95iczcCUnjg" TargetMode="External" Type="http://schemas.openxmlformats.org/officeDocument/2006/relationships/hyperlink"/><Relationship Id="rId5" Target="embeddings/Microsoft_Excel_Worksheet1.xlsx" Type="http://schemas.openxmlformats.org/officeDocument/2006/relationships/package"/><Relationship Id="rId6" Target="media/image1.png" Type="http://schemas.openxmlformats.org/officeDocument/2006/relationships/image"/><Relationship Id="rId7" Target="numbering.xml" Type="http://schemas.openxmlformats.org/officeDocument/2006/relationships/numbering"/><Relationship Id="rId8" Target="media/image2.png" Type="http://schemas.openxmlformats.org/officeDocument/2006/relationships/image"/><Relationship Id="rId9" Target="https://mi.feishu.cn/share/base/form/shrcnLlTQzCb3KGRvvCZ2NgACjf" TargetMode="External" Type="http://schemas.openxmlformats.org/officeDocument/2006/relationships/hyperlink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2026-03-17T03:09:17Z</dcterms:created>
  <dc:creator>Apache POI</dc:creator>
</cp:coreProperties>
</file>