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11" w:rsidRDefault="005412B8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</w:t>
      </w:r>
      <w:r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项目名称：</w:t>
      </w:r>
      <w:r>
        <w:rPr>
          <w:rFonts w:eastAsia="仿宋_GB2312" w:hint="eastAsia"/>
          <w:kern w:val="0"/>
          <w:sz w:val="30"/>
          <w:szCs w:val="30"/>
        </w:rPr>
        <w:t>非粮型饲料资源挖掘与安全利用关键技术创新</w:t>
      </w:r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推荐单位：</w:t>
      </w:r>
      <w:r w:rsidR="0055794B">
        <w:rPr>
          <w:rFonts w:eastAsia="仿宋_GB2312" w:hint="eastAsia"/>
          <w:kern w:val="0"/>
          <w:sz w:val="30"/>
          <w:szCs w:val="30"/>
        </w:rPr>
        <w:t>黑龙江省农业农村厅</w:t>
      </w:r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推荐奖种：科学研究类</w:t>
      </w:r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申报奖项等级：</w:t>
      </w:r>
      <w:r w:rsidR="0055794B">
        <w:rPr>
          <w:rFonts w:eastAsia="仿宋_GB2312" w:hint="eastAsia"/>
          <w:kern w:val="0"/>
          <w:sz w:val="30"/>
          <w:szCs w:val="30"/>
        </w:rPr>
        <w:t>一等奖</w:t>
      </w:r>
      <w:bookmarkStart w:id="0" w:name="_GoBack"/>
      <w:bookmarkEnd w:id="0"/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主要完成人：</w:t>
      </w:r>
      <w:r>
        <w:rPr>
          <w:rFonts w:eastAsia="仿宋_GB2312" w:hint="eastAsia"/>
          <w:kern w:val="0"/>
          <w:sz w:val="30"/>
          <w:szCs w:val="30"/>
        </w:rPr>
        <w:t>单安山，郑鑫，冯兴军，邵彩梅，石宝明，张晶，张子威，李卫芬，燕磊，梁代华，刘化伟，李勇，李建平，李锋，窦秀静，孟庆维，王家俊，邵长轩，毕重朋，张丽聪。</w:t>
      </w:r>
    </w:p>
    <w:p w:rsidR="00F22911" w:rsidRDefault="005412B8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主要完成单位：</w:t>
      </w:r>
      <w:r>
        <w:rPr>
          <w:rFonts w:eastAsia="仿宋_GB2312" w:hint="eastAsia"/>
          <w:kern w:val="0"/>
          <w:sz w:val="30"/>
          <w:szCs w:val="30"/>
        </w:rPr>
        <w:t>东北农业大学，吉林农业大学，吉林大学，浙江大学，新希望六和股份有限公司，禾丰食品股份有限公司，谷实生物集团股份有限公司，哈尔滨远大牧业有限公司</w:t>
      </w:r>
    </w:p>
    <w:p w:rsidR="00F22911" w:rsidRDefault="00F22911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:rsidR="00F22911" w:rsidRDefault="005412B8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1" w:name="_Hlk50802236"/>
      <w:r>
        <w:rPr>
          <w:b/>
          <w:bCs/>
          <w:sz w:val="30"/>
          <w:szCs w:val="30"/>
        </w:rPr>
        <w:t>主要知识产权和标准规范等目录</w:t>
      </w:r>
      <w:bookmarkEnd w:id="1"/>
      <w:r>
        <w:t>（</w:t>
      </w:r>
      <w:r>
        <w:rPr>
          <w:rFonts w:eastAsia="仿宋_GB2312"/>
        </w:rPr>
        <w:t>不超过</w:t>
      </w:r>
      <w:r>
        <w:rPr>
          <w:rFonts w:eastAsia="仿宋_GB2312"/>
        </w:rPr>
        <w:t>10</w:t>
      </w:r>
      <w:r>
        <w:rPr>
          <w:rFonts w:eastAsia="仿宋_GB2312"/>
        </w:rPr>
        <w:t>项</w:t>
      </w:r>
      <w:r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类别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一种棕榈酸化抗酶解抗菌肽及其制备方法和应用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Cs w:val="21"/>
              </w:rPr>
              <w:t>一种减少母猪乳中脂肪球颗粒粒径的饲料添加剂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Cs w:val="21"/>
              </w:rPr>
              <w:t>一种降解纤维素的民猪源贝莱斯芽孢杆菌</w:t>
            </w:r>
            <w:r>
              <w:rPr>
                <w:szCs w:val="21"/>
              </w:rPr>
              <w:t>GX-1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>β</w:t>
            </w:r>
            <w:r>
              <w:rPr>
                <w:color w:val="000000"/>
                <w:szCs w:val="21"/>
              </w:rPr>
              <w:t>－胡萝卜素在制备免疫促进剂中的应用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color w:val="000000"/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Cs w:val="21"/>
              </w:rPr>
              <w:t>猪用菌肽免疫调节饲料添加剂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color w:val="000000"/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Cs w:val="21"/>
              </w:rPr>
              <w:t>靶向金黄色葡萄球菌抗菌肽</w:t>
            </w:r>
            <w:r>
              <w:rPr>
                <w:szCs w:val="21"/>
              </w:rPr>
              <w:t>S2</w:t>
            </w:r>
            <w:r>
              <w:rPr>
                <w:szCs w:val="21"/>
              </w:rPr>
              <w:t>及其制备方法和应用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呼吸袋法生产发酵饲料技术规程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地方标准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eastAsia="仿宋" w:hint="eastAsia"/>
              </w:rPr>
              <w:t>Self-Assembling Peptide Dendron Nanoparticles with High Stability and a Multimodal Antimicrobial Mechanism of Action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Cross-strand interaction, central bending and sequence pattern act as </w:t>
            </w:r>
            <w:proofErr w:type="spellStart"/>
            <w:r>
              <w:rPr>
                <w:sz w:val="20"/>
                <w:szCs w:val="20"/>
              </w:rPr>
              <w:t>biomodulators</w:t>
            </w:r>
            <w:proofErr w:type="spellEnd"/>
            <w:r>
              <w:rPr>
                <w:sz w:val="20"/>
                <w:szCs w:val="20"/>
              </w:rPr>
              <w:t xml:space="preserve"> of simplified β-hairpin antimicrobial </w:t>
            </w:r>
            <w:proofErr w:type="spellStart"/>
            <w:r>
              <w:rPr>
                <w:sz w:val="20"/>
                <w:szCs w:val="20"/>
              </w:rPr>
              <w:t>amphiphiles</w:t>
            </w:r>
            <w:proofErr w:type="spellEnd"/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</w:t>
            </w:r>
          </w:p>
        </w:tc>
      </w:tr>
      <w:tr w:rsidR="00F22911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:rsidR="00F22911" w:rsidRDefault="005412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Alleviation of oral exposure to aflatoxin B1-induced renal dysfunction, oxidative stress, and cell apoptosis in mice kidney by curcumin</w:t>
            </w:r>
          </w:p>
        </w:tc>
        <w:tc>
          <w:tcPr>
            <w:tcW w:w="1288" w:type="dxa"/>
            <w:vAlign w:val="center"/>
          </w:tcPr>
          <w:p w:rsidR="00F22911" w:rsidRDefault="005412B8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</w:t>
            </w:r>
          </w:p>
        </w:tc>
      </w:tr>
    </w:tbl>
    <w:p w:rsidR="00F22911" w:rsidRDefault="00F22911">
      <w:pPr>
        <w:rPr>
          <w:rFonts w:eastAsia="黑体"/>
          <w:bCs/>
          <w:sz w:val="32"/>
          <w:szCs w:val="32"/>
        </w:rPr>
      </w:pPr>
    </w:p>
    <w:sectPr w:rsidR="00F2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隶书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12B8"/>
    <w:rsid w:val="00545A5B"/>
    <w:rsid w:val="0055794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2911"/>
    <w:rsid w:val="00F23EAD"/>
    <w:rsid w:val="02344CC2"/>
    <w:rsid w:val="0310682D"/>
    <w:rsid w:val="04536448"/>
    <w:rsid w:val="0ED32D24"/>
    <w:rsid w:val="16E718D0"/>
    <w:rsid w:val="3CC75FEE"/>
    <w:rsid w:val="3E3B2D1E"/>
    <w:rsid w:val="43884ABF"/>
    <w:rsid w:val="56BA47D4"/>
    <w:rsid w:val="5AB13779"/>
    <w:rsid w:val="5C337866"/>
    <w:rsid w:val="62E33669"/>
    <w:rsid w:val="68356714"/>
    <w:rsid w:val="6B4F6797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594552-0034-4A1A-820A-3ABBB7C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b/>
      <w:sz w:val="32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pPr>
      <w:widowControl/>
      <w:snapToGrid w:val="0"/>
    </w:pPr>
  </w:style>
  <w:style w:type="table" w:styleId="ae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qFormat/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a4">
    <w:name w:val="纯文本 字符"/>
    <w:basedOn w:val="a0"/>
    <w:link w:val="a3"/>
    <w:uiPriority w:val="99"/>
    <w:qFormat/>
    <w:rPr>
      <w:rFonts w:ascii="仿宋_GB2312" w:eastAsia="宋体" w:hAnsi="Times New Roman" w:cs="Times New Roman"/>
      <w:kern w:val="2"/>
      <w:sz w:val="24"/>
      <w:szCs w:val="24"/>
    </w:rPr>
  </w:style>
  <w:style w:type="character" w:customStyle="1" w:styleId="a6">
    <w:name w:val="日期 字符"/>
    <w:basedOn w:val="a0"/>
    <w:link w:val="a5"/>
    <w:rPr>
      <w:rFonts w:ascii="Times New Roman" w:eastAsia="宋体" w:hAnsi="Times New Roman" w:cs="Times New Roman"/>
      <w:b/>
      <w:kern w:val="2"/>
      <w:sz w:val="32"/>
      <w:szCs w:val="24"/>
    </w:rPr>
  </w:style>
  <w:style w:type="character" w:customStyle="1" w:styleId="22">
    <w:name w:val="正文文本缩进 2 字符"/>
    <w:basedOn w:val="a0"/>
    <w:link w:val="21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2">
    <w:name w:val="1"/>
    <w:basedOn w:val="a"/>
    <w:qFormat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Pr>
      <w:rFonts w:ascii="宋体" w:eastAsia="宋体" w:hAnsi="宋体" w:cs="Times New Roman"/>
      <w:b/>
      <w:bCs/>
      <w:sz w:val="32"/>
      <w:szCs w:val="3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</cp:lastModifiedBy>
  <cp:revision>3</cp:revision>
  <cp:lastPrinted>2022-09-20T01:17:00Z</cp:lastPrinted>
  <dcterms:created xsi:type="dcterms:W3CDTF">2023-02-03T04:13:00Z</dcterms:created>
  <dcterms:modified xsi:type="dcterms:W3CDTF">2023-02-03T08:47:00Z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8DA32C79705F4A929310E166060AF50B</vt:lpwstr>
  </property>
</Properties>
</file>