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2D394">
      <w:pPr>
        <w:keepNext w:val="0"/>
        <w:keepLines w:val="0"/>
        <w:pageBreakBefore w:val="0"/>
        <w:widowControl w:val="0"/>
        <w:kinsoku/>
        <w:wordWrap/>
        <w:overflowPunct/>
        <w:topLinePunct w:val="0"/>
        <w:autoSpaceDE/>
        <w:autoSpaceDN/>
        <w:bidi w:val="0"/>
        <w:adjustRightInd/>
        <w:snapToGrid/>
        <w:jc w:val="left"/>
        <w:textAlignment w:val="auto"/>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公示信息表：</w:t>
      </w:r>
    </w:p>
    <w:p w14:paraId="2B0A79AF">
      <w:pPr>
        <w:jc w:val="center"/>
        <w:rPr>
          <w:rStyle w:val="9"/>
          <w:rFonts w:eastAsia="方正小标宋简体"/>
          <w:bCs w:val="0"/>
          <w:color w:val="auto"/>
          <w:sz w:val="36"/>
          <w:szCs w:val="36"/>
        </w:rPr>
      </w:pPr>
      <w:r>
        <w:rPr>
          <w:rStyle w:val="9"/>
          <w:rFonts w:hint="eastAsia" w:eastAsia="方正小标宋简体"/>
          <w:b w:val="0"/>
          <w:color w:val="auto"/>
          <w:sz w:val="36"/>
          <w:szCs w:val="36"/>
        </w:rPr>
        <w:t>自然资源科学技术奖公示信息表</w:t>
      </w:r>
      <w:r>
        <w:rPr>
          <w:rStyle w:val="9"/>
          <w:rFonts w:eastAsia="仿宋_GB2312"/>
          <w:b w:val="0"/>
          <w:color w:val="auto"/>
          <w:sz w:val="32"/>
          <w:szCs w:val="32"/>
        </w:rPr>
        <w:t>（单位提名）</w:t>
      </w:r>
    </w:p>
    <w:p w14:paraId="484A6265">
      <w:pPr>
        <w:pStyle w:val="10"/>
        <w:spacing w:before="30"/>
        <w:ind w:left="725" w:right="745"/>
        <w:jc w:val="center"/>
        <w:rPr>
          <w:rFonts w:hint="eastAsia" w:ascii="黑体" w:eastAsia="黑体"/>
          <w:lang w:eastAsia="zh-CN"/>
        </w:rPr>
      </w:pPr>
      <w:r>
        <w:rPr>
          <w:rFonts w:hint="eastAsia" w:ascii="黑体" w:eastAsia="黑体"/>
          <w:lang w:eastAsia="zh-CN"/>
        </w:rPr>
        <w:t>一、成果基本情况</w:t>
      </w:r>
    </w:p>
    <w:tbl>
      <w:tblPr>
        <w:tblStyle w:val="7"/>
        <w:tblW w:w="99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autofit"/>
        <w:tblCellMar>
          <w:top w:w="0" w:type="dxa"/>
          <w:left w:w="28" w:type="dxa"/>
          <w:bottom w:w="0" w:type="dxa"/>
          <w:right w:w="28" w:type="dxa"/>
        </w:tblCellMar>
      </w:tblPr>
      <w:tblGrid>
        <w:gridCol w:w="1565"/>
        <w:gridCol w:w="427"/>
        <w:gridCol w:w="338"/>
        <w:gridCol w:w="2783"/>
        <w:gridCol w:w="1815"/>
        <w:gridCol w:w="894"/>
        <w:gridCol w:w="46"/>
        <w:gridCol w:w="2090"/>
      </w:tblGrid>
      <w:tr w14:paraId="3E04F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622" w:hRule="atLeast"/>
          <w:jc w:val="center"/>
        </w:trPr>
        <w:tc>
          <w:tcPr>
            <w:tcW w:w="1992" w:type="dxa"/>
            <w:gridSpan w:val="2"/>
            <w:tcBorders>
              <w:top w:val="single" w:color="auto" w:sz="12" w:space="0"/>
              <w:left w:val="single" w:color="auto" w:sz="12" w:space="0"/>
              <w:bottom w:val="single" w:color="auto" w:sz="6" w:space="0"/>
              <w:right w:val="single" w:color="auto" w:sz="6" w:space="0"/>
            </w:tcBorders>
            <w:shd w:val="clear" w:color="auto" w:fill="auto"/>
            <w:vAlign w:val="center"/>
          </w:tcPr>
          <w:p w14:paraId="22B9B446">
            <w:pPr>
              <w:pStyle w:val="3"/>
              <w:spacing w:line="240" w:lineRule="auto"/>
              <w:ind w:left="0" w:firstLine="0" w:firstLineChars="0"/>
              <w:jc w:val="center"/>
              <w:rPr>
                <w:rFonts w:hint="default" w:ascii="Times New Roman" w:hAnsi="Calibri" w:cs="Times New Roman"/>
                <w:sz w:val="21"/>
                <w:szCs w:val="21"/>
                <w:lang w:val="en-US"/>
              </w:rPr>
            </w:pPr>
            <w:r>
              <w:rPr>
                <w:rFonts w:hint="eastAsia" w:ascii="Times New Roman" w:hAnsi="Calibri" w:eastAsia="宋体" w:cs="宋体"/>
                <w:sz w:val="21"/>
                <w:szCs w:val="21"/>
              </w:rPr>
              <w:t>成果名称</w:t>
            </w:r>
          </w:p>
        </w:tc>
        <w:tc>
          <w:tcPr>
            <w:tcW w:w="7966" w:type="dxa"/>
            <w:gridSpan w:val="6"/>
            <w:tcBorders>
              <w:top w:val="single" w:color="auto" w:sz="12" w:space="0"/>
              <w:left w:val="single" w:color="auto" w:sz="6" w:space="0"/>
              <w:bottom w:val="single" w:color="auto" w:sz="6" w:space="0"/>
              <w:right w:val="single" w:color="auto" w:sz="12" w:space="0"/>
            </w:tcBorders>
            <w:shd w:val="clear" w:color="auto" w:fill="auto"/>
            <w:vAlign w:val="center"/>
          </w:tcPr>
          <w:p w14:paraId="184D03C7">
            <w:pPr>
              <w:snapToGrid w:val="0"/>
              <w:rPr>
                <w:rFonts w:hint="eastAsia" w:ascii="宋体" w:hAnsi="宋体" w:eastAsia="宋体" w:cs="宋体"/>
                <w:szCs w:val="21"/>
                <w:lang w:val="en-US"/>
              </w:rPr>
            </w:pPr>
            <w:r>
              <w:rPr>
                <w:rFonts w:hint="eastAsia" w:ascii="宋体" w:hAnsi="宋体" w:eastAsia="宋体" w:cs="宋体"/>
                <w:szCs w:val="21"/>
                <w:lang w:val="en-US"/>
              </w:rPr>
              <w:t>东南丘陵区台风暴雨型地质灾害时空智能评估与精细预警关键技术</w:t>
            </w:r>
          </w:p>
        </w:tc>
      </w:tr>
      <w:tr w14:paraId="2EA59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96" w:hRule="atLeast"/>
          <w:jc w:val="center"/>
        </w:trPr>
        <w:tc>
          <w:tcPr>
            <w:tcW w:w="1992" w:type="dxa"/>
            <w:gridSpan w:val="2"/>
            <w:tcBorders>
              <w:top w:val="single" w:color="auto" w:sz="6" w:space="0"/>
              <w:left w:val="single" w:color="auto" w:sz="12" w:space="0"/>
              <w:bottom w:val="single" w:color="auto" w:sz="6" w:space="0"/>
              <w:right w:val="single" w:color="auto" w:sz="6" w:space="0"/>
            </w:tcBorders>
            <w:shd w:val="clear" w:color="auto" w:fill="auto"/>
            <w:vAlign w:val="center"/>
          </w:tcPr>
          <w:p w14:paraId="099B5332">
            <w:pPr>
              <w:snapToGrid w:val="0"/>
              <w:jc w:val="center"/>
              <w:rPr>
                <w:rFonts w:hint="eastAsia" w:ascii="宋体" w:hAnsi="宋体" w:eastAsia="宋体" w:cs="宋体"/>
                <w:szCs w:val="21"/>
                <w:lang w:val="en-US"/>
              </w:rPr>
            </w:pPr>
            <w:r>
              <w:rPr>
                <w:rFonts w:hint="eastAsia" w:ascii="宋体" w:hAnsi="宋体" w:eastAsia="宋体" w:cs="宋体"/>
                <w:szCs w:val="21"/>
              </w:rPr>
              <w:t>主要完成人</w:t>
            </w:r>
          </w:p>
        </w:tc>
        <w:tc>
          <w:tcPr>
            <w:tcW w:w="7966" w:type="dxa"/>
            <w:gridSpan w:val="6"/>
            <w:tcBorders>
              <w:top w:val="single" w:color="auto" w:sz="6" w:space="0"/>
              <w:left w:val="single" w:color="auto" w:sz="6" w:space="0"/>
              <w:bottom w:val="single" w:color="auto" w:sz="6" w:space="0"/>
              <w:right w:val="single" w:color="auto" w:sz="12" w:space="0"/>
            </w:tcBorders>
            <w:shd w:val="clear" w:color="auto" w:fill="auto"/>
            <w:vAlign w:val="center"/>
          </w:tcPr>
          <w:p w14:paraId="38F4B993">
            <w:pPr>
              <w:snapToGrid w:val="0"/>
              <w:rPr>
                <w:rFonts w:hint="eastAsia" w:ascii="宋体" w:hAnsi="宋体" w:eastAsia="宋体" w:cs="宋体"/>
                <w:szCs w:val="21"/>
                <w:lang w:val="en-US"/>
              </w:rPr>
            </w:pPr>
            <w:r>
              <w:rPr>
                <w:rFonts w:hint="eastAsia" w:ascii="宋体" w:hAnsi="宋体" w:eastAsia="宋体" w:cs="宋体"/>
                <w:szCs w:val="21"/>
                <w:lang w:val="en-US"/>
              </w:rPr>
              <w:t>徐刚、张帅、罗秀锋、杨文敬、郭子正、毛舒、王云阁、宋占璞、郝君、周明浪、徐海燕、陈温</w:t>
            </w:r>
            <w:r>
              <w:rPr>
                <w:rFonts w:hint="eastAsia" w:ascii="宋体" w:hAnsi="宋体" w:eastAsia="宋体" w:cs="宋体"/>
                <w:szCs w:val="21"/>
                <w:lang w:val="en-US" w:eastAsia="zh-CN"/>
              </w:rPr>
              <w:t>清</w:t>
            </w:r>
            <w:r>
              <w:rPr>
                <w:rFonts w:hint="eastAsia" w:ascii="宋体" w:hAnsi="宋体" w:eastAsia="宋体" w:cs="宋体"/>
                <w:szCs w:val="21"/>
                <w:lang w:val="en-US"/>
              </w:rPr>
              <w:t>、徐登财、章豪、闫铁生</w:t>
            </w:r>
          </w:p>
        </w:tc>
      </w:tr>
      <w:tr w14:paraId="79ABF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1085" w:hRule="atLeast"/>
          <w:jc w:val="center"/>
        </w:trPr>
        <w:tc>
          <w:tcPr>
            <w:tcW w:w="1992" w:type="dxa"/>
            <w:gridSpan w:val="2"/>
            <w:tcBorders>
              <w:top w:val="single" w:color="auto" w:sz="6" w:space="0"/>
              <w:left w:val="single" w:color="auto" w:sz="12" w:space="0"/>
              <w:bottom w:val="single" w:color="auto" w:sz="6" w:space="0"/>
              <w:right w:val="single" w:color="auto" w:sz="6" w:space="0"/>
            </w:tcBorders>
            <w:shd w:val="clear" w:color="auto" w:fill="auto"/>
            <w:vAlign w:val="center"/>
          </w:tcPr>
          <w:p w14:paraId="0EE3A15E">
            <w:pPr>
              <w:snapToGrid w:val="0"/>
              <w:jc w:val="center"/>
              <w:rPr>
                <w:rFonts w:hint="eastAsia" w:ascii="宋体" w:hAnsi="宋体" w:eastAsia="宋体" w:cs="宋体"/>
                <w:szCs w:val="21"/>
                <w:lang w:val="en-US"/>
              </w:rPr>
            </w:pPr>
            <w:r>
              <w:rPr>
                <w:rFonts w:hint="eastAsia" w:ascii="宋体" w:hAnsi="宋体" w:eastAsia="宋体" w:cs="宋体"/>
                <w:szCs w:val="21"/>
              </w:rPr>
              <w:t>主要完成单位</w:t>
            </w:r>
          </w:p>
        </w:tc>
        <w:tc>
          <w:tcPr>
            <w:tcW w:w="7966" w:type="dxa"/>
            <w:gridSpan w:val="6"/>
            <w:tcBorders>
              <w:top w:val="single" w:color="auto" w:sz="6" w:space="0"/>
              <w:left w:val="single" w:color="auto" w:sz="6" w:space="0"/>
              <w:bottom w:val="single" w:color="auto" w:sz="6" w:space="0"/>
              <w:right w:val="single" w:color="auto" w:sz="12" w:space="0"/>
            </w:tcBorders>
            <w:shd w:val="clear" w:color="auto" w:fill="auto"/>
            <w:vAlign w:val="center"/>
          </w:tcPr>
          <w:p w14:paraId="082AA3F7">
            <w:pPr>
              <w:snapToGrid w:val="0"/>
              <w:rPr>
                <w:rFonts w:hint="eastAsia" w:ascii="宋体" w:hAnsi="宋体" w:eastAsia="宋体" w:cs="宋体"/>
                <w:szCs w:val="21"/>
                <w:lang w:val="en-US"/>
              </w:rPr>
            </w:pPr>
            <w:r>
              <w:rPr>
                <w:rFonts w:hint="eastAsia" w:ascii="宋体" w:hAnsi="宋体" w:eastAsia="宋体" w:cs="宋体"/>
                <w:szCs w:val="21"/>
                <w:lang w:val="en-US"/>
              </w:rPr>
              <w:t>浙江大学、浙</w:t>
            </w:r>
            <w:bookmarkStart w:id="0" w:name="_GoBack"/>
            <w:bookmarkEnd w:id="0"/>
            <w:r>
              <w:rPr>
                <w:rFonts w:hint="eastAsia" w:ascii="宋体" w:hAnsi="宋体" w:eastAsia="宋体" w:cs="宋体"/>
                <w:szCs w:val="21"/>
                <w:lang w:val="en-US"/>
              </w:rPr>
              <w:t>江省自然资源集团有限公司、浙江安防职业技术学院、浙江省测绘科学技术研究院、河北工业大学、温州市地质环境监测中心、浙江城安大数据有限公司</w:t>
            </w:r>
          </w:p>
        </w:tc>
      </w:tr>
      <w:tr w14:paraId="02960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1204" w:hRule="atLeast"/>
          <w:jc w:val="center"/>
        </w:trPr>
        <w:tc>
          <w:tcPr>
            <w:tcW w:w="1992" w:type="dxa"/>
            <w:gridSpan w:val="2"/>
            <w:tcBorders>
              <w:top w:val="single" w:color="auto" w:sz="6" w:space="0"/>
              <w:left w:val="single" w:color="auto" w:sz="12" w:space="0"/>
              <w:bottom w:val="single" w:color="auto" w:sz="6" w:space="0"/>
              <w:right w:val="single" w:color="auto" w:sz="6" w:space="0"/>
            </w:tcBorders>
            <w:shd w:val="clear" w:color="auto" w:fill="auto"/>
            <w:vAlign w:val="center"/>
          </w:tcPr>
          <w:p w14:paraId="08626191">
            <w:pPr>
              <w:snapToGrid w:val="0"/>
              <w:jc w:val="center"/>
              <w:rPr>
                <w:rFonts w:hint="eastAsia" w:ascii="宋体" w:hAnsi="宋体" w:eastAsia="宋体" w:cs="宋体"/>
                <w:szCs w:val="21"/>
                <w:lang w:val="en-US"/>
              </w:rPr>
            </w:pPr>
            <w:r>
              <w:rPr>
                <w:rFonts w:hint="eastAsia" w:ascii="宋体" w:hAnsi="宋体" w:eastAsia="宋体" w:cs="宋体"/>
                <w:szCs w:val="21"/>
              </w:rPr>
              <w:t>推荐单位</w:t>
            </w:r>
          </w:p>
          <w:p w14:paraId="2BCAF803">
            <w:pPr>
              <w:snapToGrid w:val="0"/>
              <w:jc w:val="center"/>
              <w:rPr>
                <w:rFonts w:hint="eastAsia" w:ascii="宋体" w:hAnsi="宋体" w:eastAsia="宋体" w:cs="宋体"/>
                <w:szCs w:val="21"/>
                <w:lang w:val="en-US"/>
              </w:rPr>
            </w:pPr>
            <w:r>
              <w:rPr>
                <w:rFonts w:hint="eastAsia" w:ascii="宋体" w:hAnsi="宋体" w:eastAsia="宋体" w:cs="宋体"/>
                <w:szCs w:val="21"/>
              </w:rPr>
              <w:t>（盖章）</w:t>
            </w:r>
          </w:p>
        </w:tc>
        <w:tc>
          <w:tcPr>
            <w:tcW w:w="7966" w:type="dxa"/>
            <w:gridSpan w:val="6"/>
            <w:tcBorders>
              <w:top w:val="single" w:color="auto" w:sz="6" w:space="0"/>
              <w:left w:val="single" w:color="auto" w:sz="6" w:space="0"/>
              <w:bottom w:val="single" w:color="auto" w:sz="6" w:space="0"/>
              <w:right w:val="single" w:color="auto" w:sz="12" w:space="0"/>
            </w:tcBorders>
            <w:shd w:val="clear" w:color="auto" w:fill="auto"/>
            <w:vAlign w:val="center"/>
          </w:tcPr>
          <w:p w14:paraId="2CF4EB93">
            <w:pPr>
              <w:snapToGrid w:val="0"/>
              <w:rPr>
                <w:rFonts w:hint="eastAsia" w:ascii="宋体" w:hAnsi="宋体" w:eastAsia="宋体" w:cs="宋体"/>
                <w:szCs w:val="21"/>
                <w:lang w:val="en-US"/>
              </w:rPr>
            </w:pPr>
            <w:r>
              <w:rPr>
                <w:rFonts w:hint="eastAsia" w:ascii="宋体" w:hAnsi="宋体" w:eastAsia="宋体" w:cs="宋体"/>
                <w:szCs w:val="21"/>
                <w:lang w:val="en-US" w:eastAsia="zh-CN"/>
              </w:rPr>
              <w:t>浙江省自然资源厅</w:t>
            </w:r>
          </w:p>
        </w:tc>
      </w:tr>
      <w:tr w14:paraId="2EFBD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25" w:hRule="atLeast"/>
          <w:jc w:val="center"/>
        </w:trPr>
        <w:tc>
          <w:tcPr>
            <w:tcW w:w="1565" w:type="dxa"/>
            <w:vMerge w:val="restart"/>
            <w:tcBorders>
              <w:top w:val="single" w:color="auto" w:sz="6" w:space="0"/>
              <w:left w:val="single" w:color="auto" w:sz="12" w:space="0"/>
              <w:bottom w:val="single" w:color="auto" w:sz="6" w:space="0"/>
              <w:right w:val="single" w:color="auto" w:sz="6" w:space="0"/>
            </w:tcBorders>
            <w:shd w:val="clear" w:color="auto" w:fill="auto"/>
            <w:vAlign w:val="center"/>
          </w:tcPr>
          <w:p w14:paraId="3B200539">
            <w:pPr>
              <w:snapToGrid w:val="0"/>
              <w:jc w:val="center"/>
              <w:rPr>
                <w:rFonts w:hint="eastAsia" w:ascii="宋体" w:hAnsi="宋体" w:eastAsia="宋体" w:cs="宋体"/>
                <w:szCs w:val="21"/>
                <w:lang w:val="en-US"/>
              </w:rPr>
            </w:pPr>
            <w:r>
              <w:rPr>
                <w:rFonts w:hint="eastAsia" w:ascii="宋体" w:hAnsi="宋体" w:eastAsia="宋体" w:cs="宋体"/>
                <w:szCs w:val="21"/>
              </w:rPr>
              <w:t>学科分类</w:t>
            </w:r>
          </w:p>
          <w:p w14:paraId="148F05F8">
            <w:pPr>
              <w:snapToGrid w:val="0"/>
              <w:jc w:val="center"/>
              <w:rPr>
                <w:rFonts w:hint="eastAsia" w:ascii="宋体" w:hAnsi="宋体" w:eastAsia="宋体" w:cs="宋体"/>
                <w:szCs w:val="21"/>
                <w:lang w:val="en-US"/>
              </w:rPr>
            </w:pPr>
            <w:r>
              <w:rPr>
                <w:rFonts w:hint="eastAsia" w:ascii="宋体" w:hAnsi="宋体" w:eastAsia="宋体" w:cs="宋体"/>
                <w:szCs w:val="21"/>
              </w:rPr>
              <w:t>名称</w:t>
            </w:r>
          </w:p>
        </w:tc>
        <w:tc>
          <w:tcPr>
            <w:tcW w:w="427" w:type="dxa"/>
            <w:tcBorders>
              <w:top w:val="single" w:color="auto" w:sz="6" w:space="0"/>
              <w:left w:val="single" w:color="auto" w:sz="6" w:space="0"/>
              <w:bottom w:val="single" w:color="auto" w:sz="6" w:space="0"/>
              <w:right w:val="single" w:color="auto" w:sz="6" w:space="0"/>
            </w:tcBorders>
            <w:shd w:val="clear" w:color="auto" w:fill="auto"/>
            <w:vAlign w:val="center"/>
          </w:tcPr>
          <w:p w14:paraId="37FA140B">
            <w:pPr>
              <w:snapToGrid w:val="0"/>
              <w:jc w:val="center"/>
              <w:rPr>
                <w:rFonts w:hint="eastAsia" w:ascii="宋体" w:hAnsi="宋体" w:eastAsia="宋体" w:cs="宋体"/>
                <w:szCs w:val="21"/>
                <w:lang w:val="en-US"/>
              </w:rPr>
            </w:pPr>
            <w:r>
              <w:rPr>
                <w:rFonts w:hint="eastAsia" w:ascii="宋体" w:hAnsi="宋体" w:eastAsia="宋体" w:cs="宋体"/>
                <w:szCs w:val="21"/>
                <w:lang w:val="en-US"/>
              </w:rPr>
              <w:t>1</w:t>
            </w:r>
          </w:p>
        </w:tc>
        <w:tc>
          <w:tcPr>
            <w:tcW w:w="4936" w:type="dxa"/>
            <w:gridSpan w:val="3"/>
            <w:tcBorders>
              <w:top w:val="single" w:color="auto" w:sz="6" w:space="0"/>
              <w:left w:val="single" w:color="auto" w:sz="6" w:space="0"/>
              <w:bottom w:val="single" w:color="auto" w:sz="6" w:space="0"/>
              <w:right w:val="single" w:color="auto" w:sz="6" w:space="0"/>
            </w:tcBorders>
            <w:shd w:val="clear" w:color="auto" w:fill="auto"/>
            <w:vAlign w:val="center"/>
          </w:tcPr>
          <w:p w14:paraId="0EBC2061">
            <w:pPr>
              <w:snapToGrid w:val="0"/>
              <w:rPr>
                <w:rFonts w:hint="eastAsia" w:ascii="宋体" w:hAnsi="宋体" w:eastAsia="宋体" w:cs="宋体"/>
                <w:szCs w:val="21"/>
                <w:lang w:val="en-US"/>
              </w:rPr>
            </w:pPr>
            <w:r>
              <w:rPr>
                <w:rFonts w:hint="eastAsia" w:ascii="宋体" w:hAnsi="宋体" w:eastAsia="宋体" w:cs="宋体"/>
                <w:szCs w:val="21"/>
                <w:lang w:val="en-US"/>
              </w:rPr>
              <w:t>4133010地理信息系统</w:t>
            </w:r>
          </w:p>
        </w:tc>
        <w:tc>
          <w:tcPr>
            <w:tcW w:w="940" w:type="dxa"/>
            <w:gridSpan w:val="2"/>
            <w:tcBorders>
              <w:top w:val="single" w:color="auto" w:sz="6" w:space="0"/>
              <w:left w:val="single" w:color="auto" w:sz="6" w:space="0"/>
              <w:bottom w:val="single" w:color="auto" w:sz="6" w:space="0"/>
              <w:right w:val="single" w:color="auto" w:sz="6" w:space="0"/>
            </w:tcBorders>
            <w:shd w:val="clear" w:color="auto" w:fill="auto"/>
            <w:vAlign w:val="center"/>
          </w:tcPr>
          <w:p w14:paraId="435DC59E">
            <w:pPr>
              <w:snapToGrid w:val="0"/>
              <w:jc w:val="center"/>
              <w:rPr>
                <w:rFonts w:hint="eastAsia" w:ascii="宋体" w:hAnsi="宋体" w:eastAsia="宋体" w:cs="宋体"/>
                <w:szCs w:val="21"/>
                <w:lang w:val="en-US"/>
              </w:rPr>
            </w:pPr>
            <w:r>
              <w:rPr>
                <w:rFonts w:hint="eastAsia" w:ascii="宋体" w:hAnsi="宋体" w:eastAsia="宋体" w:cs="宋体"/>
                <w:szCs w:val="21"/>
              </w:rPr>
              <w:t>代码</w:t>
            </w:r>
          </w:p>
        </w:tc>
        <w:tc>
          <w:tcPr>
            <w:tcW w:w="2090" w:type="dxa"/>
            <w:tcBorders>
              <w:top w:val="single" w:color="auto" w:sz="6" w:space="0"/>
              <w:left w:val="single" w:color="auto" w:sz="6" w:space="0"/>
              <w:bottom w:val="single" w:color="auto" w:sz="6" w:space="0"/>
              <w:right w:val="single" w:color="auto" w:sz="12" w:space="0"/>
            </w:tcBorders>
            <w:shd w:val="clear" w:color="auto" w:fill="auto"/>
            <w:vAlign w:val="center"/>
          </w:tcPr>
          <w:p w14:paraId="5A4D4681">
            <w:pPr>
              <w:snapToGrid w:val="0"/>
              <w:rPr>
                <w:rFonts w:hint="eastAsia" w:ascii="宋体" w:hAnsi="宋体" w:eastAsia="宋体" w:cs="宋体"/>
                <w:szCs w:val="21"/>
                <w:lang w:val="en-US"/>
              </w:rPr>
            </w:pPr>
            <w:r>
              <w:rPr>
                <w:rFonts w:hint="eastAsia" w:ascii="宋体" w:hAnsi="宋体" w:eastAsia="宋体" w:cs="宋体"/>
                <w:szCs w:val="21"/>
                <w:lang w:val="en-US"/>
              </w:rPr>
              <w:t>4133010</w:t>
            </w:r>
          </w:p>
        </w:tc>
      </w:tr>
      <w:tr w14:paraId="11723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25" w:hRule="atLeast"/>
          <w:jc w:val="center"/>
        </w:trPr>
        <w:tc>
          <w:tcPr>
            <w:tcW w:w="1565" w:type="dxa"/>
            <w:vMerge w:val="continue"/>
            <w:tcBorders>
              <w:top w:val="single" w:color="auto" w:sz="6" w:space="0"/>
              <w:left w:val="single" w:color="auto" w:sz="12" w:space="0"/>
              <w:bottom w:val="single" w:color="auto" w:sz="6" w:space="0"/>
              <w:right w:val="single" w:color="auto" w:sz="6" w:space="0"/>
            </w:tcBorders>
            <w:shd w:val="clear" w:color="auto" w:fill="auto"/>
            <w:vAlign w:val="center"/>
          </w:tcPr>
          <w:p w14:paraId="6B2E6798">
            <w:pPr>
              <w:rPr>
                <w:rFonts w:hint="default" w:ascii="Times New Roman" w:hAnsi="Times New Roman" w:cs="Times New Roman"/>
                <w:sz w:val="20"/>
                <w:szCs w:val="20"/>
              </w:rPr>
            </w:pPr>
          </w:p>
        </w:tc>
        <w:tc>
          <w:tcPr>
            <w:tcW w:w="427" w:type="dxa"/>
            <w:tcBorders>
              <w:top w:val="single" w:color="auto" w:sz="6" w:space="0"/>
              <w:left w:val="single" w:color="auto" w:sz="6" w:space="0"/>
              <w:bottom w:val="single" w:color="auto" w:sz="6" w:space="0"/>
              <w:right w:val="single" w:color="auto" w:sz="6" w:space="0"/>
            </w:tcBorders>
            <w:shd w:val="clear" w:color="auto" w:fill="auto"/>
            <w:vAlign w:val="center"/>
          </w:tcPr>
          <w:p w14:paraId="4DEFE894">
            <w:pPr>
              <w:snapToGrid w:val="0"/>
              <w:jc w:val="center"/>
              <w:rPr>
                <w:rFonts w:hint="eastAsia" w:ascii="宋体" w:hAnsi="宋体" w:eastAsia="宋体" w:cs="宋体"/>
                <w:szCs w:val="21"/>
                <w:lang w:val="en-US"/>
              </w:rPr>
            </w:pPr>
            <w:r>
              <w:rPr>
                <w:rFonts w:hint="eastAsia" w:ascii="宋体" w:hAnsi="宋体" w:eastAsia="宋体" w:cs="宋体"/>
                <w:szCs w:val="21"/>
                <w:lang w:val="en-US"/>
              </w:rPr>
              <w:t>2</w:t>
            </w:r>
          </w:p>
        </w:tc>
        <w:tc>
          <w:tcPr>
            <w:tcW w:w="4936" w:type="dxa"/>
            <w:gridSpan w:val="3"/>
            <w:tcBorders>
              <w:top w:val="single" w:color="auto" w:sz="6" w:space="0"/>
              <w:left w:val="single" w:color="auto" w:sz="6" w:space="0"/>
              <w:bottom w:val="single" w:color="auto" w:sz="6" w:space="0"/>
              <w:right w:val="single" w:color="auto" w:sz="6" w:space="0"/>
            </w:tcBorders>
            <w:shd w:val="clear" w:color="auto" w:fill="auto"/>
            <w:vAlign w:val="center"/>
          </w:tcPr>
          <w:p w14:paraId="286EC77D">
            <w:pPr>
              <w:snapToGrid w:val="0"/>
              <w:rPr>
                <w:rFonts w:hint="eastAsia" w:ascii="宋体" w:hAnsi="宋体" w:eastAsia="宋体" w:cs="宋体"/>
                <w:szCs w:val="21"/>
                <w:lang w:val="en-US"/>
              </w:rPr>
            </w:pPr>
            <w:r>
              <w:rPr>
                <w:rFonts w:hint="eastAsia" w:ascii="宋体" w:hAnsi="宋体" w:eastAsia="宋体" w:cs="宋体"/>
                <w:szCs w:val="21"/>
                <w:lang w:val="en-US"/>
              </w:rPr>
              <w:t>42020摄影测量与遥感技术</w:t>
            </w:r>
          </w:p>
        </w:tc>
        <w:tc>
          <w:tcPr>
            <w:tcW w:w="940" w:type="dxa"/>
            <w:gridSpan w:val="2"/>
            <w:tcBorders>
              <w:top w:val="single" w:color="auto" w:sz="6" w:space="0"/>
              <w:left w:val="single" w:color="auto" w:sz="6" w:space="0"/>
              <w:bottom w:val="single" w:color="auto" w:sz="6" w:space="0"/>
              <w:right w:val="single" w:color="auto" w:sz="6" w:space="0"/>
            </w:tcBorders>
            <w:shd w:val="clear" w:color="auto" w:fill="auto"/>
            <w:vAlign w:val="center"/>
          </w:tcPr>
          <w:p w14:paraId="4E990441">
            <w:pPr>
              <w:snapToGrid w:val="0"/>
              <w:jc w:val="center"/>
              <w:rPr>
                <w:rFonts w:hint="eastAsia" w:ascii="宋体" w:hAnsi="宋体" w:eastAsia="宋体" w:cs="宋体"/>
                <w:szCs w:val="21"/>
                <w:lang w:val="en-US"/>
              </w:rPr>
            </w:pPr>
            <w:r>
              <w:rPr>
                <w:rFonts w:hint="eastAsia" w:ascii="宋体" w:hAnsi="宋体" w:eastAsia="宋体" w:cs="宋体"/>
                <w:szCs w:val="21"/>
              </w:rPr>
              <w:t>代码</w:t>
            </w:r>
          </w:p>
        </w:tc>
        <w:tc>
          <w:tcPr>
            <w:tcW w:w="2090" w:type="dxa"/>
            <w:tcBorders>
              <w:top w:val="single" w:color="auto" w:sz="6" w:space="0"/>
              <w:left w:val="single" w:color="auto" w:sz="6" w:space="0"/>
              <w:bottom w:val="single" w:color="auto" w:sz="6" w:space="0"/>
              <w:right w:val="single" w:color="auto" w:sz="12" w:space="0"/>
            </w:tcBorders>
            <w:shd w:val="clear" w:color="auto" w:fill="auto"/>
            <w:vAlign w:val="center"/>
          </w:tcPr>
          <w:p w14:paraId="70279CE9">
            <w:pPr>
              <w:snapToGrid w:val="0"/>
              <w:rPr>
                <w:rFonts w:hint="eastAsia" w:ascii="宋体" w:hAnsi="宋体" w:eastAsia="宋体" w:cs="宋体"/>
                <w:szCs w:val="21"/>
                <w:lang w:val="en-US"/>
              </w:rPr>
            </w:pPr>
            <w:r>
              <w:rPr>
                <w:rFonts w:hint="eastAsia" w:ascii="宋体" w:hAnsi="宋体" w:eastAsia="宋体" w:cs="宋体"/>
                <w:szCs w:val="21"/>
                <w:lang w:val="en-US"/>
              </w:rPr>
              <w:t>42020</w:t>
            </w:r>
          </w:p>
        </w:tc>
      </w:tr>
      <w:tr w14:paraId="24E4A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25" w:hRule="atLeast"/>
          <w:jc w:val="center"/>
        </w:trPr>
        <w:tc>
          <w:tcPr>
            <w:tcW w:w="1565" w:type="dxa"/>
            <w:vMerge w:val="continue"/>
            <w:tcBorders>
              <w:top w:val="single" w:color="auto" w:sz="6" w:space="0"/>
              <w:left w:val="single" w:color="auto" w:sz="12" w:space="0"/>
              <w:bottom w:val="single" w:color="auto" w:sz="6" w:space="0"/>
              <w:right w:val="single" w:color="auto" w:sz="6" w:space="0"/>
            </w:tcBorders>
            <w:shd w:val="clear" w:color="auto" w:fill="auto"/>
            <w:vAlign w:val="center"/>
          </w:tcPr>
          <w:p w14:paraId="77700BB5">
            <w:pPr>
              <w:rPr>
                <w:rFonts w:hint="default" w:ascii="Times New Roman" w:hAnsi="Times New Roman" w:cs="Times New Roman"/>
                <w:sz w:val="20"/>
                <w:szCs w:val="20"/>
              </w:rPr>
            </w:pPr>
          </w:p>
        </w:tc>
        <w:tc>
          <w:tcPr>
            <w:tcW w:w="427" w:type="dxa"/>
            <w:tcBorders>
              <w:top w:val="single" w:color="auto" w:sz="6" w:space="0"/>
              <w:left w:val="single" w:color="auto" w:sz="6" w:space="0"/>
              <w:bottom w:val="single" w:color="auto" w:sz="6" w:space="0"/>
              <w:right w:val="single" w:color="auto" w:sz="6" w:space="0"/>
            </w:tcBorders>
            <w:shd w:val="clear" w:color="auto" w:fill="auto"/>
            <w:vAlign w:val="center"/>
          </w:tcPr>
          <w:p w14:paraId="7FE62002">
            <w:pPr>
              <w:snapToGrid w:val="0"/>
              <w:jc w:val="center"/>
              <w:rPr>
                <w:rFonts w:hint="eastAsia" w:ascii="宋体" w:hAnsi="宋体" w:eastAsia="宋体" w:cs="宋体"/>
                <w:szCs w:val="21"/>
                <w:lang w:val="en-US"/>
              </w:rPr>
            </w:pPr>
            <w:r>
              <w:rPr>
                <w:rFonts w:hint="eastAsia" w:ascii="宋体" w:hAnsi="宋体" w:eastAsia="宋体" w:cs="宋体"/>
                <w:szCs w:val="21"/>
                <w:lang w:val="en-US"/>
              </w:rPr>
              <w:t>3</w:t>
            </w:r>
          </w:p>
        </w:tc>
        <w:tc>
          <w:tcPr>
            <w:tcW w:w="4936" w:type="dxa"/>
            <w:gridSpan w:val="3"/>
            <w:tcBorders>
              <w:top w:val="single" w:color="auto" w:sz="6" w:space="0"/>
              <w:left w:val="single" w:color="auto" w:sz="6" w:space="0"/>
              <w:bottom w:val="single" w:color="auto" w:sz="6" w:space="0"/>
              <w:right w:val="single" w:color="auto" w:sz="6" w:space="0"/>
            </w:tcBorders>
            <w:shd w:val="clear" w:color="auto" w:fill="auto"/>
            <w:vAlign w:val="center"/>
          </w:tcPr>
          <w:p w14:paraId="372BFED5">
            <w:pPr>
              <w:snapToGrid w:val="0"/>
              <w:rPr>
                <w:rFonts w:hint="eastAsia" w:ascii="宋体" w:hAnsi="宋体" w:eastAsia="宋体" w:cs="宋体"/>
                <w:szCs w:val="21"/>
                <w:lang w:val="en-US"/>
              </w:rPr>
            </w:pPr>
            <w:r>
              <w:rPr>
                <w:rFonts w:hint="eastAsia" w:ascii="宋体" w:hAnsi="宋体" w:eastAsia="宋体" w:cs="宋体"/>
                <w:szCs w:val="21"/>
                <w:lang w:val="en-US"/>
              </w:rPr>
              <w:t>42010大地测量技术</w:t>
            </w:r>
          </w:p>
        </w:tc>
        <w:tc>
          <w:tcPr>
            <w:tcW w:w="940" w:type="dxa"/>
            <w:gridSpan w:val="2"/>
            <w:tcBorders>
              <w:top w:val="single" w:color="auto" w:sz="6" w:space="0"/>
              <w:left w:val="single" w:color="auto" w:sz="6" w:space="0"/>
              <w:bottom w:val="single" w:color="auto" w:sz="6" w:space="0"/>
              <w:right w:val="single" w:color="auto" w:sz="6" w:space="0"/>
            </w:tcBorders>
            <w:shd w:val="clear" w:color="auto" w:fill="auto"/>
            <w:vAlign w:val="center"/>
          </w:tcPr>
          <w:p w14:paraId="5453AC77">
            <w:pPr>
              <w:snapToGrid w:val="0"/>
              <w:jc w:val="center"/>
              <w:rPr>
                <w:rFonts w:hint="eastAsia" w:ascii="宋体" w:hAnsi="宋体" w:eastAsia="宋体" w:cs="宋体"/>
                <w:szCs w:val="21"/>
                <w:lang w:val="en-US"/>
              </w:rPr>
            </w:pPr>
            <w:r>
              <w:rPr>
                <w:rFonts w:hint="eastAsia" w:ascii="宋体" w:hAnsi="宋体" w:eastAsia="宋体" w:cs="宋体"/>
                <w:szCs w:val="21"/>
              </w:rPr>
              <w:t>代码</w:t>
            </w:r>
          </w:p>
        </w:tc>
        <w:tc>
          <w:tcPr>
            <w:tcW w:w="2090" w:type="dxa"/>
            <w:tcBorders>
              <w:top w:val="single" w:color="auto" w:sz="6" w:space="0"/>
              <w:left w:val="single" w:color="auto" w:sz="6" w:space="0"/>
              <w:bottom w:val="single" w:color="auto" w:sz="6" w:space="0"/>
              <w:right w:val="single" w:color="auto" w:sz="12" w:space="0"/>
            </w:tcBorders>
            <w:shd w:val="clear" w:color="auto" w:fill="auto"/>
            <w:vAlign w:val="center"/>
          </w:tcPr>
          <w:p w14:paraId="38F890FC">
            <w:pPr>
              <w:snapToGrid w:val="0"/>
              <w:rPr>
                <w:rFonts w:hint="eastAsia" w:ascii="宋体" w:hAnsi="宋体" w:eastAsia="宋体" w:cs="宋体"/>
                <w:szCs w:val="21"/>
                <w:lang w:val="en-US"/>
              </w:rPr>
            </w:pPr>
            <w:r>
              <w:rPr>
                <w:rFonts w:hint="eastAsia" w:ascii="宋体" w:hAnsi="宋体" w:eastAsia="宋体" w:cs="宋体"/>
                <w:szCs w:val="21"/>
                <w:lang w:val="en-US"/>
              </w:rPr>
              <w:t>42010</w:t>
            </w:r>
          </w:p>
        </w:tc>
      </w:tr>
      <w:tr w14:paraId="78081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25" w:hRule="atLeast"/>
          <w:jc w:val="center"/>
        </w:trPr>
        <w:tc>
          <w:tcPr>
            <w:tcW w:w="1992" w:type="dxa"/>
            <w:gridSpan w:val="2"/>
            <w:tcBorders>
              <w:top w:val="single" w:color="auto" w:sz="6" w:space="0"/>
              <w:left w:val="single" w:color="auto" w:sz="12" w:space="0"/>
              <w:bottom w:val="single" w:color="auto" w:sz="4" w:space="0"/>
              <w:right w:val="single" w:color="auto" w:sz="6" w:space="0"/>
            </w:tcBorders>
            <w:shd w:val="clear" w:color="auto" w:fill="auto"/>
            <w:vAlign w:val="center"/>
          </w:tcPr>
          <w:p w14:paraId="4FFC597A">
            <w:pPr>
              <w:snapToGrid w:val="0"/>
              <w:jc w:val="center"/>
              <w:rPr>
                <w:rFonts w:hint="eastAsia" w:ascii="宋体" w:hAnsi="宋体" w:eastAsia="宋体" w:cs="宋体"/>
                <w:szCs w:val="21"/>
                <w:lang w:val="en-US"/>
              </w:rPr>
            </w:pPr>
            <w:r>
              <w:rPr>
                <w:rFonts w:hint="eastAsia" w:ascii="宋体" w:hAnsi="宋体" w:eastAsia="宋体" w:cs="宋体"/>
                <w:szCs w:val="21"/>
              </w:rPr>
              <w:t>所属国民经济行业</w:t>
            </w:r>
          </w:p>
        </w:tc>
        <w:tc>
          <w:tcPr>
            <w:tcW w:w="7966" w:type="dxa"/>
            <w:gridSpan w:val="6"/>
            <w:tcBorders>
              <w:top w:val="single" w:color="auto" w:sz="6" w:space="0"/>
              <w:left w:val="single" w:color="auto" w:sz="6" w:space="0"/>
              <w:bottom w:val="single" w:color="auto" w:sz="4" w:space="0"/>
              <w:right w:val="single" w:color="auto" w:sz="12" w:space="0"/>
            </w:tcBorders>
            <w:shd w:val="clear" w:color="auto" w:fill="auto"/>
            <w:vAlign w:val="center"/>
          </w:tcPr>
          <w:p w14:paraId="623F6F39">
            <w:pPr>
              <w:snapToGrid w:val="0"/>
              <w:rPr>
                <w:rFonts w:hint="eastAsia" w:ascii="宋体" w:hAnsi="宋体" w:eastAsia="宋体" w:cs="宋体"/>
                <w:szCs w:val="21"/>
                <w:lang w:val="en-US"/>
              </w:rPr>
            </w:pPr>
            <w:r>
              <w:rPr>
                <w:rFonts w:hint="eastAsia" w:ascii="宋体" w:hAnsi="宋体" w:eastAsia="宋体" w:cs="宋体"/>
                <w:szCs w:val="21"/>
                <w:lang w:val="en-US"/>
              </w:rPr>
              <w:t>信息传输、计算机服务和软件业</w:t>
            </w:r>
          </w:p>
        </w:tc>
      </w:tr>
      <w:tr w14:paraId="14146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40" w:hRule="atLeast"/>
          <w:jc w:val="center"/>
        </w:trPr>
        <w:tc>
          <w:tcPr>
            <w:tcW w:w="1992" w:type="dxa"/>
            <w:gridSpan w:val="2"/>
            <w:tcBorders>
              <w:top w:val="single" w:color="auto" w:sz="6" w:space="0"/>
              <w:left w:val="single" w:color="auto" w:sz="12" w:space="0"/>
              <w:bottom w:val="single" w:color="auto" w:sz="4" w:space="0"/>
              <w:right w:val="single" w:color="auto" w:sz="6" w:space="0"/>
            </w:tcBorders>
            <w:shd w:val="clear" w:color="auto" w:fill="auto"/>
            <w:vAlign w:val="center"/>
          </w:tcPr>
          <w:p w14:paraId="72D37C8E">
            <w:pPr>
              <w:snapToGrid w:val="0"/>
              <w:jc w:val="center"/>
              <w:rPr>
                <w:rFonts w:hint="eastAsia" w:ascii="宋体" w:hAnsi="宋体" w:eastAsia="宋体" w:cs="宋体"/>
                <w:szCs w:val="21"/>
                <w:lang w:val="en-US"/>
              </w:rPr>
            </w:pPr>
            <w:r>
              <w:rPr>
                <w:rFonts w:hint="eastAsia" w:ascii="宋体" w:hAnsi="宋体" w:eastAsia="宋体" w:cs="宋体"/>
                <w:szCs w:val="21"/>
              </w:rPr>
              <w:t>任 务 来 源</w:t>
            </w:r>
          </w:p>
        </w:tc>
        <w:tc>
          <w:tcPr>
            <w:tcW w:w="7966" w:type="dxa"/>
            <w:gridSpan w:val="6"/>
            <w:tcBorders>
              <w:top w:val="single" w:color="auto" w:sz="6" w:space="0"/>
              <w:left w:val="single" w:color="auto" w:sz="6" w:space="0"/>
              <w:bottom w:val="single" w:color="auto" w:sz="4" w:space="0"/>
              <w:right w:val="single" w:color="auto" w:sz="12" w:space="0"/>
            </w:tcBorders>
            <w:shd w:val="clear" w:color="auto" w:fill="auto"/>
            <w:vAlign w:val="center"/>
          </w:tcPr>
          <w:p w14:paraId="78D44582">
            <w:pPr>
              <w:snapToGrid w:val="0"/>
              <w:rPr>
                <w:rFonts w:hint="eastAsia" w:ascii="宋体" w:hAnsi="宋体" w:eastAsia="宋体" w:cs="宋体"/>
                <w:szCs w:val="21"/>
                <w:lang w:val="en-US"/>
              </w:rPr>
            </w:pPr>
            <w:r>
              <w:rPr>
                <w:rFonts w:hint="eastAsia" w:ascii="宋体" w:hAnsi="宋体" w:eastAsia="宋体" w:cs="宋体"/>
                <w:szCs w:val="21"/>
                <w:lang w:val="en-US"/>
              </w:rPr>
              <w:t>D1 国家自然科学基金,D2 其他基金</w:t>
            </w:r>
          </w:p>
        </w:tc>
      </w:tr>
      <w:tr w14:paraId="2B2D2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323" w:hRule="atLeast"/>
          <w:jc w:val="center"/>
        </w:trPr>
        <w:tc>
          <w:tcPr>
            <w:tcW w:w="9958" w:type="dxa"/>
            <w:gridSpan w:val="8"/>
            <w:tcBorders>
              <w:top w:val="single" w:color="auto" w:sz="4" w:space="0"/>
              <w:left w:val="single" w:color="auto" w:sz="12" w:space="0"/>
              <w:bottom w:val="nil"/>
              <w:right w:val="single" w:color="auto" w:sz="12" w:space="0"/>
            </w:tcBorders>
            <w:shd w:val="clear" w:color="auto" w:fill="auto"/>
            <w:vAlign w:val="center"/>
          </w:tcPr>
          <w:p w14:paraId="2CF65FB9">
            <w:pPr>
              <w:snapToGrid w:val="0"/>
              <w:rPr>
                <w:rFonts w:hint="eastAsia" w:ascii="黑体" w:hAnsi="宋体" w:eastAsia="黑体" w:cs="黑体"/>
                <w:szCs w:val="21"/>
                <w:lang w:val="en-US"/>
              </w:rPr>
            </w:pPr>
            <w:r>
              <w:rPr>
                <w:rFonts w:hint="eastAsia" w:ascii="黑体" w:hAnsi="宋体" w:eastAsia="黑体" w:cs="黑体"/>
                <w:szCs w:val="21"/>
              </w:rPr>
              <w:t>具体计划、基金名称、项目名称和编号：</w:t>
            </w:r>
          </w:p>
        </w:tc>
      </w:tr>
      <w:tr w14:paraId="1789C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1401" w:hRule="atLeast"/>
          <w:jc w:val="center"/>
        </w:trPr>
        <w:tc>
          <w:tcPr>
            <w:tcW w:w="9958" w:type="dxa"/>
            <w:gridSpan w:val="8"/>
            <w:tcBorders>
              <w:top w:val="nil"/>
              <w:left w:val="single" w:color="auto" w:sz="12" w:space="0"/>
              <w:bottom w:val="single" w:color="auto" w:sz="2" w:space="0"/>
              <w:right w:val="single" w:color="auto" w:sz="12" w:space="0"/>
            </w:tcBorders>
            <w:shd w:val="clear" w:color="auto" w:fill="auto"/>
            <w:vAlign w:val="top"/>
          </w:tcPr>
          <w:p w14:paraId="6E5D31FF">
            <w:pPr>
              <w:snapToGrid w:val="0"/>
              <w:rPr>
                <w:rFonts w:hint="eastAsia" w:ascii="宋体" w:hAnsi="宋体" w:eastAsia="宋体" w:cs="宋体"/>
                <w:szCs w:val="21"/>
                <w:lang w:val="en-US"/>
              </w:rPr>
            </w:pPr>
            <w:r>
              <w:rPr>
                <w:rFonts w:hint="eastAsia" w:ascii="宋体" w:hAnsi="宋体" w:eastAsia="宋体" w:cs="宋体"/>
                <w:szCs w:val="21"/>
                <w:lang w:val="en-US"/>
              </w:rPr>
              <w:t>1.国家自然科学基金委青年科学基金项目、基于多源信息融合的滑坡灾害链成灾机制及风险定量评价研究41907243；2.浙江省自然资源厅重点科技项目、新型GIS技术在地质灾害动态预测预警中的融合应用2020-23；3.河北省自然科学基金项目、降雨诱发区域群发式浅层滑坡危险性评估及预警研究D2022202005；4.温州市基础性科研项目</w:t>
            </w:r>
            <w:r>
              <w:rPr>
                <w:rFonts w:hint="eastAsia" w:ascii="宋体" w:hAnsi="宋体" w:eastAsia="宋体" w:cs="宋体"/>
                <w:szCs w:val="21"/>
                <w:lang w:val="en-US" w:eastAsia="zh-CN"/>
              </w:rPr>
              <w:t>、</w:t>
            </w:r>
            <w:r>
              <w:rPr>
                <w:rFonts w:hint="eastAsia" w:ascii="宋体" w:hAnsi="宋体" w:eastAsia="宋体" w:cs="宋体"/>
                <w:szCs w:val="21"/>
                <w:lang w:val="en-US"/>
              </w:rPr>
              <w:t>基于多要素情境的台风诱发地质灾害风险评估方法S20210013；5.浙江省自然资源厅科技项目、基于新质生产力的浙东南降雨诱发地质灾害风险评估与监测关键技术研究2024ZJDZ036。</w:t>
            </w:r>
          </w:p>
        </w:tc>
      </w:tr>
      <w:tr w14:paraId="6BDD8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450" w:hRule="atLeast"/>
          <w:jc w:val="center"/>
        </w:trPr>
        <w:tc>
          <w:tcPr>
            <w:tcW w:w="2330" w:type="dxa"/>
            <w:gridSpan w:val="3"/>
            <w:tcBorders>
              <w:top w:val="single" w:color="auto" w:sz="4" w:space="0"/>
              <w:left w:val="single" w:color="auto" w:sz="12" w:space="0"/>
              <w:bottom w:val="single" w:color="auto" w:sz="6" w:space="0"/>
              <w:right w:val="single" w:color="auto" w:sz="4" w:space="0"/>
            </w:tcBorders>
            <w:shd w:val="clear" w:color="auto" w:fill="auto"/>
            <w:vAlign w:val="center"/>
          </w:tcPr>
          <w:p w14:paraId="0DB87E68">
            <w:pPr>
              <w:snapToGrid w:val="0"/>
              <w:jc w:val="center"/>
              <w:rPr>
                <w:rFonts w:hint="eastAsia" w:ascii="楷体_GB2312" w:hAnsi="宋体" w:eastAsia="楷体_GB2312" w:cs="楷体_GB2312"/>
                <w:szCs w:val="21"/>
                <w:lang w:val="en-US"/>
              </w:rPr>
            </w:pPr>
            <w:r>
              <w:rPr>
                <w:rFonts w:hint="eastAsia" w:ascii="Calibri" w:hAnsi="Calibri" w:eastAsia="宋体" w:cs="宋体"/>
                <w:szCs w:val="21"/>
              </w:rPr>
              <w:t>授权发明专利（项）</w:t>
            </w:r>
          </w:p>
        </w:tc>
        <w:tc>
          <w:tcPr>
            <w:tcW w:w="2783" w:type="dxa"/>
            <w:tcBorders>
              <w:top w:val="single" w:color="auto" w:sz="4" w:space="0"/>
              <w:left w:val="single" w:color="auto" w:sz="4" w:space="0"/>
              <w:bottom w:val="single" w:color="auto" w:sz="6" w:space="0"/>
              <w:right w:val="single" w:color="auto" w:sz="4" w:space="0"/>
            </w:tcBorders>
            <w:shd w:val="clear" w:color="auto" w:fill="auto"/>
            <w:vAlign w:val="center"/>
          </w:tcPr>
          <w:p w14:paraId="7C506838">
            <w:pPr>
              <w:snapToGrid w:val="0"/>
              <w:rPr>
                <w:rFonts w:hint="default" w:ascii="宋体" w:hAnsi="宋体" w:eastAsia="宋体" w:cs="宋体"/>
                <w:szCs w:val="21"/>
                <w:lang w:val="en-US" w:eastAsia="zh-CN"/>
              </w:rPr>
            </w:pPr>
            <w:r>
              <w:rPr>
                <w:rFonts w:hint="eastAsia" w:ascii="宋体" w:hAnsi="宋体" w:eastAsia="宋体" w:cs="宋体"/>
                <w:szCs w:val="21"/>
                <w:lang w:val="en-US" w:eastAsia="zh-CN"/>
              </w:rPr>
              <w:t>21</w:t>
            </w:r>
          </w:p>
        </w:tc>
        <w:tc>
          <w:tcPr>
            <w:tcW w:w="2709" w:type="dxa"/>
            <w:gridSpan w:val="2"/>
            <w:tcBorders>
              <w:top w:val="single" w:color="auto" w:sz="4" w:space="0"/>
              <w:left w:val="single" w:color="auto" w:sz="4" w:space="0"/>
              <w:bottom w:val="single" w:color="auto" w:sz="6" w:space="0"/>
              <w:right w:val="single" w:color="auto" w:sz="4" w:space="0"/>
            </w:tcBorders>
            <w:shd w:val="clear" w:color="auto" w:fill="auto"/>
            <w:vAlign w:val="center"/>
          </w:tcPr>
          <w:p w14:paraId="110372AA">
            <w:pPr>
              <w:snapToGrid w:val="0"/>
              <w:jc w:val="center"/>
              <w:rPr>
                <w:rFonts w:hint="eastAsia" w:ascii="楷体_GB2312" w:hAnsi="宋体" w:eastAsia="楷体_GB2312" w:cs="楷体_GB2312"/>
                <w:szCs w:val="21"/>
                <w:lang w:val="en-US"/>
              </w:rPr>
            </w:pPr>
            <w:r>
              <w:rPr>
                <w:rFonts w:hint="eastAsia" w:ascii="Calibri" w:hAnsi="Calibri" w:eastAsia="宋体" w:cs="宋体"/>
                <w:szCs w:val="21"/>
              </w:rPr>
              <w:t>授权的其他知识产权（项）</w:t>
            </w:r>
          </w:p>
        </w:tc>
        <w:tc>
          <w:tcPr>
            <w:tcW w:w="2136" w:type="dxa"/>
            <w:gridSpan w:val="2"/>
            <w:tcBorders>
              <w:top w:val="single" w:color="auto" w:sz="4" w:space="0"/>
              <w:left w:val="single" w:color="auto" w:sz="4" w:space="0"/>
              <w:bottom w:val="single" w:color="auto" w:sz="6" w:space="0"/>
              <w:right w:val="single" w:color="auto" w:sz="12" w:space="0"/>
            </w:tcBorders>
            <w:shd w:val="clear" w:color="auto" w:fill="auto"/>
            <w:vAlign w:val="center"/>
          </w:tcPr>
          <w:p w14:paraId="50895ACE">
            <w:pPr>
              <w:snapToGrid w:val="0"/>
              <w:rPr>
                <w:rFonts w:hint="eastAsia" w:ascii="宋体" w:hAnsi="宋体" w:eastAsia="宋体" w:cs="宋体"/>
                <w:szCs w:val="21"/>
                <w:lang w:val="en-US" w:eastAsia="zh-CN"/>
              </w:rPr>
            </w:pPr>
            <w:r>
              <w:rPr>
                <w:rFonts w:hint="eastAsia" w:ascii="宋体" w:hAnsi="宋体" w:eastAsia="宋体" w:cs="宋体"/>
                <w:szCs w:val="21"/>
                <w:lang w:val="en-US" w:eastAsia="zh-CN"/>
              </w:rPr>
              <w:t>33</w:t>
            </w:r>
          </w:p>
        </w:tc>
      </w:tr>
      <w:tr w14:paraId="5E458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454" w:hRule="atLeast"/>
          <w:jc w:val="center"/>
        </w:trPr>
        <w:tc>
          <w:tcPr>
            <w:tcW w:w="2330" w:type="dxa"/>
            <w:gridSpan w:val="3"/>
            <w:tcBorders>
              <w:top w:val="single" w:color="auto" w:sz="6" w:space="0"/>
              <w:left w:val="single" w:color="auto" w:sz="12" w:space="0"/>
              <w:bottom w:val="single" w:color="auto" w:sz="6" w:space="0"/>
              <w:right w:val="single" w:color="auto" w:sz="6" w:space="0"/>
            </w:tcBorders>
            <w:shd w:val="clear" w:color="auto" w:fill="auto"/>
            <w:vAlign w:val="center"/>
          </w:tcPr>
          <w:p w14:paraId="06D7D488">
            <w:pPr>
              <w:snapToGrid w:val="0"/>
              <w:jc w:val="center"/>
              <w:rPr>
                <w:rFonts w:hint="eastAsia" w:ascii="宋体" w:hAnsi="宋体" w:eastAsia="宋体" w:cs="宋体"/>
                <w:szCs w:val="21"/>
                <w:lang w:val="en-US"/>
              </w:rPr>
            </w:pPr>
            <w:r>
              <w:rPr>
                <w:rFonts w:hint="eastAsia" w:ascii="宋体" w:hAnsi="宋体" w:eastAsia="宋体" w:cs="宋体"/>
                <w:szCs w:val="21"/>
              </w:rPr>
              <w:t>项目起止时间</w:t>
            </w:r>
          </w:p>
        </w:tc>
        <w:tc>
          <w:tcPr>
            <w:tcW w:w="2783" w:type="dxa"/>
            <w:tcBorders>
              <w:top w:val="single" w:color="auto" w:sz="6" w:space="0"/>
              <w:left w:val="single" w:color="auto" w:sz="6" w:space="0"/>
              <w:bottom w:val="single" w:color="auto" w:sz="6" w:space="0"/>
              <w:right w:val="single" w:color="auto" w:sz="4" w:space="0"/>
            </w:tcBorders>
            <w:shd w:val="clear" w:color="auto" w:fill="auto"/>
            <w:vAlign w:val="center"/>
          </w:tcPr>
          <w:p w14:paraId="48A07B2A">
            <w:pPr>
              <w:snapToGrid w:val="0"/>
              <w:rPr>
                <w:rFonts w:hint="eastAsia" w:ascii="宋体" w:hAnsi="宋体" w:eastAsia="宋体" w:cs="宋体"/>
                <w:szCs w:val="21"/>
                <w:lang w:val="en-US"/>
              </w:rPr>
            </w:pPr>
            <w:r>
              <w:rPr>
                <w:rFonts w:hint="eastAsia" w:ascii="宋体" w:hAnsi="宋体" w:eastAsia="宋体" w:cs="宋体"/>
                <w:szCs w:val="21"/>
              </w:rPr>
              <w:t>起始：</w:t>
            </w:r>
            <w:r>
              <w:rPr>
                <w:rFonts w:hint="eastAsia" w:ascii="宋体" w:hAnsi="宋体" w:eastAsia="宋体" w:cs="宋体"/>
                <w:szCs w:val="21"/>
                <w:lang w:val="en-US"/>
              </w:rPr>
              <w:t>201</w:t>
            </w:r>
            <w:r>
              <w:rPr>
                <w:rFonts w:hint="eastAsia" w:ascii="宋体" w:hAnsi="宋体" w:eastAsia="宋体" w:cs="宋体"/>
                <w:szCs w:val="21"/>
                <w:lang w:val="en-US" w:eastAsia="zh-CN"/>
              </w:rPr>
              <w:t>4</w:t>
            </w:r>
            <w:r>
              <w:rPr>
                <w:rFonts w:hint="eastAsia" w:ascii="宋体" w:hAnsi="宋体" w:eastAsia="宋体" w:cs="宋体"/>
                <w:szCs w:val="21"/>
                <w:lang w:val="en-US"/>
              </w:rPr>
              <w:t>年01月01日</w:t>
            </w:r>
          </w:p>
        </w:tc>
        <w:tc>
          <w:tcPr>
            <w:tcW w:w="4845" w:type="dxa"/>
            <w:gridSpan w:val="4"/>
            <w:tcBorders>
              <w:top w:val="single" w:color="auto" w:sz="6" w:space="0"/>
              <w:left w:val="single" w:color="auto" w:sz="4" w:space="0"/>
              <w:bottom w:val="single" w:color="auto" w:sz="6" w:space="0"/>
              <w:right w:val="single" w:color="auto" w:sz="12" w:space="0"/>
            </w:tcBorders>
            <w:shd w:val="clear" w:color="auto" w:fill="auto"/>
            <w:vAlign w:val="center"/>
          </w:tcPr>
          <w:p w14:paraId="0757CBFA">
            <w:pPr>
              <w:snapToGrid w:val="0"/>
              <w:rPr>
                <w:rFonts w:hint="eastAsia" w:ascii="宋体" w:hAnsi="宋体" w:eastAsia="宋体" w:cs="宋体"/>
                <w:szCs w:val="21"/>
                <w:lang w:val="en-US"/>
              </w:rPr>
            </w:pPr>
            <w:r>
              <w:rPr>
                <w:rFonts w:hint="eastAsia" w:ascii="宋体" w:hAnsi="宋体" w:eastAsia="宋体" w:cs="宋体"/>
                <w:szCs w:val="21"/>
              </w:rPr>
              <w:t>完成：</w:t>
            </w:r>
            <w:r>
              <w:rPr>
                <w:rFonts w:hint="eastAsia" w:ascii="宋体" w:hAnsi="宋体" w:eastAsia="宋体" w:cs="宋体"/>
                <w:szCs w:val="21"/>
                <w:lang w:val="en-US"/>
              </w:rPr>
              <w:t>202</w:t>
            </w:r>
            <w:r>
              <w:rPr>
                <w:rFonts w:hint="eastAsia" w:ascii="宋体" w:hAnsi="宋体" w:eastAsia="宋体" w:cs="宋体"/>
                <w:szCs w:val="21"/>
                <w:lang w:val="en-US" w:eastAsia="zh-CN"/>
              </w:rPr>
              <w:t>2</w:t>
            </w:r>
            <w:r>
              <w:rPr>
                <w:rFonts w:hint="eastAsia" w:ascii="宋体" w:hAnsi="宋体" w:eastAsia="宋体" w:cs="宋体"/>
                <w:szCs w:val="21"/>
                <w:lang w:val="en-US"/>
              </w:rPr>
              <w:t>年</w:t>
            </w:r>
            <w:r>
              <w:rPr>
                <w:rFonts w:hint="eastAsia" w:ascii="宋体" w:hAnsi="宋体" w:eastAsia="宋体" w:cs="宋体"/>
                <w:szCs w:val="21"/>
                <w:lang w:val="en-US" w:eastAsia="zh-CN"/>
              </w:rPr>
              <w:t>12</w:t>
            </w:r>
            <w:r>
              <w:rPr>
                <w:rFonts w:hint="eastAsia" w:ascii="宋体" w:hAnsi="宋体" w:eastAsia="宋体" w:cs="宋体"/>
                <w:szCs w:val="21"/>
                <w:lang w:val="en-US"/>
              </w:rPr>
              <w:t>月</w:t>
            </w:r>
            <w:r>
              <w:rPr>
                <w:rFonts w:hint="eastAsia" w:ascii="宋体" w:hAnsi="宋体" w:eastAsia="宋体" w:cs="宋体"/>
                <w:szCs w:val="21"/>
                <w:lang w:val="en-US" w:eastAsia="zh-CN"/>
              </w:rPr>
              <w:t>31</w:t>
            </w:r>
            <w:r>
              <w:rPr>
                <w:rFonts w:hint="eastAsia" w:ascii="宋体" w:hAnsi="宋体" w:eastAsia="宋体" w:cs="宋体"/>
                <w:szCs w:val="21"/>
                <w:lang w:val="en-US"/>
              </w:rPr>
              <w:t>日</w:t>
            </w:r>
          </w:p>
        </w:tc>
      </w:tr>
      <w:tr w14:paraId="61C91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454" w:hRule="atLeast"/>
          <w:jc w:val="center"/>
        </w:trPr>
        <w:tc>
          <w:tcPr>
            <w:tcW w:w="2330" w:type="dxa"/>
            <w:gridSpan w:val="3"/>
            <w:tcBorders>
              <w:top w:val="single" w:color="auto" w:sz="6" w:space="0"/>
              <w:left w:val="single" w:color="auto" w:sz="12" w:space="0"/>
              <w:bottom w:val="single" w:color="auto" w:sz="12" w:space="0"/>
              <w:right w:val="single" w:color="auto" w:sz="6" w:space="0"/>
            </w:tcBorders>
            <w:shd w:val="clear" w:color="auto" w:fill="auto"/>
            <w:vAlign w:val="center"/>
          </w:tcPr>
          <w:p w14:paraId="1D3B3011">
            <w:pPr>
              <w:snapToGrid w:val="0"/>
              <w:jc w:val="center"/>
              <w:rPr>
                <w:rFonts w:hint="eastAsia" w:ascii="宋体" w:hAnsi="宋体" w:eastAsia="宋体" w:cs="宋体"/>
                <w:szCs w:val="21"/>
                <w:lang w:val="en-US"/>
              </w:rPr>
            </w:pPr>
            <w:r>
              <w:rPr>
                <w:rFonts w:hint="eastAsia" w:ascii="Calibri" w:hAnsi="Calibri" w:eastAsia="宋体" w:cs="宋体"/>
                <w:szCs w:val="21"/>
              </w:rPr>
              <w:t>推荐等级</w:t>
            </w:r>
          </w:p>
        </w:tc>
        <w:tc>
          <w:tcPr>
            <w:tcW w:w="7628" w:type="dxa"/>
            <w:gridSpan w:val="5"/>
            <w:tcBorders>
              <w:top w:val="single" w:color="auto" w:sz="6" w:space="0"/>
              <w:left w:val="single" w:color="auto" w:sz="6" w:space="0"/>
              <w:bottom w:val="single" w:color="auto" w:sz="12" w:space="0"/>
              <w:right w:val="single" w:color="auto" w:sz="12" w:space="0"/>
            </w:tcBorders>
            <w:shd w:val="clear" w:color="auto" w:fill="auto"/>
            <w:vAlign w:val="center"/>
          </w:tcPr>
          <w:p w14:paraId="471E3C78">
            <w:pPr>
              <w:snapToGrid w:val="0"/>
              <w:rPr>
                <w:rFonts w:hint="eastAsia" w:ascii="宋体" w:hAnsi="宋体" w:eastAsia="宋体" w:cs="宋体"/>
                <w:szCs w:val="21"/>
                <w:lang w:val="en-US"/>
              </w:rPr>
            </w:pPr>
            <w:r>
              <w:rPr>
                <w:rFonts w:hint="eastAsia" w:ascii="宋体" w:hAnsi="宋体" w:eastAsia="宋体" w:cs="宋体"/>
                <w:szCs w:val="21"/>
                <w:lang w:val="en-US"/>
              </w:rPr>
              <w:t>一等奖或二等奖</w:t>
            </w:r>
          </w:p>
        </w:tc>
      </w:tr>
    </w:tbl>
    <w:p w14:paraId="1D7EDD83">
      <w:pPr>
        <w:spacing w:before="30"/>
        <w:ind w:left="725" w:right="745"/>
        <w:jc w:val="center"/>
        <w:rPr>
          <w:rFonts w:hint="eastAsia" w:ascii="黑体" w:eastAsia="黑体"/>
          <w:sz w:val="32"/>
        </w:rPr>
      </w:pPr>
    </w:p>
    <w:p w14:paraId="6BB50BBF">
      <w:pPr>
        <w:spacing w:before="30"/>
        <w:ind w:left="725" w:right="745"/>
        <w:jc w:val="center"/>
        <w:rPr>
          <w:rFonts w:hint="eastAsia" w:ascii="黑体" w:eastAsia="黑体"/>
          <w:sz w:val="32"/>
        </w:rPr>
      </w:pPr>
    </w:p>
    <w:p w14:paraId="28368A96">
      <w:pPr>
        <w:spacing w:before="30"/>
        <w:ind w:left="725" w:right="745"/>
        <w:jc w:val="center"/>
        <w:rPr>
          <w:rFonts w:hint="eastAsia" w:ascii="黑体" w:eastAsia="黑体"/>
          <w:sz w:val="32"/>
        </w:rPr>
      </w:pPr>
    </w:p>
    <w:p w14:paraId="05C6B53B">
      <w:pPr>
        <w:spacing w:before="30"/>
        <w:ind w:left="725" w:right="745"/>
        <w:jc w:val="center"/>
        <w:rPr>
          <w:rFonts w:hint="eastAsia" w:ascii="黑体" w:eastAsia="黑体"/>
          <w:sz w:val="32"/>
        </w:rPr>
      </w:pPr>
    </w:p>
    <w:p w14:paraId="5E0A7365">
      <w:pPr>
        <w:pStyle w:val="10"/>
        <w:spacing w:before="30"/>
        <w:ind w:left="725" w:right="745"/>
        <w:jc w:val="center"/>
        <w:rPr>
          <w:rFonts w:hint="eastAsia" w:ascii="黑体" w:eastAsia="黑体"/>
        </w:rPr>
      </w:pPr>
      <w:r>
        <w:rPr>
          <w:rFonts w:hint="eastAsia" w:ascii="黑体" w:eastAsia="黑体"/>
        </w:rPr>
        <w:t>二、推荐意见</w:t>
      </w:r>
    </w:p>
    <w:tbl>
      <w:tblPr>
        <w:tblStyle w:val="7"/>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28" w:type="dxa"/>
          <w:bottom w:w="0" w:type="dxa"/>
          <w:right w:w="28" w:type="dxa"/>
        </w:tblCellMar>
      </w:tblPr>
      <w:tblGrid>
        <w:gridCol w:w="1155"/>
        <w:gridCol w:w="4320"/>
        <w:gridCol w:w="1440"/>
        <w:gridCol w:w="2332"/>
      </w:tblGrid>
      <w:tr w14:paraId="73026CC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28" w:type="dxa"/>
            <w:bottom w:w="0" w:type="dxa"/>
            <w:right w:w="28" w:type="dxa"/>
          </w:tblCellMar>
        </w:tblPrEx>
        <w:trPr>
          <w:cantSplit/>
          <w:trHeight w:val="512" w:hRule="exact"/>
          <w:jc w:val="center"/>
        </w:trPr>
        <w:tc>
          <w:tcPr>
            <w:tcW w:w="1155" w:type="dxa"/>
            <w:tcBorders>
              <w:bottom w:val="single" w:color="000000" w:sz="4" w:space="0"/>
              <w:right w:val="single" w:color="auto" w:sz="4" w:space="0"/>
            </w:tcBorders>
            <w:noWrap w:val="0"/>
            <w:vAlign w:val="top"/>
          </w:tcPr>
          <w:p w14:paraId="72904637">
            <w:pPr>
              <w:spacing w:line="360" w:lineRule="exact"/>
              <w:jc w:val="center"/>
              <w:rPr>
                <w:rFonts w:hint="default" w:ascii="Times New Roman" w:hAnsi="Times New Roman" w:cs="Times New Roman"/>
                <w:szCs w:val="21"/>
              </w:rPr>
            </w:pPr>
            <w:r>
              <w:rPr>
                <w:rFonts w:hint="default" w:ascii="Times New Roman" w:hAnsi="Times New Roman" w:cs="Times New Roman"/>
                <w:szCs w:val="21"/>
              </w:rPr>
              <w:t>推荐单位</w:t>
            </w:r>
          </w:p>
        </w:tc>
        <w:tc>
          <w:tcPr>
            <w:tcW w:w="8092" w:type="dxa"/>
            <w:gridSpan w:val="3"/>
            <w:tcBorders>
              <w:left w:val="single" w:color="auto" w:sz="4" w:space="0"/>
              <w:bottom w:val="single" w:color="000000" w:sz="4" w:space="0"/>
            </w:tcBorders>
            <w:noWrap w:val="0"/>
            <w:vAlign w:val="top"/>
          </w:tcPr>
          <w:p w14:paraId="0242F8E4">
            <w:pPr>
              <w:spacing w:line="360" w:lineRule="exact"/>
              <w:jc w:val="left"/>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浙江省自然资源厅</w:t>
            </w:r>
          </w:p>
        </w:tc>
      </w:tr>
      <w:tr w14:paraId="5F76F2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28" w:type="dxa"/>
            <w:bottom w:w="0" w:type="dxa"/>
            <w:right w:w="28" w:type="dxa"/>
          </w:tblCellMar>
        </w:tblPrEx>
        <w:trPr>
          <w:cantSplit/>
          <w:trHeight w:val="461" w:hRule="exact"/>
          <w:jc w:val="center"/>
        </w:trPr>
        <w:tc>
          <w:tcPr>
            <w:tcW w:w="1155" w:type="dxa"/>
            <w:tcBorders>
              <w:bottom w:val="single" w:color="000000" w:sz="4" w:space="0"/>
              <w:right w:val="single" w:color="auto" w:sz="4" w:space="0"/>
            </w:tcBorders>
            <w:noWrap w:val="0"/>
            <w:vAlign w:val="top"/>
          </w:tcPr>
          <w:p w14:paraId="7994307E">
            <w:pPr>
              <w:spacing w:line="360" w:lineRule="exact"/>
              <w:jc w:val="center"/>
              <w:rPr>
                <w:rFonts w:hint="default" w:ascii="Times New Roman" w:hAnsi="Times New Roman" w:cs="Times New Roman"/>
                <w:szCs w:val="21"/>
              </w:rPr>
            </w:pPr>
            <w:r>
              <w:rPr>
                <w:rFonts w:hint="default" w:ascii="Times New Roman" w:hAnsi="Times New Roman" w:cs="Times New Roman"/>
                <w:szCs w:val="21"/>
              </w:rPr>
              <w:t>通讯地址</w:t>
            </w:r>
          </w:p>
        </w:tc>
        <w:tc>
          <w:tcPr>
            <w:tcW w:w="4320" w:type="dxa"/>
            <w:tcBorders>
              <w:left w:val="single" w:color="auto" w:sz="4" w:space="0"/>
              <w:bottom w:val="single" w:color="000000" w:sz="4" w:space="0"/>
              <w:right w:val="single" w:color="auto" w:sz="4" w:space="0"/>
            </w:tcBorders>
            <w:noWrap w:val="0"/>
            <w:vAlign w:val="top"/>
          </w:tcPr>
          <w:p w14:paraId="1F6653B1">
            <w:pPr>
              <w:spacing w:line="360" w:lineRule="exact"/>
              <w:jc w:val="left"/>
              <w:rPr>
                <w:rFonts w:hint="default" w:ascii="Times New Roman" w:hAnsi="Times New Roman" w:cs="Times New Roman"/>
                <w:szCs w:val="21"/>
              </w:rPr>
            </w:pPr>
            <w:r>
              <w:rPr>
                <w:rFonts w:hint="eastAsia" w:ascii="Times New Roman" w:hAnsi="Times New Roman" w:cs="Times New Roman"/>
                <w:szCs w:val="21"/>
              </w:rPr>
              <w:t>浙江省杭州市西溪路118号</w:t>
            </w:r>
          </w:p>
        </w:tc>
        <w:tc>
          <w:tcPr>
            <w:tcW w:w="1440" w:type="dxa"/>
            <w:tcBorders>
              <w:left w:val="single" w:color="auto" w:sz="4" w:space="0"/>
              <w:bottom w:val="single" w:color="000000" w:sz="4" w:space="0"/>
              <w:right w:val="single" w:color="auto" w:sz="4" w:space="0"/>
            </w:tcBorders>
            <w:noWrap w:val="0"/>
            <w:vAlign w:val="top"/>
          </w:tcPr>
          <w:p w14:paraId="3B3C073F">
            <w:pPr>
              <w:spacing w:line="360" w:lineRule="exact"/>
              <w:jc w:val="left"/>
              <w:rPr>
                <w:rFonts w:hint="default" w:ascii="Times New Roman" w:hAnsi="Times New Roman" w:cs="Times New Roman"/>
                <w:szCs w:val="21"/>
              </w:rPr>
            </w:pPr>
            <w:r>
              <w:rPr>
                <w:rFonts w:hint="default" w:ascii="Times New Roman" w:hAnsi="Times New Roman" w:cs="Times New Roman"/>
                <w:szCs w:val="21"/>
              </w:rPr>
              <w:t>邮政编码</w:t>
            </w:r>
          </w:p>
        </w:tc>
        <w:tc>
          <w:tcPr>
            <w:tcW w:w="2332" w:type="dxa"/>
            <w:tcBorders>
              <w:left w:val="single" w:color="auto" w:sz="4" w:space="0"/>
              <w:bottom w:val="single" w:color="000000" w:sz="4" w:space="0"/>
            </w:tcBorders>
            <w:noWrap w:val="0"/>
            <w:vAlign w:val="top"/>
          </w:tcPr>
          <w:p w14:paraId="632A9272">
            <w:pPr>
              <w:spacing w:line="360" w:lineRule="exact"/>
              <w:jc w:val="left"/>
              <w:rPr>
                <w:rFonts w:hint="default" w:ascii="Times New Roman" w:hAnsi="Times New Roman" w:cs="Times New Roman"/>
                <w:szCs w:val="21"/>
              </w:rPr>
            </w:pPr>
            <w:r>
              <w:rPr>
                <w:rFonts w:hint="default" w:ascii="Times New Roman" w:hAnsi="Times New Roman" w:cs="Times New Roman"/>
                <w:szCs w:val="21"/>
              </w:rPr>
              <w:t>310007</w:t>
            </w:r>
          </w:p>
        </w:tc>
      </w:tr>
      <w:tr w14:paraId="3082A92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28" w:type="dxa"/>
            <w:bottom w:w="0" w:type="dxa"/>
            <w:right w:w="28" w:type="dxa"/>
          </w:tblCellMar>
        </w:tblPrEx>
        <w:trPr>
          <w:cantSplit/>
          <w:trHeight w:val="461" w:hRule="exact"/>
          <w:jc w:val="center"/>
        </w:trPr>
        <w:tc>
          <w:tcPr>
            <w:tcW w:w="1155" w:type="dxa"/>
            <w:tcBorders>
              <w:bottom w:val="single" w:color="000000" w:sz="4" w:space="0"/>
              <w:right w:val="single" w:color="auto" w:sz="4" w:space="0"/>
            </w:tcBorders>
            <w:noWrap w:val="0"/>
            <w:vAlign w:val="top"/>
          </w:tcPr>
          <w:p w14:paraId="704A953A">
            <w:pPr>
              <w:spacing w:line="360" w:lineRule="exact"/>
              <w:jc w:val="center"/>
              <w:rPr>
                <w:rFonts w:hint="default" w:ascii="Times New Roman" w:hAnsi="Times New Roman" w:cs="Times New Roman"/>
                <w:szCs w:val="21"/>
              </w:rPr>
            </w:pPr>
            <w:r>
              <w:rPr>
                <w:rFonts w:hint="default" w:ascii="Times New Roman" w:hAnsi="Times New Roman" w:cs="Times New Roman"/>
                <w:szCs w:val="21"/>
              </w:rPr>
              <w:t>联 系 人</w:t>
            </w:r>
          </w:p>
        </w:tc>
        <w:tc>
          <w:tcPr>
            <w:tcW w:w="4320" w:type="dxa"/>
            <w:tcBorders>
              <w:left w:val="single" w:color="auto" w:sz="4" w:space="0"/>
              <w:bottom w:val="single" w:color="000000" w:sz="4" w:space="0"/>
              <w:right w:val="single" w:color="auto" w:sz="4" w:space="0"/>
            </w:tcBorders>
            <w:noWrap w:val="0"/>
            <w:vAlign w:val="top"/>
          </w:tcPr>
          <w:p w14:paraId="72445D43">
            <w:pPr>
              <w:spacing w:line="360" w:lineRule="exact"/>
              <w:jc w:val="left"/>
              <w:rPr>
                <w:rFonts w:hint="default" w:ascii="Times New Roman" w:hAnsi="Times New Roman" w:cs="Times New Roman"/>
                <w:szCs w:val="21"/>
              </w:rPr>
            </w:pPr>
            <w:r>
              <w:rPr>
                <w:rFonts w:hint="eastAsia" w:ascii="Times New Roman" w:hAnsi="Times New Roman" w:cs="Times New Roman"/>
                <w:szCs w:val="21"/>
                <w:lang w:val="en-US" w:eastAsia="zh-CN"/>
              </w:rPr>
              <w:t>顾杰</w:t>
            </w:r>
          </w:p>
        </w:tc>
        <w:tc>
          <w:tcPr>
            <w:tcW w:w="1440" w:type="dxa"/>
            <w:tcBorders>
              <w:left w:val="single" w:color="auto" w:sz="4" w:space="0"/>
              <w:bottom w:val="single" w:color="000000" w:sz="4" w:space="0"/>
              <w:right w:val="single" w:color="auto" w:sz="4" w:space="0"/>
            </w:tcBorders>
            <w:noWrap w:val="0"/>
            <w:vAlign w:val="top"/>
          </w:tcPr>
          <w:p w14:paraId="4747F3D4">
            <w:pPr>
              <w:spacing w:line="360" w:lineRule="exact"/>
              <w:jc w:val="left"/>
              <w:rPr>
                <w:rFonts w:hint="default" w:ascii="Times New Roman" w:hAnsi="Times New Roman" w:cs="Times New Roman"/>
                <w:szCs w:val="21"/>
              </w:rPr>
            </w:pPr>
            <w:r>
              <w:rPr>
                <w:rFonts w:hint="default" w:ascii="Times New Roman" w:hAnsi="Times New Roman" w:cs="Times New Roman"/>
                <w:szCs w:val="21"/>
              </w:rPr>
              <w:t>联系电话</w:t>
            </w:r>
          </w:p>
        </w:tc>
        <w:tc>
          <w:tcPr>
            <w:tcW w:w="2332" w:type="dxa"/>
            <w:tcBorders>
              <w:left w:val="single" w:color="auto" w:sz="4" w:space="0"/>
              <w:bottom w:val="single" w:color="000000" w:sz="4" w:space="0"/>
            </w:tcBorders>
            <w:noWrap w:val="0"/>
            <w:vAlign w:val="top"/>
          </w:tcPr>
          <w:p w14:paraId="3228E5E6">
            <w:pPr>
              <w:spacing w:line="360" w:lineRule="exact"/>
              <w:jc w:val="left"/>
              <w:rPr>
                <w:rFonts w:hint="default" w:ascii="Times New Roman" w:hAnsi="Times New Roman" w:cs="Times New Roman"/>
                <w:szCs w:val="21"/>
              </w:rPr>
            </w:pPr>
            <w:r>
              <w:rPr>
                <w:rFonts w:hint="eastAsia" w:ascii="Times New Roman" w:hAnsi="Times New Roman" w:cs="Times New Roman"/>
                <w:szCs w:val="21"/>
              </w:rPr>
              <w:t>15257883533</w:t>
            </w:r>
          </w:p>
        </w:tc>
      </w:tr>
      <w:tr w14:paraId="7AD48E0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28" w:type="dxa"/>
            <w:bottom w:w="0" w:type="dxa"/>
            <w:right w:w="28" w:type="dxa"/>
          </w:tblCellMar>
        </w:tblPrEx>
        <w:trPr>
          <w:cantSplit/>
          <w:trHeight w:val="461" w:hRule="exact"/>
          <w:jc w:val="center"/>
        </w:trPr>
        <w:tc>
          <w:tcPr>
            <w:tcW w:w="1155" w:type="dxa"/>
            <w:tcBorders>
              <w:bottom w:val="single" w:color="000000" w:sz="4" w:space="0"/>
              <w:right w:val="single" w:color="auto" w:sz="4" w:space="0"/>
            </w:tcBorders>
            <w:noWrap w:val="0"/>
            <w:vAlign w:val="top"/>
          </w:tcPr>
          <w:p w14:paraId="4BD381B9">
            <w:pPr>
              <w:spacing w:line="36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4320" w:type="dxa"/>
            <w:tcBorders>
              <w:left w:val="single" w:color="auto" w:sz="4" w:space="0"/>
              <w:bottom w:val="single" w:color="000000" w:sz="4" w:space="0"/>
              <w:right w:val="single" w:color="auto" w:sz="4" w:space="0"/>
            </w:tcBorders>
            <w:noWrap w:val="0"/>
            <w:vAlign w:val="top"/>
          </w:tcPr>
          <w:p w14:paraId="3A72D2F7">
            <w:pPr>
              <w:spacing w:line="360" w:lineRule="exact"/>
              <w:jc w:val="left"/>
              <w:rPr>
                <w:rFonts w:hint="default" w:ascii="Times New Roman" w:hAnsi="Times New Roman" w:cs="Times New Roman"/>
                <w:szCs w:val="21"/>
              </w:rPr>
            </w:pPr>
            <w:r>
              <w:rPr>
                <w:rFonts w:hint="eastAsia" w:ascii="Times New Roman" w:hAnsi="Times New Roman" w:cs="Times New Roman"/>
                <w:szCs w:val="21"/>
              </w:rPr>
              <w:t>332975961@qq.com</w:t>
            </w:r>
          </w:p>
        </w:tc>
        <w:tc>
          <w:tcPr>
            <w:tcW w:w="1440" w:type="dxa"/>
            <w:tcBorders>
              <w:left w:val="single" w:color="auto" w:sz="4" w:space="0"/>
              <w:bottom w:val="single" w:color="000000" w:sz="4" w:space="0"/>
              <w:right w:val="single" w:color="auto" w:sz="4" w:space="0"/>
            </w:tcBorders>
            <w:noWrap w:val="0"/>
            <w:vAlign w:val="top"/>
          </w:tcPr>
          <w:p w14:paraId="57AEF291">
            <w:pPr>
              <w:spacing w:line="360" w:lineRule="exact"/>
              <w:jc w:val="left"/>
              <w:rPr>
                <w:rFonts w:hint="default" w:ascii="Times New Roman" w:hAnsi="Times New Roman" w:cs="Times New Roman"/>
                <w:szCs w:val="21"/>
              </w:rPr>
            </w:pPr>
            <w:r>
              <w:rPr>
                <w:rFonts w:hint="default" w:ascii="Times New Roman" w:hAnsi="Times New Roman" w:cs="Times New Roman"/>
                <w:szCs w:val="21"/>
              </w:rPr>
              <w:t>传    真</w:t>
            </w:r>
          </w:p>
        </w:tc>
        <w:tc>
          <w:tcPr>
            <w:tcW w:w="2332" w:type="dxa"/>
            <w:tcBorders>
              <w:left w:val="single" w:color="auto" w:sz="4" w:space="0"/>
              <w:bottom w:val="single" w:color="000000" w:sz="4" w:space="0"/>
            </w:tcBorders>
            <w:noWrap w:val="0"/>
            <w:vAlign w:val="top"/>
          </w:tcPr>
          <w:p w14:paraId="04507CA6">
            <w:pPr>
              <w:spacing w:line="360" w:lineRule="exact"/>
              <w:jc w:val="left"/>
              <w:rPr>
                <w:rFonts w:hint="default" w:ascii="Times New Roman" w:hAnsi="Times New Roman" w:cs="Times New Roman"/>
                <w:szCs w:val="21"/>
              </w:rPr>
            </w:pPr>
          </w:p>
        </w:tc>
      </w:tr>
      <w:tr w14:paraId="559EC9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28" w:type="dxa"/>
            <w:bottom w:w="0" w:type="dxa"/>
            <w:right w:w="28" w:type="dxa"/>
          </w:tblCellMar>
        </w:tblPrEx>
        <w:trPr>
          <w:cantSplit/>
          <w:trHeight w:val="6456" w:hRule="exact"/>
          <w:jc w:val="center"/>
        </w:trPr>
        <w:tc>
          <w:tcPr>
            <w:tcW w:w="9247" w:type="dxa"/>
            <w:gridSpan w:val="4"/>
            <w:tcBorders>
              <w:bottom w:val="single" w:color="000000" w:sz="4" w:space="0"/>
            </w:tcBorders>
            <w:noWrap w:val="0"/>
            <w:vAlign w:val="top"/>
          </w:tcPr>
          <w:p w14:paraId="39A2C849">
            <w:pPr>
              <w:spacing w:line="360" w:lineRule="exact"/>
              <w:rPr>
                <w:rFonts w:hint="default" w:ascii="Times New Roman" w:hAnsi="Times New Roman" w:cs="Times New Roman"/>
                <w:szCs w:val="21"/>
              </w:rPr>
            </w:pPr>
            <w:r>
              <w:rPr>
                <w:rFonts w:hint="default" w:ascii="Times New Roman" w:hAnsi="Times New Roman" w:cs="Times New Roman"/>
                <w:szCs w:val="21"/>
              </w:rPr>
              <w:t>推荐意见：（限600字）</w:t>
            </w:r>
          </w:p>
          <w:p w14:paraId="1658B318">
            <w:pPr>
              <w:spacing w:line="360" w:lineRule="exact"/>
              <w:ind w:firstLine="420" w:firstLineChars="200"/>
              <w:rPr>
                <w:rFonts w:hint="default" w:ascii="Times New Roman" w:hAnsi="Times New Roman" w:cs="Times New Roman"/>
                <w:szCs w:val="21"/>
              </w:rPr>
            </w:pPr>
            <w:r>
              <w:rPr>
                <w:rFonts w:hint="default" w:ascii="Times New Roman" w:hAnsi="Times New Roman" w:cs="Times New Roman"/>
                <w:szCs w:val="21"/>
              </w:rPr>
              <w:t>该成果面向国家地质灾害防治现代化需求，针对东南丘陵区地质灾害</w:t>
            </w:r>
            <w:r>
              <w:rPr>
                <w:rFonts w:hint="eastAsia" w:ascii="Times New Roman" w:hAnsi="Times New Roman" w:cs="Times New Roman"/>
                <w:szCs w:val="21"/>
                <w:lang w:eastAsia="zh-CN"/>
              </w:rPr>
              <w:t>“</w:t>
            </w:r>
            <w:r>
              <w:rPr>
                <w:rFonts w:hint="default" w:ascii="Times New Roman" w:hAnsi="Times New Roman" w:cs="Times New Roman"/>
                <w:szCs w:val="21"/>
              </w:rPr>
              <w:t>台风暴雨诱发、隐蔽性强、突发性高、链生群发</w:t>
            </w:r>
            <w:r>
              <w:rPr>
                <w:rFonts w:hint="eastAsia" w:ascii="Times New Roman" w:hAnsi="Times New Roman" w:cs="Times New Roman"/>
                <w:szCs w:val="21"/>
                <w:lang w:eastAsia="zh-CN"/>
              </w:rPr>
              <w:t>”</w:t>
            </w:r>
            <w:r>
              <w:rPr>
                <w:rFonts w:hint="default" w:ascii="Times New Roman" w:hAnsi="Times New Roman" w:cs="Times New Roman"/>
                <w:szCs w:val="21"/>
              </w:rPr>
              <w:t>典型特征及</w:t>
            </w:r>
            <w:r>
              <w:rPr>
                <w:rFonts w:hint="eastAsia" w:ascii="Times New Roman" w:hAnsi="Times New Roman" w:cs="Times New Roman"/>
                <w:szCs w:val="21"/>
                <w:lang w:eastAsia="zh-CN"/>
              </w:rPr>
              <w:t>“</w:t>
            </w:r>
            <w:r>
              <w:rPr>
                <w:rFonts w:hint="default" w:ascii="Times New Roman" w:hAnsi="Times New Roman" w:cs="Times New Roman"/>
                <w:szCs w:val="21"/>
              </w:rPr>
              <w:t>风险评估不准、预警精细不足、管控协同不足</w:t>
            </w:r>
            <w:r>
              <w:rPr>
                <w:rFonts w:hint="eastAsia" w:ascii="Times New Roman" w:hAnsi="Times New Roman" w:cs="Times New Roman"/>
                <w:szCs w:val="21"/>
                <w:lang w:eastAsia="zh-CN"/>
              </w:rPr>
              <w:t>”</w:t>
            </w:r>
            <w:r>
              <w:rPr>
                <w:rFonts w:hint="default" w:ascii="Times New Roman" w:hAnsi="Times New Roman" w:cs="Times New Roman"/>
                <w:szCs w:val="21"/>
              </w:rPr>
              <w:t>系统性瓶颈，依托国家自然科学基金、浙江省自然资源重点科技项目等，历经十多年产学研攻关，构建了集</w:t>
            </w:r>
            <w:r>
              <w:rPr>
                <w:rFonts w:hint="eastAsia" w:ascii="Times New Roman" w:hAnsi="Times New Roman" w:cs="Times New Roman"/>
                <w:szCs w:val="21"/>
                <w:lang w:eastAsia="zh-CN"/>
              </w:rPr>
              <w:t>“</w:t>
            </w:r>
            <w:r>
              <w:rPr>
                <w:rFonts w:hint="default" w:ascii="Times New Roman" w:hAnsi="Times New Roman" w:cs="Times New Roman"/>
                <w:szCs w:val="21"/>
              </w:rPr>
              <w:t>精准化风险评估－精细化短临预警－数智化协同管控</w:t>
            </w:r>
            <w:r>
              <w:rPr>
                <w:rFonts w:hint="eastAsia" w:ascii="Times New Roman" w:hAnsi="Times New Roman" w:cs="Times New Roman"/>
                <w:szCs w:val="21"/>
                <w:lang w:eastAsia="zh-CN"/>
              </w:rPr>
              <w:t>”</w:t>
            </w:r>
            <w:r>
              <w:rPr>
                <w:rFonts w:hint="default" w:ascii="Times New Roman" w:hAnsi="Times New Roman" w:cs="Times New Roman"/>
                <w:szCs w:val="21"/>
              </w:rPr>
              <w:t>于一体的技术体系。经陈军院士等专家评价认定</w:t>
            </w:r>
            <w:r>
              <w:rPr>
                <w:rFonts w:hint="eastAsia" w:ascii="Times New Roman" w:hAnsi="Times New Roman" w:cs="Times New Roman"/>
                <w:szCs w:val="21"/>
                <w:lang w:eastAsia="zh-CN"/>
              </w:rPr>
              <w:t>“</w:t>
            </w:r>
            <w:r>
              <w:rPr>
                <w:rFonts w:hint="default" w:ascii="Times New Roman" w:hAnsi="Times New Roman" w:cs="Times New Roman"/>
                <w:szCs w:val="21"/>
              </w:rPr>
              <w:t>整体技术达到国内领先，基于多源时空数据融合的孕灾环境与台风暴雨动态耦合方法、小尺度分钟级精细短临预警技术等国际领先</w:t>
            </w:r>
            <w:r>
              <w:rPr>
                <w:rFonts w:hint="eastAsia" w:ascii="Times New Roman" w:hAnsi="Times New Roman" w:cs="Times New Roman"/>
                <w:szCs w:val="21"/>
                <w:lang w:eastAsia="zh-CN"/>
              </w:rPr>
              <w:t>”</w:t>
            </w:r>
            <w:r>
              <w:rPr>
                <w:rFonts w:hint="default" w:ascii="Times New Roman" w:hAnsi="Times New Roman" w:cs="Times New Roman"/>
                <w:szCs w:val="21"/>
              </w:rPr>
              <w:t>。</w:t>
            </w:r>
          </w:p>
          <w:p w14:paraId="6EC65D23">
            <w:pPr>
              <w:spacing w:line="360" w:lineRule="exact"/>
              <w:ind w:firstLine="420" w:firstLineChars="200"/>
              <w:rPr>
                <w:rFonts w:hint="default" w:ascii="Times New Roman" w:hAnsi="Times New Roman" w:cs="Times New Roman"/>
                <w:szCs w:val="21"/>
              </w:rPr>
            </w:pPr>
            <w:r>
              <w:rPr>
                <w:rFonts w:hint="default" w:ascii="Times New Roman" w:hAnsi="Times New Roman" w:cs="Times New Roman"/>
                <w:szCs w:val="21"/>
              </w:rPr>
              <w:t>主要创新：1.提出了复杂异质条件下的地质灾害风险精准评估方法，实现了基于遥感影像的承灾体高精度识别及地质灾害风险的高置信度分区分级量化；2.研发了</w:t>
            </w:r>
            <w:r>
              <w:rPr>
                <w:rFonts w:hint="eastAsia" w:ascii="Times New Roman" w:hAnsi="Times New Roman" w:cs="Times New Roman"/>
                <w:szCs w:val="21"/>
                <w:lang w:eastAsia="zh-CN"/>
              </w:rPr>
              <w:t>“</w:t>
            </w:r>
            <w:r>
              <w:rPr>
                <w:rFonts w:hint="default" w:ascii="Times New Roman" w:hAnsi="Times New Roman" w:cs="Times New Roman"/>
                <w:szCs w:val="21"/>
              </w:rPr>
              <w:t>孕灾环境－台风暴雨</w:t>
            </w:r>
            <w:r>
              <w:rPr>
                <w:rFonts w:hint="eastAsia" w:ascii="Times New Roman" w:hAnsi="Times New Roman" w:cs="Times New Roman"/>
                <w:szCs w:val="21"/>
                <w:lang w:eastAsia="zh-CN"/>
              </w:rPr>
              <w:t>”</w:t>
            </w:r>
            <w:r>
              <w:rPr>
                <w:rFonts w:hint="default" w:ascii="Times New Roman" w:hAnsi="Times New Roman" w:cs="Times New Roman"/>
                <w:szCs w:val="21"/>
              </w:rPr>
              <w:t>动态耦合的精细短临预警技术，实现了地质灾害多模态数据的高效空间融合和精细短临预警的分钟级生成；3.创建了基于数字孪生的地质灾害全链条数智化风险管控平台和基于单人北斗定位的动态</w:t>
            </w:r>
            <w:r>
              <w:rPr>
                <w:rFonts w:hint="eastAsia" w:ascii="Times New Roman" w:hAnsi="Times New Roman" w:cs="Times New Roman"/>
                <w:szCs w:val="21"/>
                <w:lang w:eastAsia="zh-CN"/>
              </w:rPr>
              <w:t>“</w:t>
            </w:r>
            <w:r>
              <w:rPr>
                <w:rFonts w:hint="default" w:ascii="Times New Roman" w:hAnsi="Times New Roman" w:cs="Times New Roman"/>
                <w:szCs w:val="21"/>
              </w:rPr>
              <w:t>地灾预警码</w:t>
            </w:r>
            <w:r>
              <w:rPr>
                <w:rFonts w:hint="eastAsia" w:ascii="Times New Roman" w:hAnsi="Times New Roman" w:cs="Times New Roman"/>
                <w:szCs w:val="21"/>
                <w:lang w:eastAsia="zh-CN"/>
              </w:rPr>
              <w:t>”</w:t>
            </w:r>
            <w:r>
              <w:rPr>
                <w:rFonts w:hint="default" w:ascii="Times New Roman" w:hAnsi="Times New Roman" w:cs="Times New Roman"/>
                <w:szCs w:val="21"/>
              </w:rPr>
              <w:t>，实现了预警指令到村、避险指引到人、应急响应到点的闭环管理。</w:t>
            </w:r>
          </w:p>
          <w:p w14:paraId="77986A3C">
            <w:pPr>
              <w:spacing w:line="360" w:lineRule="exact"/>
              <w:ind w:firstLine="420" w:firstLineChars="200"/>
              <w:rPr>
                <w:rFonts w:hint="default" w:ascii="Times New Roman" w:hAnsi="Times New Roman" w:cs="Times New Roman"/>
                <w:szCs w:val="21"/>
              </w:rPr>
            </w:pPr>
            <w:r>
              <w:rPr>
                <w:rFonts w:hint="default" w:ascii="Times New Roman" w:hAnsi="Times New Roman" w:cs="Times New Roman"/>
                <w:szCs w:val="21"/>
              </w:rPr>
              <w:t>成果授权国家发明专利21件、发表高水平论文36篇、授权其他知识产权33件，核心指标明显优于国内外同类技术。近三年在浙江省及相似地区业务化应用，取得直接经济效益超3亿元，有效应对台风暴雨10余次，预警成功避险地质灾害80多起，避免可能伤亡500余人，减少经济损失超13亿元。成果应用成功避险案例获自然资源部全国推广，已形成跨区域推广范式。</w:t>
            </w:r>
          </w:p>
          <w:p w14:paraId="675540D1">
            <w:pPr>
              <w:spacing w:line="360" w:lineRule="exact"/>
              <w:rPr>
                <w:rFonts w:hint="default" w:ascii="Times New Roman" w:hAnsi="Times New Roman" w:cs="Times New Roman"/>
                <w:szCs w:val="21"/>
              </w:rPr>
            </w:pPr>
          </w:p>
          <w:p w14:paraId="6E2E1B1E">
            <w:pPr>
              <w:spacing w:line="360" w:lineRule="exact"/>
              <w:rPr>
                <w:rFonts w:hint="default" w:ascii="Times New Roman" w:hAnsi="Times New Roman" w:cs="Times New Roman"/>
                <w:szCs w:val="21"/>
              </w:rPr>
            </w:pPr>
          </w:p>
          <w:p w14:paraId="404FE4A9">
            <w:pPr>
              <w:spacing w:line="360" w:lineRule="exact"/>
              <w:rPr>
                <w:rFonts w:hint="default" w:ascii="Times New Roman" w:hAnsi="Times New Roman" w:cs="Times New Roman"/>
                <w:szCs w:val="21"/>
              </w:rPr>
            </w:pPr>
          </w:p>
          <w:p w14:paraId="3029F275">
            <w:pPr>
              <w:spacing w:line="360" w:lineRule="exact"/>
              <w:rPr>
                <w:rFonts w:hint="default" w:ascii="Times New Roman" w:hAnsi="Times New Roman" w:cs="Times New Roman"/>
                <w:szCs w:val="21"/>
              </w:rPr>
            </w:pPr>
          </w:p>
          <w:p w14:paraId="0D35559D">
            <w:pPr>
              <w:spacing w:line="360" w:lineRule="exact"/>
              <w:rPr>
                <w:rFonts w:hint="default" w:ascii="Times New Roman" w:hAnsi="Times New Roman" w:cs="Times New Roman"/>
                <w:szCs w:val="21"/>
              </w:rPr>
            </w:pPr>
          </w:p>
          <w:p w14:paraId="136376E1">
            <w:pPr>
              <w:spacing w:line="360" w:lineRule="exact"/>
              <w:rPr>
                <w:rFonts w:hint="default" w:ascii="Times New Roman" w:hAnsi="Times New Roman" w:cs="Times New Roman"/>
                <w:szCs w:val="21"/>
              </w:rPr>
            </w:pPr>
          </w:p>
          <w:p w14:paraId="374D667A">
            <w:pPr>
              <w:spacing w:line="360" w:lineRule="exact"/>
              <w:rPr>
                <w:rFonts w:hint="default" w:ascii="Times New Roman" w:hAnsi="Times New Roman" w:cs="Times New Roman"/>
                <w:szCs w:val="21"/>
              </w:rPr>
            </w:pPr>
          </w:p>
          <w:p w14:paraId="2CD7C405">
            <w:pPr>
              <w:spacing w:line="360" w:lineRule="exact"/>
              <w:rPr>
                <w:rFonts w:hint="default" w:ascii="Times New Roman" w:hAnsi="Times New Roman" w:cs="Times New Roman"/>
                <w:szCs w:val="21"/>
              </w:rPr>
            </w:pPr>
          </w:p>
          <w:p w14:paraId="2BFF4F5B">
            <w:pPr>
              <w:spacing w:line="360" w:lineRule="exact"/>
              <w:rPr>
                <w:rFonts w:hint="default" w:ascii="Times New Roman" w:hAnsi="Times New Roman" w:cs="Times New Roman"/>
                <w:szCs w:val="21"/>
              </w:rPr>
            </w:pPr>
          </w:p>
          <w:p w14:paraId="5150FD53">
            <w:pPr>
              <w:spacing w:line="360" w:lineRule="exact"/>
              <w:rPr>
                <w:rFonts w:hint="default" w:ascii="Times New Roman" w:hAnsi="Times New Roman" w:cs="Times New Roman"/>
                <w:szCs w:val="21"/>
              </w:rPr>
            </w:pPr>
          </w:p>
          <w:p w14:paraId="2AAD3FD1">
            <w:pPr>
              <w:spacing w:line="360" w:lineRule="exact"/>
              <w:rPr>
                <w:rFonts w:hint="default" w:ascii="Times New Roman" w:hAnsi="Times New Roman" w:cs="Times New Roman"/>
                <w:szCs w:val="21"/>
              </w:rPr>
            </w:pPr>
          </w:p>
          <w:p w14:paraId="3149BB17">
            <w:pPr>
              <w:ind w:firstLine="420" w:firstLineChars="200"/>
              <w:rPr>
                <w:rFonts w:hint="default" w:ascii="Times New Roman" w:hAnsi="Times New Roman" w:cs="Times New Roman"/>
              </w:rPr>
            </w:pPr>
            <w:r>
              <w:rPr>
                <w:rFonts w:hint="default" w:ascii="Times New Roman" w:hAnsi="Times New Roman" w:cs="Times New Roman"/>
                <w:szCs w:val="21"/>
              </w:rPr>
              <w:t xml:space="preserve"> </w:t>
            </w:r>
          </w:p>
          <w:p w14:paraId="7FE46C2D">
            <w:pPr>
              <w:spacing w:line="360" w:lineRule="exact"/>
              <w:rPr>
                <w:rFonts w:hint="default" w:ascii="Times New Roman" w:hAnsi="Times New Roman" w:cs="Times New Roman"/>
                <w:szCs w:val="21"/>
              </w:rPr>
            </w:pPr>
          </w:p>
        </w:tc>
      </w:tr>
      <w:tr w14:paraId="610365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28" w:type="dxa"/>
            <w:bottom w:w="0" w:type="dxa"/>
            <w:right w:w="28" w:type="dxa"/>
          </w:tblCellMar>
        </w:tblPrEx>
        <w:trPr>
          <w:cantSplit/>
          <w:trHeight w:val="3729" w:hRule="exact"/>
          <w:jc w:val="center"/>
        </w:trPr>
        <w:tc>
          <w:tcPr>
            <w:tcW w:w="9247" w:type="dxa"/>
            <w:gridSpan w:val="4"/>
            <w:tcBorders>
              <w:top w:val="single" w:color="000000" w:sz="4" w:space="0"/>
            </w:tcBorders>
            <w:noWrap w:val="0"/>
            <w:vAlign w:val="top"/>
          </w:tcPr>
          <w:p w14:paraId="6B392D68">
            <w:pPr>
              <w:adjustRightInd w:val="0"/>
              <w:snapToGrid w:val="0"/>
              <w:spacing w:before="120" w:beforeLines="50" w:line="320" w:lineRule="exact"/>
              <w:ind w:firstLine="422" w:firstLineChars="200"/>
              <w:rPr>
                <w:rFonts w:hint="default" w:ascii="Times New Roman" w:hAnsi="Times New Roman" w:cs="Times New Roman"/>
                <w:bCs/>
                <w:spacing w:val="2"/>
              </w:rPr>
            </w:pPr>
            <w:r>
              <w:rPr>
                <w:rFonts w:hint="default" w:ascii="Times New Roman" w:hAnsi="Times New Roman" w:cs="Times New Roman"/>
                <w:b/>
                <w:bCs w:val="0"/>
                <w:szCs w:val="21"/>
              </w:rPr>
              <w:t>声明：</w:t>
            </w:r>
            <w:r>
              <w:rPr>
                <w:rFonts w:hint="default" w:ascii="Times New Roman" w:hAnsi="Times New Roman" w:cs="Times New Roman"/>
                <w:bCs/>
              </w:rPr>
              <w:t>本单位遵守《</w:t>
            </w:r>
            <w:r>
              <w:rPr>
                <w:rFonts w:hint="default" w:ascii="Times New Roman" w:hAnsi="Times New Roman" w:cs="Times New Roman"/>
                <w:bCs/>
                <w:lang w:eastAsia="zh-CN"/>
              </w:rPr>
              <w:t>自然资源</w:t>
            </w:r>
            <w:r>
              <w:rPr>
                <w:rFonts w:hint="default" w:ascii="Times New Roman" w:hAnsi="Times New Roman" w:cs="Times New Roman"/>
                <w:bCs/>
              </w:rPr>
              <w:t>科学技术奖</w:t>
            </w:r>
            <w:r>
              <w:rPr>
                <w:rFonts w:hint="default" w:ascii="Times New Roman" w:hAnsi="Times New Roman" w:cs="Times New Roman"/>
                <w:bCs/>
                <w:lang w:val="en-US" w:eastAsia="zh-CN"/>
              </w:rPr>
              <w:t>章程（暂行）</w:t>
            </w:r>
            <w:r>
              <w:rPr>
                <w:rFonts w:hint="default" w:ascii="Times New Roman" w:hAnsi="Times New Roman" w:cs="Times New Roman"/>
                <w:bCs/>
              </w:rPr>
              <w:t>》规定，承诺遵守评审工作纪律，</w:t>
            </w:r>
            <w:r>
              <w:rPr>
                <w:rFonts w:hint="default" w:ascii="Times New Roman" w:hAnsi="Times New Roman" w:cs="Times New Roman"/>
                <w:bCs/>
                <w:spacing w:val="2"/>
              </w:rPr>
              <w:t>对</w:t>
            </w:r>
            <w:r>
              <w:rPr>
                <w:rFonts w:hint="default" w:ascii="Times New Roman" w:hAnsi="Times New Roman" w:cs="Times New Roman"/>
                <w:bCs/>
                <w:spacing w:val="2"/>
                <w:lang w:val="en-US" w:eastAsia="zh-CN"/>
              </w:rPr>
              <w:t>申报</w:t>
            </w:r>
            <w:r>
              <w:rPr>
                <w:rFonts w:hint="default" w:ascii="Times New Roman" w:hAnsi="Times New Roman" w:cs="Times New Roman"/>
                <w:bCs/>
                <w:spacing w:val="2"/>
              </w:rPr>
              <w:t>材料的真实性和准确性负责</w:t>
            </w:r>
            <w:r>
              <w:rPr>
                <w:rFonts w:hint="default" w:ascii="Times New Roman" w:hAnsi="Times New Roman" w:cs="Times New Roman"/>
                <w:bCs/>
              </w:rPr>
              <w:t>，</w:t>
            </w:r>
            <w:r>
              <w:rPr>
                <w:rFonts w:hint="default" w:ascii="Times New Roman" w:hAnsi="Times New Roman" w:cs="Times New Roman"/>
                <w:bCs/>
                <w:spacing w:val="2"/>
              </w:rPr>
              <w:t>确认不存在任何违反国家保密法律法规或侵犯他人知识产权的情形，以及其他依规不得</w:t>
            </w:r>
            <w:r>
              <w:rPr>
                <w:rFonts w:hint="default" w:ascii="Times New Roman" w:hAnsi="Times New Roman" w:cs="Times New Roman"/>
                <w:bCs/>
                <w:spacing w:val="2"/>
                <w:lang w:val="en-US" w:eastAsia="zh-CN"/>
              </w:rPr>
              <w:t>推荐</w:t>
            </w:r>
            <w:r>
              <w:rPr>
                <w:rFonts w:hint="default" w:ascii="Times New Roman" w:hAnsi="Times New Roman" w:cs="Times New Roman"/>
                <w:bCs/>
                <w:spacing w:val="2"/>
              </w:rPr>
              <w:t>的情况。如产生争议，将承担相应的调查核实责任，并积极配合处理。如有材料虚假或违纪行为，愿承担相应责任</w:t>
            </w:r>
            <w:r>
              <w:rPr>
                <w:rFonts w:hint="default" w:ascii="Times New Roman" w:hAnsi="Times New Roman" w:cs="Times New Roman"/>
                <w:bCs/>
                <w:spacing w:val="2"/>
                <w:lang w:eastAsia="zh-CN"/>
              </w:rPr>
              <w:t>。</w:t>
            </w:r>
          </w:p>
          <w:p w14:paraId="054859E1">
            <w:pPr>
              <w:pStyle w:val="3"/>
              <w:spacing w:before="156" w:beforeLines="50" w:line="330" w:lineRule="exact"/>
              <w:ind w:firstLine="420"/>
              <w:jc w:val="left"/>
              <w:rPr>
                <w:rFonts w:hint="default" w:ascii="Times New Roman" w:hAnsi="Times New Roman" w:cs="Times New Roman"/>
                <w:bCs/>
                <w:sz w:val="21"/>
                <w:szCs w:val="21"/>
              </w:rPr>
            </w:pPr>
          </w:p>
          <w:p w14:paraId="7B556E79">
            <w:pPr>
              <w:pStyle w:val="3"/>
              <w:spacing w:before="156" w:beforeLines="50" w:line="330" w:lineRule="exact"/>
              <w:ind w:firstLine="420"/>
              <w:jc w:val="left"/>
              <w:rPr>
                <w:rFonts w:hint="default" w:ascii="Times New Roman" w:hAnsi="Times New Roman" w:cs="Times New Roman"/>
                <w:bCs/>
                <w:sz w:val="21"/>
                <w:szCs w:val="21"/>
              </w:rPr>
            </w:pPr>
          </w:p>
          <w:p w14:paraId="6A740EEF">
            <w:pPr>
              <w:pStyle w:val="3"/>
              <w:spacing w:line="390" w:lineRule="exact"/>
              <w:ind w:firstLine="1950" w:firstLineChars="929"/>
              <w:jc w:val="left"/>
              <w:rPr>
                <w:rFonts w:hint="default" w:ascii="Times New Roman" w:hAnsi="Times New Roman" w:cs="Times New Roman"/>
                <w:bCs/>
                <w:sz w:val="21"/>
                <w:szCs w:val="21"/>
              </w:rPr>
            </w:pPr>
            <w:r>
              <w:rPr>
                <w:rFonts w:hint="default" w:ascii="Times New Roman" w:hAnsi="Times New Roman" w:cs="Times New Roman"/>
                <w:bCs/>
                <w:sz w:val="21"/>
                <w:szCs w:val="21"/>
              </w:rPr>
              <w:t>法人代表签名：                   推荐单位（公章）</w:t>
            </w:r>
          </w:p>
          <w:p w14:paraId="1848ADC9">
            <w:pPr>
              <w:pStyle w:val="3"/>
              <w:spacing w:before="156" w:beforeLines="50" w:line="390" w:lineRule="exact"/>
              <w:ind w:firstLine="6720" w:firstLineChars="3200"/>
              <w:jc w:val="left"/>
              <w:rPr>
                <w:rFonts w:hint="default" w:ascii="Times New Roman" w:hAnsi="Times New Roman" w:cs="Times New Roman"/>
                <w:sz w:val="21"/>
                <w:szCs w:val="21"/>
              </w:rPr>
            </w:pPr>
            <w:r>
              <w:rPr>
                <w:rFonts w:hint="default" w:ascii="Times New Roman" w:hAnsi="Times New Roman" w:cs="Times New Roman"/>
                <w:sz w:val="21"/>
                <w:szCs w:val="21"/>
              </w:rPr>
              <w:t>年    月    日</w:t>
            </w:r>
          </w:p>
          <w:p w14:paraId="5EA933D1">
            <w:pPr>
              <w:pStyle w:val="3"/>
              <w:spacing w:before="156" w:beforeLines="50" w:line="390" w:lineRule="exact"/>
              <w:ind w:firstLine="6720" w:firstLineChars="3200"/>
              <w:jc w:val="left"/>
              <w:rPr>
                <w:rFonts w:hint="default" w:ascii="Times New Roman" w:hAnsi="Times New Roman" w:cs="Times New Roman"/>
                <w:sz w:val="21"/>
                <w:szCs w:val="21"/>
              </w:rPr>
            </w:pPr>
          </w:p>
        </w:tc>
      </w:tr>
    </w:tbl>
    <w:p w14:paraId="1D39DAD9">
      <w:pPr>
        <w:rPr>
          <w:rFonts w:hint="eastAsia" w:ascii="方正小标宋_GBK" w:hAnsi="黑体" w:eastAsia="方正小标宋_GBK" w:cs="黑体"/>
          <w:spacing w:val="5"/>
          <w:sz w:val="44"/>
          <w:szCs w:val="44"/>
          <w:lang w:eastAsia="zh-CN"/>
        </w:rPr>
      </w:pPr>
    </w:p>
    <w:p w14:paraId="534A6DA2">
      <w:pPr>
        <w:pStyle w:val="10"/>
        <w:spacing w:before="30"/>
        <w:ind w:left="725" w:right="745"/>
        <w:jc w:val="center"/>
        <w:rPr>
          <w:rFonts w:hint="eastAsia" w:ascii="黑体" w:eastAsia="黑体"/>
        </w:rPr>
      </w:pPr>
      <w:r>
        <w:rPr>
          <w:rFonts w:hint="eastAsia" w:ascii="黑体" w:eastAsia="黑体"/>
        </w:rPr>
        <w:t>三、成果简介</w:t>
      </w:r>
    </w:p>
    <w:p w14:paraId="70F764C8">
      <w:pPr>
        <w:pStyle w:val="2"/>
        <w:keepNext w:val="0"/>
        <w:keepLines w:val="0"/>
        <w:pageBreakBefore w:val="0"/>
        <w:widowControl w:val="0"/>
        <w:kinsoku/>
        <w:wordWrap/>
        <w:overflowPunct/>
        <w:topLinePunct w:val="0"/>
        <w:autoSpaceDE/>
        <w:autoSpaceDN/>
        <w:bidi w:val="0"/>
        <w:adjustRightInd/>
        <w:snapToGrid/>
        <w:spacing w:after="0" w:line="380" w:lineRule="exact"/>
        <w:ind w:left="4"/>
        <w:textAlignment w:val="auto"/>
        <w:rPr>
          <w:b/>
          <w:bCs/>
          <w:spacing w:val="-4"/>
          <w:sz w:val="24"/>
          <w:szCs w:val="32"/>
        </w:rPr>
      </w:pPr>
      <w:r>
        <w:rPr>
          <w:rFonts w:hint="eastAsia"/>
          <w:b/>
          <w:bCs/>
          <w:spacing w:val="-4"/>
          <w:sz w:val="24"/>
          <w:szCs w:val="32"/>
          <w:lang w:eastAsia="zh-CN"/>
        </w:rPr>
        <w:t>（</w:t>
      </w:r>
      <w:r>
        <w:rPr>
          <w:rFonts w:hint="eastAsia"/>
          <w:b/>
          <w:bCs/>
          <w:spacing w:val="-4"/>
          <w:sz w:val="24"/>
          <w:szCs w:val="32"/>
          <w:lang w:val="en-US" w:eastAsia="zh-CN"/>
        </w:rPr>
        <w:t>一</w:t>
      </w:r>
      <w:r>
        <w:rPr>
          <w:rFonts w:hint="eastAsia"/>
          <w:b/>
          <w:bCs/>
          <w:spacing w:val="-4"/>
          <w:sz w:val="24"/>
          <w:szCs w:val="32"/>
          <w:lang w:eastAsia="zh-CN"/>
        </w:rPr>
        <w:t>）</w:t>
      </w:r>
      <w:r>
        <w:rPr>
          <w:b/>
          <w:bCs/>
          <w:spacing w:val="-4"/>
          <w:sz w:val="24"/>
          <w:szCs w:val="32"/>
        </w:rPr>
        <w:t>立项背景</w:t>
      </w:r>
    </w:p>
    <w:p w14:paraId="39401010">
      <w:pPr>
        <w:pStyle w:val="3"/>
        <w:keepNext w:val="0"/>
        <w:keepLines w:val="0"/>
        <w:pageBreakBefore w:val="0"/>
        <w:widowControl w:val="0"/>
        <w:numPr>
          <w:ilvl w:val="255"/>
          <w:numId w:val="0"/>
        </w:numPr>
        <w:kinsoku/>
        <w:wordWrap/>
        <w:overflowPunct/>
        <w:topLinePunct w:val="0"/>
        <w:autoSpaceDE/>
        <w:autoSpaceDN/>
        <w:bidi w:val="0"/>
        <w:adjustRightInd/>
        <w:snapToGrid/>
        <w:spacing w:line="380" w:lineRule="exact"/>
        <w:ind w:left="0" w:firstLine="480" w:firstLineChars="200"/>
        <w:textAlignment w:val="auto"/>
        <w:rPr>
          <w:rFonts w:hint="eastAsia" w:ascii="宋体" w:hAnsi="宋体" w:eastAsia="宋体" w:cs="宋体"/>
          <w:szCs w:val="24"/>
        </w:rPr>
      </w:pPr>
      <w:r>
        <w:rPr>
          <w:rFonts w:hint="eastAsia" w:ascii="宋体" w:hAnsi="宋体" w:eastAsia="宋体" w:cs="宋体"/>
          <w:color w:val="auto"/>
          <w:szCs w:val="24"/>
        </w:rPr>
        <w:t>地质灾害</w:t>
      </w:r>
      <w:r>
        <w:rPr>
          <w:rFonts w:hint="eastAsia" w:ascii="宋体" w:hAnsi="宋体" w:cs="宋体"/>
          <w:color w:val="auto"/>
          <w:szCs w:val="24"/>
          <w:lang w:val="en-US" w:eastAsia="zh-CN"/>
        </w:rPr>
        <w:t>严重</w:t>
      </w:r>
      <w:r>
        <w:rPr>
          <w:rFonts w:hint="eastAsia" w:ascii="宋体" w:hAnsi="宋体" w:eastAsia="宋体" w:cs="宋体"/>
          <w:color w:val="auto"/>
          <w:szCs w:val="24"/>
        </w:rPr>
        <w:t>威胁人民生命财产安全</w:t>
      </w:r>
      <w:r>
        <w:rPr>
          <w:rFonts w:hint="eastAsia" w:ascii="宋体" w:hAnsi="宋体" w:cs="宋体"/>
          <w:color w:val="auto"/>
          <w:szCs w:val="24"/>
          <w:lang w:eastAsia="zh-CN"/>
        </w:rPr>
        <w:t>，</w:t>
      </w:r>
      <w:r>
        <w:rPr>
          <w:rFonts w:hint="eastAsia" w:ascii="宋体" w:hAnsi="宋体" w:eastAsia="宋体" w:cs="宋体"/>
          <w:color w:val="auto"/>
          <w:szCs w:val="24"/>
        </w:rPr>
        <w:t>东南丘陵区地处亚热带季风气候区，地形起伏强烈、地质构造复杂</w:t>
      </w:r>
      <w:r>
        <w:rPr>
          <w:rFonts w:hint="eastAsia" w:ascii="宋体" w:hAnsi="宋体" w:cs="宋体"/>
          <w:color w:val="auto"/>
        </w:rPr>
        <w:t>，以台风暴雨诱发的滑坡、泥石流、崩塌为主</w:t>
      </w:r>
      <w:r>
        <w:rPr>
          <w:rFonts w:hint="eastAsia" w:ascii="宋体" w:hAnsi="宋体" w:eastAsia="宋体" w:cs="宋体"/>
          <w:color w:val="auto"/>
          <w:szCs w:val="24"/>
        </w:rPr>
        <w:t>，具有“隐蔽性强、突发性高、链生群发”显著特征。近年来，</w:t>
      </w:r>
      <w:r>
        <w:rPr>
          <w:rFonts w:hint="eastAsia" w:ascii="宋体" w:hAnsi="宋体" w:eastAsia="宋体" w:cs="宋体"/>
          <w:color w:val="000000" w:themeColor="text1"/>
          <w:szCs w:val="24"/>
          <w14:textFill>
            <w14:solidFill>
              <w14:schemeClr w14:val="tx1"/>
            </w14:solidFill>
          </w14:textFill>
        </w:rPr>
        <w:t>受</w:t>
      </w:r>
      <w:r>
        <w:rPr>
          <w:rFonts w:ascii="Arial" w:hAnsi="Arial" w:eastAsia="宋体" w:cs="Arial"/>
          <w:i w:val="0"/>
          <w:iCs w:val="0"/>
          <w:caps w:val="0"/>
          <w:color w:val="000000" w:themeColor="text1"/>
          <w:spacing w:val="0"/>
          <w:sz w:val="24"/>
          <w:szCs w:val="24"/>
          <w:shd w:val="clear" w:fill="FFFFFF"/>
          <w14:textFill>
            <w14:solidFill>
              <w14:schemeClr w14:val="tx1"/>
            </w14:solidFill>
          </w14:textFill>
        </w:rPr>
        <w:t>全球气候变化</w:t>
      </w:r>
      <w:r>
        <w:rPr>
          <w:rFonts w:hint="eastAsia" w:ascii="Arial" w:hAnsi="Arial" w:eastAsia="宋体" w:cs="Arial"/>
          <w:i w:val="0"/>
          <w:iCs w:val="0"/>
          <w:caps w:val="0"/>
          <w:color w:val="000000" w:themeColor="text1"/>
          <w:spacing w:val="0"/>
          <w:sz w:val="24"/>
          <w:szCs w:val="24"/>
          <w:shd w:val="clear" w:fill="FFFFFF"/>
          <w:lang w:val="en-US" w:eastAsia="zh-CN"/>
          <w14:textFill>
            <w14:solidFill>
              <w14:schemeClr w14:val="tx1"/>
            </w14:solidFill>
          </w14:textFill>
        </w:rPr>
        <w:t>及</w:t>
      </w:r>
      <w:r>
        <w:rPr>
          <w:rFonts w:ascii="Arial" w:hAnsi="Arial" w:eastAsia="宋体" w:cs="Arial"/>
          <w:i w:val="0"/>
          <w:iCs w:val="0"/>
          <w:caps w:val="0"/>
          <w:color w:val="000000" w:themeColor="text1"/>
          <w:spacing w:val="0"/>
          <w:sz w:val="24"/>
          <w:szCs w:val="24"/>
          <w:shd w:val="clear" w:fill="FFFFFF"/>
          <w14:textFill>
            <w14:solidFill>
              <w14:schemeClr w14:val="tx1"/>
            </w14:solidFill>
          </w14:textFill>
        </w:rPr>
        <w:t>厄尔尼诺事件叠加影</w:t>
      </w:r>
      <w:r>
        <w:rPr>
          <w:rFonts w:hint="eastAsia" w:ascii="宋体" w:hAnsi="宋体" w:eastAsia="宋体" w:cs="宋体"/>
          <w:color w:val="000000" w:themeColor="text1"/>
          <w:szCs w:val="24"/>
          <w14:textFill>
            <w14:solidFill>
              <w14:schemeClr w14:val="tx1"/>
            </w14:solidFill>
          </w14:textFill>
        </w:rPr>
        <w:t>响</w:t>
      </w:r>
      <w:r>
        <w:rPr>
          <w:rFonts w:hint="eastAsia" w:ascii="宋体" w:hAnsi="宋体" w:eastAsia="宋体" w:cs="宋体"/>
          <w:color w:val="auto"/>
          <w:szCs w:val="24"/>
        </w:rPr>
        <w:t>，台风生成与登陆频率</w:t>
      </w:r>
      <w:r>
        <w:rPr>
          <w:rFonts w:hint="eastAsia" w:ascii="宋体" w:hAnsi="宋体" w:cs="宋体"/>
          <w:color w:val="auto"/>
          <w:szCs w:val="24"/>
          <w:lang w:val="en-US" w:eastAsia="zh-CN"/>
        </w:rPr>
        <w:t>明显</w:t>
      </w:r>
      <w:r>
        <w:rPr>
          <w:rFonts w:hint="eastAsia" w:ascii="宋体" w:hAnsi="宋体" w:eastAsia="宋体" w:cs="宋体"/>
          <w:color w:val="auto"/>
          <w:szCs w:val="24"/>
        </w:rPr>
        <w:t>上升，极端降水趋多趋强</w:t>
      </w:r>
      <w:r>
        <w:rPr>
          <w:rFonts w:hint="eastAsia" w:ascii="宋体" w:hAnsi="宋体" w:cs="宋体"/>
          <w:color w:val="auto"/>
        </w:rPr>
        <w:t>，灾害防控形势日趋严峻</w:t>
      </w:r>
      <w:r>
        <w:rPr>
          <w:rFonts w:hint="eastAsia" w:ascii="宋体" w:hAnsi="宋体" w:eastAsia="宋体" w:cs="宋体"/>
          <w:color w:val="auto"/>
          <w:szCs w:val="24"/>
        </w:rPr>
        <w:t>。现行以气象警报、</w:t>
      </w:r>
      <w:r>
        <w:rPr>
          <w:rFonts w:hint="eastAsia" w:ascii="宋体" w:hAnsi="宋体" w:cs="宋体"/>
          <w:color w:val="auto"/>
          <w:szCs w:val="24"/>
          <w:lang w:val="en-US" w:eastAsia="zh-CN"/>
        </w:rPr>
        <w:t>传感</w:t>
      </w:r>
      <w:r>
        <w:rPr>
          <w:rFonts w:hint="eastAsia" w:ascii="宋体" w:hAnsi="宋体" w:eastAsia="宋体" w:cs="宋体"/>
          <w:color w:val="auto"/>
          <w:szCs w:val="24"/>
        </w:rPr>
        <w:t>设备监测</w:t>
      </w:r>
      <w:r>
        <w:rPr>
          <w:rFonts w:hint="eastAsia" w:ascii="宋体" w:hAnsi="宋体" w:cs="宋体"/>
          <w:color w:val="auto"/>
          <w:szCs w:val="24"/>
          <w:lang w:val="en-US" w:eastAsia="zh-CN"/>
        </w:rPr>
        <w:t>和基层</w:t>
      </w:r>
      <w:r>
        <w:rPr>
          <w:rFonts w:hint="eastAsia" w:ascii="宋体" w:hAnsi="宋体" w:eastAsia="宋体" w:cs="宋体"/>
          <w:color w:val="auto"/>
          <w:szCs w:val="24"/>
        </w:rPr>
        <w:t>群测群防为主的</w:t>
      </w:r>
      <w:r>
        <w:rPr>
          <w:rFonts w:hint="eastAsia" w:ascii="宋体" w:hAnsi="宋体" w:cs="宋体"/>
          <w:color w:val="auto"/>
          <w:szCs w:val="24"/>
          <w:lang w:val="en-US" w:eastAsia="zh-CN"/>
        </w:rPr>
        <w:t>传统防控</w:t>
      </w:r>
      <w:r>
        <w:rPr>
          <w:rFonts w:hint="eastAsia" w:ascii="宋体" w:hAnsi="宋体" w:eastAsia="宋体" w:cs="宋体"/>
          <w:color w:val="auto"/>
          <w:szCs w:val="24"/>
        </w:rPr>
        <w:t>模式，</w:t>
      </w:r>
      <w:r>
        <w:rPr>
          <w:rFonts w:hint="eastAsia" w:ascii="宋体" w:hAnsi="宋体" w:cs="宋体"/>
          <w:color w:val="auto"/>
          <w:szCs w:val="24"/>
          <w:lang w:val="en-US" w:eastAsia="zh-CN"/>
        </w:rPr>
        <w:t>暴露出</w:t>
      </w:r>
      <w:r>
        <w:rPr>
          <w:rFonts w:hint="eastAsia" w:ascii="宋体" w:hAnsi="宋体" w:eastAsia="宋体" w:cs="宋体"/>
          <w:color w:val="auto"/>
          <w:szCs w:val="24"/>
        </w:rPr>
        <w:t>“</w:t>
      </w:r>
      <w:r>
        <w:rPr>
          <w:rFonts w:hint="eastAsia" w:ascii="宋体" w:hAnsi="宋体" w:eastAsia="宋体" w:cs="宋体"/>
          <w:b/>
          <w:bCs/>
          <w:color w:val="auto"/>
          <w:szCs w:val="24"/>
        </w:rPr>
        <w:t>风险评估不准、预警精细不足、管控</w:t>
      </w:r>
      <w:r>
        <w:rPr>
          <w:rFonts w:hint="eastAsia" w:ascii="宋体" w:hAnsi="宋体" w:cs="宋体"/>
          <w:b/>
          <w:bCs/>
          <w:color w:val="auto"/>
          <w:szCs w:val="24"/>
          <w:lang w:eastAsia="zh-CN"/>
        </w:rPr>
        <w:t>协同不足</w:t>
      </w:r>
      <w:r>
        <w:rPr>
          <w:rFonts w:hint="eastAsia" w:ascii="宋体" w:hAnsi="宋体" w:eastAsia="宋体" w:cs="宋体"/>
          <w:color w:val="auto"/>
          <w:szCs w:val="24"/>
        </w:rPr>
        <w:t>”</w:t>
      </w:r>
      <w:r>
        <w:rPr>
          <w:rFonts w:hint="eastAsia" w:ascii="宋体" w:hAnsi="宋体" w:cs="宋体"/>
          <w:color w:val="auto"/>
          <w:szCs w:val="24"/>
          <w:lang w:val="en-US" w:eastAsia="zh-CN"/>
        </w:rPr>
        <w:t>系统性</w:t>
      </w:r>
      <w:r>
        <w:rPr>
          <w:rFonts w:hint="default" w:ascii="宋体" w:hAnsi="宋体" w:cs="宋体"/>
          <w:color w:val="auto"/>
        </w:rPr>
        <w:t>瓶颈</w:t>
      </w:r>
      <w:r>
        <w:rPr>
          <w:rFonts w:hint="eastAsia" w:ascii="宋体" w:hAnsi="宋体" w:eastAsia="宋体" w:cs="宋体"/>
          <w:szCs w:val="24"/>
        </w:rPr>
        <w:t>。</w:t>
      </w:r>
    </w:p>
    <w:p w14:paraId="603F2671">
      <w:pPr>
        <w:pStyle w:val="2"/>
        <w:keepNext w:val="0"/>
        <w:keepLines w:val="0"/>
        <w:pageBreakBefore w:val="0"/>
        <w:widowControl w:val="0"/>
        <w:numPr>
          <w:ilvl w:val="0"/>
          <w:numId w:val="0"/>
        </w:numPr>
        <w:kinsoku/>
        <w:wordWrap/>
        <w:overflowPunct/>
        <w:topLinePunct w:val="0"/>
        <w:autoSpaceDE/>
        <w:autoSpaceDN/>
        <w:bidi w:val="0"/>
        <w:adjustRightInd/>
        <w:snapToGrid/>
        <w:spacing w:after="0" w:line="380" w:lineRule="exact"/>
        <w:ind w:left="4" w:leftChars="0"/>
        <w:textAlignment w:val="auto"/>
        <w:rPr>
          <w:b/>
          <w:bCs/>
          <w:spacing w:val="-4"/>
          <w:sz w:val="24"/>
          <w:szCs w:val="24"/>
        </w:rPr>
      </w:pPr>
      <w:r>
        <w:rPr>
          <w:rFonts w:hint="eastAsia" w:cs="宋体"/>
          <w:b/>
          <w:bCs/>
          <w:snapToGrid w:val="0"/>
          <w:color w:val="000000"/>
          <w:spacing w:val="-4"/>
          <w:kern w:val="0"/>
          <w:sz w:val="24"/>
          <w:szCs w:val="24"/>
          <w:lang w:val="en-US" w:eastAsia="zh-CN" w:bidi="ar-SA"/>
        </w:rPr>
        <w:t>（</w:t>
      </w:r>
      <w:r>
        <w:rPr>
          <w:rFonts w:hint="eastAsia" w:ascii="宋体" w:hAnsi="宋体" w:eastAsia="宋体" w:cs="宋体"/>
          <w:b/>
          <w:bCs/>
          <w:snapToGrid w:val="0"/>
          <w:color w:val="000000"/>
          <w:spacing w:val="-4"/>
          <w:kern w:val="0"/>
          <w:sz w:val="24"/>
          <w:szCs w:val="24"/>
          <w:lang w:val="en-US" w:eastAsia="en-US" w:bidi="ar-SA"/>
        </w:rPr>
        <w:t>二</w:t>
      </w:r>
      <w:r>
        <w:rPr>
          <w:rFonts w:hint="eastAsia" w:cs="宋体"/>
          <w:b/>
          <w:bCs/>
          <w:snapToGrid w:val="0"/>
          <w:color w:val="000000"/>
          <w:spacing w:val="-4"/>
          <w:kern w:val="0"/>
          <w:sz w:val="24"/>
          <w:szCs w:val="24"/>
          <w:lang w:val="en-US" w:eastAsia="zh-CN" w:bidi="ar-SA"/>
        </w:rPr>
        <w:t>）</w:t>
      </w:r>
      <w:r>
        <w:rPr>
          <w:b/>
          <w:bCs/>
          <w:spacing w:val="-4"/>
          <w:sz w:val="24"/>
          <w:szCs w:val="24"/>
        </w:rPr>
        <w:t>研究目标</w:t>
      </w:r>
    </w:p>
    <w:p w14:paraId="7522BABF">
      <w:pPr>
        <w:pStyle w:val="3"/>
        <w:keepNext w:val="0"/>
        <w:keepLines w:val="0"/>
        <w:pageBreakBefore w:val="0"/>
        <w:widowControl w:val="0"/>
        <w:numPr>
          <w:ilvl w:val="255"/>
          <w:numId w:val="0"/>
        </w:numPr>
        <w:kinsoku/>
        <w:wordWrap/>
        <w:overflowPunct/>
        <w:topLinePunct w:val="0"/>
        <w:autoSpaceDE/>
        <w:autoSpaceDN/>
        <w:bidi w:val="0"/>
        <w:adjustRightInd/>
        <w:snapToGrid/>
        <w:spacing w:line="380" w:lineRule="exact"/>
        <w:ind w:left="0" w:firstLine="480" w:firstLineChars="200"/>
        <w:textAlignment w:val="auto"/>
        <w:rPr>
          <w:rFonts w:hint="eastAsia" w:ascii="宋体" w:hAnsi="宋体" w:eastAsia="宋体" w:cs="宋体"/>
          <w:b/>
          <w:bCs/>
          <w:spacing w:val="-4"/>
        </w:rPr>
      </w:pPr>
      <w:r>
        <w:rPr>
          <w:rFonts w:hint="eastAsia" w:ascii="宋体" w:hAnsi="宋体" w:eastAsia="宋体" w:cs="宋体"/>
          <w:szCs w:val="24"/>
          <w:lang w:val="en-US" w:eastAsia="zh-CN"/>
        </w:rPr>
        <w:t>本项目拟针对上述系统性瓶颈，综合运用测绘遥感、地理信息、人工智能与灾害学等多学科理论与方法，研究构建集“精准化风险评估－精细化短临预警－数智化协同管控”于一体的技术体系，有效提升地质灾害预警精度、准确性、响应效率与防灾应急能力，避免灾害带来的人员财产损失，大幅降低基层群测群防的工作负荷和风险普查、传感器布设的成本。项目成果将形成可复制、可推广的东南丘陵区地质灾害预警范式，直接服务国家防灾减灾能力现代化建设重大战略需求。</w:t>
      </w:r>
    </w:p>
    <w:p w14:paraId="34082E73">
      <w:pPr>
        <w:pStyle w:val="2"/>
        <w:keepNext w:val="0"/>
        <w:keepLines w:val="0"/>
        <w:pageBreakBefore w:val="0"/>
        <w:widowControl w:val="0"/>
        <w:numPr>
          <w:ilvl w:val="0"/>
          <w:numId w:val="0"/>
        </w:numPr>
        <w:kinsoku/>
        <w:wordWrap/>
        <w:overflowPunct/>
        <w:topLinePunct w:val="0"/>
        <w:autoSpaceDE/>
        <w:autoSpaceDN/>
        <w:bidi w:val="0"/>
        <w:adjustRightInd/>
        <w:snapToGrid/>
        <w:spacing w:after="0" w:line="380" w:lineRule="exact"/>
        <w:textAlignment w:val="auto"/>
        <w:rPr>
          <w:b/>
          <w:bCs/>
          <w:spacing w:val="-4"/>
          <w:sz w:val="24"/>
          <w:szCs w:val="24"/>
        </w:rPr>
      </w:pPr>
      <w:r>
        <w:rPr>
          <w:rFonts w:hint="eastAsia" w:cs="宋体"/>
          <w:b/>
          <w:bCs/>
          <w:snapToGrid w:val="0"/>
          <w:color w:val="000000"/>
          <w:spacing w:val="-4"/>
          <w:kern w:val="0"/>
          <w:sz w:val="24"/>
          <w:szCs w:val="24"/>
          <w:lang w:val="en-US" w:eastAsia="zh-CN" w:bidi="ar-SA"/>
        </w:rPr>
        <w:t>（</w:t>
      </w:r>
      <w:r>
        <w:rPr>
          <w:rFonts w:hint="eastAsia" w:ascii="宋体" w:hAnsi="宋体" w:eastAsia="宋体" w:cs="宋体"/>
          <w:b/>
          <w:bCs/>
          <w:snapToGrid w:val="0"/>
          <w:color w:val="000000"/>
          <w:spacing w:val="-4"/>
          <w:kern w:val="0"/>
          <w:sz w:val="24"/>
          <w:szCs w:val="24"/>
          <w:lang w:val="en-US" w:eastAsia="en-US" w:bidi="ar-SA"/>
        </w:rPr>
        <w:t>三</w:t>
      </w:r>
      <w:r>
        <w:rPr>
          <w:rFonts w:hint="eastAsia" w:cs="宋体"/>
          <w:b/>
          <w:bCs/>
          <w:snapToGrid w:val="0"/>
          <w:color w:val="000000"/>
          <w:spacing w:val="-4"/>
          <w:kern w:val="0"/>
          <w:sz w:val="24"/>
          <w:szCs w:val="24"/>
          <w:lang w:val="en-US" w:eastAsia="zh-CN" w:bidi="ar-SA"/>
        </w:rPr>
        <w:t>）</w:t>
      </w:r>
      <w:r>
        <w:rPr>
          <w:b/>
          <w:bCs/>
          <w:spacing w:val="-4"/>
          <w:sz w:val="24"/>
          <w:szCs w:val="24"/>
        </w:rPr>
        <w:t>创新成果</w:t>
      </w:r>
    </w:p>
    <w:p w14:paraId="61D2682B">
      <w:pPr>
        <w:pStyle w:val="3"/>
        <w:keepNext w:val="0"/>
        <w:keepLines w:val="0"/>
        <w:pageBreakBefore w:val="0"/>
        <w:widowControl w:val="0"/>
        <w:numPr>
          <w:ilvl w:val="255"/>
          <w:numId w:val="0"/>
        </w:numPr>
        <w:kinsoku/>
        <w:wordWrap/>
        <w:overflowPunct/>
        <w:topLinePunct w:val="0"/>
        <w:autoSpaceDE/>
        <w:autoSpaceDN/>
        <w:bidi w:val="0"/>
        <w:adjustRightInd/>
        <w:snapToGrid/>
        <w:spacing w:line="380" w:lineRule="exact"/>
        <w:ind w:left="0" w:firstLine="482" w:firstLineChars="200"/>
        <w:textAlignment w:val="auto"/>
        <w:outlineLvl w:val="2"/>
        <w:rPr>
          <w:rFonts w:hint="eastAsia" w:ascii="宋体" w:hAnsi="宋体" w:eastAsia="宋体" w:cs="宋体"/>
          <w:strike w:val="0"/>
          <w:szCs w:val="24"/>
          <w:lang w:eastAsia="zh-CN"/>
        </w:rPr>
      </w:pPr>
      <w:r>
        <w:rPr>
          <w:rFonts w:hint="eastAsia" w:ascii="宋体" w:hAnsi="宋体" w:eastAsia="宋体" w:cs="宋体"/>
          <w:b/>
          <w:bCs/>
          <w:szCs w:val="24"/>
        </w:rPr>
        <w:t>创新点1：</w:t>
      </w:r>
      <w:r>
        <w:rPr>
          <w:rFonts w:hint="eastAsia" w:ascii="宋体" w:hAnsi="宋体" w:eastAsia="宋体" w:cs="宋体"/>
          <w:b/>
          <w:bCs/>
          <w:color w:val="000000" w:themeColor="text1"/>
          <w:sz w:val="24"/>
          <w:szCs w:val="24"/>
          <w:lang w:val="en-US" w:eastAsia="zh-CN"/>
          <w14:textFill>
            <w14:solidFill>
              <w14:schemeClr w14:val="tx1"/>
            </w14:solidFill>
          </w14:textFill>
        </w:rPr>
        <w:t>提出</w:t>
      </w:r>
      <w:r>
        <w:rPr>
          <w:rFonts w:hint="eastAsia" w:ascii="宋体" w:hAnsi="宋体" w:eastAsia="宋体" w:cs="宋体"/>
          <w:b/>
          <w:bCs/>
          <w:color w:val="000000" w:themeColor="text1"/>
          <w:sz w:val="24"/>
          <w:szCs w:val="24"/>
          <w14:textFill>
            <w14:solidFill>
              <w14:schemeClr w14:val="tx1"/>
            </w14:solidFill>
          </w14:textFill>
        </w:rPr>
        <w:t>了复杂异质条件下的地质灾害风险精准评估</w:t>
      </w:r>
      <w:r>
        <w:rPr>
          <w:rFonts w:hint="eastAsia" w:ascii="宋体" w:hAnsi="宋体" w:eastAsia="宋体" w:cs="宋体"/>
          <w:b/>
          <w:bCs/>
          <w:color w:val="000000" w:themeColor="text1"/>
          <w:sz w:val="24"/>
          <w:szCs w:val="24"/>
          <w:lang w:val="en-US" w:eastAsia="zh-CN"/>
          <w14:textFill>
            <w14:solidFill>
              <w14:schemeClr w14:val="tx1"/>
            </w14:solidFill>
          </w14:textFill>
        </w:rPr>
        <w:t>方法。</w:t>
      </w:r>
      <w:r>
        <w:rPr>
          <w:rFonts w:hint="eastAsia" w:ascii="宋体" w:hAnsi="宋体" w:cs="宋体"/>
          <w:color w:val="000000" w:themeColor="text1"/>
          <w14:textFill>
            <w14:solidFill>
              <w14:schemeClr w14:val="tx1"/>
            </w14:solidFill>
          </w14:textFill>
        </w:rPr>
        <w:t>针对复杂环境下</w:t>
      </w:r>
      <w:r>
        <w:rPr>
          <w:rFonts w:hint="eastAsia" w:ascii="宋体" w:hAnsi="宋体" w:cs="宋体"/>
          <w:color w:val="000000" w:themeColor="text1"/>
          <w:lang w:val="en-US" w:eastAsia="zh-CN"/>
          <w14:textFill>
            <w14:solidFill>
              <w14:schemeClr w14:val="tx1"/>
            </w14:solidFill>
          </w14:textFill>
        </w:rPr>
        <w:t>地质</w:t>
      </w:r>
      <w:r>
        <w:rPr>
          <w:rFonts w:hint="eastAsia" w:ascii="宋体" w:hAnsi="宋体" w:cs="宋体"/>
          <w:color w:val="000000" w:themeColor="text1"/>
          <w14:textFill>
            <w14:solidFill>
              <w14:schemeClr w14:val="tx1"/>
            </w14:solidFill>
          </w14:textFill>
        </w:rPr>
        <w:t>灾害风险空间范围及概率量化难、承灾体遥感跨域识别精度低等难题，创新构建了基于四维特征映射的易发性空间预测模型，提出了融合跨域特征学习的承灾体遥感智能识别技术，建立了考虑地形邻域效应的风险精准评估方法</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14:textFill>
            <w14:solidFill>
              <w14:schemeClr w14:val="tx1"/>
            </w14:solidFill>
          </w14:textFill>
        </w:rPr>
        <w:t>实现了基于遥感影像的承灾体</w:t>
      </w:r>
      <w:r>
        <w:rPr>
          <w:rFonts w:hint="eastAsia" w:ascii="宋体" w:hAnsi="宋体" w:cs="宋体"/>
          <w:color w:val="000000" w:themeColor="text1"/>
          <w:lang w:val="en-US" w:eastAsia="zh-CN"/>
          <w14:textFill>
            <w14:solidFill>
              <w14:schemeClr w14:val="tx1"/>
            </w14:solidFill>
          </w14:textFill>
        </w:rPr>
        <w:t>跨域</w:t>
      </w:r>
      <w:r>
        <w:rPr>
          <w:rFonts w:hint="eastAsia" w:ascii="宋体" w:hAnsi="宋体" w:cs="宋体"/>
          <w:color w:val="000000" w:themeColor="text1"/>
          <w14:textFill>
            <w14:solidFill>
              <w14:schemeClr w14:val="tx1"/>
            </w14:solidFill>
          </w14:textFill>
        </w:rPr>
        <w:t>高精度识别及地质灾害风险的高置信度分区分级量化</w:t>
      </w:r>
      <w:r>
        <w:rPr>
          <w:rFonts w:hint="eastAsia" w:ascii="宋体" w:hAnsi="宋体" w:eastAsia="宋体" w:cs="宋体"/>
          <w:color w:val="000000" w:themeColor="text1"/>
          <w:sz w:val="24"/>
          <w:szCs w:val="24"/>
          <w:lang w:val="en-US" w:eastAsia="zh-CN"/>
          <w14:textFill>
            <w14:solidFill>
              <w14:schemeClr w14:val="tx1"/>
            </w14:solidFill>
          </w14:textFill>
        </w:rPr>
        <w:t>。</w:t>
      </w:r>
    </w:p>
    <w:p w14:paraId="284BB3D9">
      <w:pPr>
        <w:pStyle w:val="3"/>
        <w:keepNext w:val="0"/>
        <w:keepLines w:val="0"/>
        <w:pageBreakBefore w:val="0"/>
        <w:widowControl w:val="0"/>
        <w:numPr>
          <w:ilvl w:val="255"/>
          <w:numId w:val="0"/>
        </w:numPr>
        <w:kinsoku/>
        <w:wordWrap/>
        <w:overflowPunct/>
        <w:topLinePunct w:val="0"/>
        <w:autoSpaceDE/>
        <w:autoSpaceDN/>
        <w:bidi w:val="0"/>
        <w:adjustRightInd/>
        <w:snapToGrid/>
        <w:spacing w:line="380" w:lineRule="exact"/>
        <w:ind w:left="0" w:firstLine="482" w:firstLineChars="200"/>
        <w:textAlignment w:val="auto"/>
        <w:outlineLvl w:val="2"/>
        <w:rPr>
          <w:rFonts w:hint="eastAsia" w:ascii="宋体" w:hAnsi="宋体" w:eastAsia="宋体" w:cs="宋体"/>
          <w:szCs w:val="24"/>
          <w:lang w:eastAsia="zh-CN"/>
        </w:rPr>
      </w:pPr>
      <w:r>
        <w:rPr>
          <w:rFonts w:hint="eastAsia" w:ascii="宋体" w:hAnsi="宋体" w:eastAsia="宋体" w:cs="宋体"/>
          <w:b/>
          <w:bCs/>
          <w:szCs w:val="24"/>
        </w:rPr>
        <w:t>创新点2：</w:t>
      </w:r>
      <w:r>
        <w:rPr>
          <w:rFonts w:hint="eastAsia" w:ascii="宋体" w:hAnsi="宋体" w:eastAsia="宋体" w:cs="宋体"/>
          <w:b/>
          <w:bCs/>
          <w:color w:val="000000" w:themeColor="text1"/>
          <w:sz w:val="24"/>
          <w:szCs w:val="24"/>
          <w:lang w:val="en-US" w:eastAsia="zh-CN"/>
          <w14:textFill>
            <w14:solidFill>
              <w14:schemeClr w14:val="tx1"/>
            </w14:solidFill>
          </w14:textFill>
        </w:rPr>
        <w:t>研发了</w:t>
      </w:r>
      <w:r>
        <w:rPr>
          <w:rFonts w:hint="eastAsia" w:ascii="宋体" w:hAnsi="宋体" w:cs="宋体"/>
          <w:b/>
          <w:bCs/>
          <w:color w:val="000000" w:themeColor="text1"/>
          <w:sz w:val="24"/>
          <w:szCs w:val="24"/>
          <w:lang w:val="en-US" w:eastAsia="zh-CN"/>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孕灾环境</w:t>
      </w:r>
      <w:r>
        <w:rPr>
          <w:rFonts w:hint="eastAsia" w:ascii="宋体" w:hAnsi="宋体" w:eastAsia="宋体" w:cs="宋体"/>
          <w:b/>
          <w:bCs/>
          <w:color w:val="000000" w:themeColor="text1"/>
          <w:sz w:val="24"/>
          <w:szCs w:val="24"/>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台风</w:t>
      </w:r>
      <w:r>
        <w:rPr>
          <w:rFonts w:hint="eastAsia" w:ascii="宋体" w:hAnsi="宋体" w:cs="宋体"/>
          <w:b/>
          <w:bCs/>
          <w:color w:val="000000" w:themeColor="text1"/>
          <w:sz w:val="24"/>
          <w:szCs w:val="24"/>
          <w:lang w:val="en-US" w:eastAsia="zh-CN"/>
          <w14:textFill>
            <w14:solidFill>
              <w14:schemeClr w14:val="tx1"/>
            </w14:solidFill>
          </w14:textFill>
        </w:rPr>
        <w:t>暴雨”</w:t>
      </w:r>
      <w:r>
        <w:rPr>
          <w:rFonts w:hint="eastAsia" w:ascii="宋体" w:hAnsi="宋体" w:eastAsia="宋体" w:cs="宋体"/>
          <w:b/>
          <w:bCs/>
          <w:color w:val="000000" w:themeColor="text1"/>
          <w:sz w:val="24"/>
          <w:szCs w:val="24"/>
          <w:lang w:val="en-US" w:eastAsia="zh-CN"/>
          <w14:textFill>
            <w14:solidFill>
              <w14:schemeClr w14:val="tx1"/>
            </w14:solidFill>
          </w14:textFill>
        </w:rPr>
        <w:t>动态耦合的精细短临预警技术</w:t>
      </w:r>
      <w:r>
        <w:rPr>
          <w:rFonts w:hint="eastAsia" w:ascii="宋体" w:hAnsi="宋体" w:eastAsia="宋体" w:cs="宋体"/>
          <w:b/>
          <w:bCs/>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针对当前地质灾害数据异构时空难融合、预警空间颗粒度粗且时效性差的问题，提出了</w:t>
      </w:r>
      <w:r>
        <w:rPr>
          <w:rFonts w:hint="eastAsia" w:ascii="宋体" w:hAnsi="宋体" w:cs="宋体"/>
          <w:color w:val="000000" w:themeColor="text1"/>
          <w14:textFill>
            <w14:solidFill>
              <w14:schemeClr w14:val="tx1"/>
            </w14:solidFill>
          </w14:textFill>
        </w:rPr>
        <w:t>基于多模态时空数据融合的孕灾环境与台风暴雨动态耦合方法</w:t>
      </w:r>
      <w:r>
        <w:rPr>
          <w:rFonts w:hint="eastAsia" w:ascii="宋体" w:hAnsi="宋体" w:eastAsia="宋体" w:cs="宋体"/>
          <w:color w:val="000000" w:themeColor="text1"/>
          <w:sz w:val="24"/>
          <w:szCs w:val="24"/>
          <w:lang w:val="en-US" w:eastAsia="zh-CN"/>
          <w14:textFill>
            <w14:solidFill>
              <w14:schemeClr w14:val="tx1"/>
            </w14:solidFill>
          </w14:textFill>
        </w:rPr>
        <w:t>，研发了小尺度、分钟级精细预报预警技术，构建了覆盖3H/6H/12H/24H中短期预报与1H/3H/6H短临预警的多</w:t>
      </w:r>
      <w:r>
        <w:rPr>
          <w:rFonts w:hint="eastAsia" w:ascii="宋体" w:hAnsi="宋体" w:cs="宋体"/>
          <w:color w:val="000000" w:themeColor="text1"/>
          <w:sz w:val="24"/>
          <w:szCs w:val="24"/>
          <w:lang w:val="en-US" w:eastAsia="zh-CN"/>
          <w14:textFill>
            <w14:solidFill>
              <w14:schemeClr w14:val="tx1"/>
            </w14:solidFill>
          </w14:textFill>
        </w:rPr>
        <w:t>时段预报</w:t>
      </w:r>
      <w:r>
        <w:rPr>
          <w:rFonts w:hint="eastAsia" w:ascii="宋体" w:hAnsi="宋体" w:eastAsia="宋体" w:cs="宋体"/>
          <w:color w:val="000000" w:themeColor="text1"/>
          <w:sz w:val="24"/>
          <w:szCs w:val="24"/>
          <w:lang w:val="en-US" w:eastAsia="zh-CN"/>
          <w14:textFill>
            <w14:solidFill>
              <w14:schemeClr w14:val="tx1"/>
            </w14:solidFill>
          </w14:textFill>
        </w:rPr>
        <w:t>预警体系。</w:t>
      </w:r>
      <w:r>
        <w:rPr>
          <w:rFonts w:hint="eastAsia" w:ascii="宋体" w:hAnsi="宋体" w:cs="宋体"/>
          <w:color w:val="000000" w:themeColor="text1"/>
          <w:sz w:val="24"/>
          <w:szCs w:val="24"/>
          <w:lang w:val="en-US" w:eastAsia="zh-CN"/>
          <w14:textFill>
            <w14:solidFill>
              <w14:schemeClr w14:val="tx1"/>
            </w14:solidFill>
          </w14:textFill>
        </w:rPr>
        <w:t>实现了</w:t>
      </w:r>
      <w:r>
        <w:rPr>
          <w:rFonts w:hint="eastAsia" w:ascii="宋体" w:hAnsi="宋体" w:eastAsia="宋体" w:cs="宋体"/>
          <w:color w:val="000000" w:themeColor="text1"/>
          <w:sz w:val="24"/>
          <w:szCs w:val="24"/>
          <w:lang w:val="en-US" w:eastAsia="zh-CN"/>
          <w14:textFill>
            <w14:solidFill>
              <w14:schemeClr w14:val="tx1"/>
            </w14:solidFill>
          </w14:textFill>
        </w:rPr>
        <w:t>预警空间分辨率</w:t>
      </w:r>
      <w:r>
        <w:rPr>
          <w:rFonts w:hint="default" w:ascii="Arial" w:hAnsi="Arial" w:eastAsia="宋体" w:cs="Arial"/>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0.1km²，较传统</w:t>
      </w:r>
      <w:r>
        <w:rPr>
          <w:rFonts w:hint="eastAsia" w:ascii="宋体" w:hAnsi="宋体" w:cs="宋体"/>
          <w:color w:val="000000" w:themeColor="text1"/>
          <w:sz w:val="24"/>
          <w:szCs w:val="24"/>
          <w:lang w:val="en-US" w:eastAsia="zh-CN"/>
          <w14:textFill>
            <w14:solidFill>
              <w14:schemeClr w14:val="tx1"/>
            </w14:solidFill>
          </w14:textFill>
        </w:rPr>
        <w:t>最小预警</w:t>
      </w:r>
      <w:r>
        <w:rPr>
          <w:rFonts w:hint="eastAsia" w:ascii="宋体" w:hAnsi="宋体" w:eastAsia="宋体" w:cs="宋体"/>
          <w:color w:val="000000" w:themeColor="text1"/>
          <w:sz w:val="24"/>
          <w:szCs w:val="24"/>
          <w:lang w:val="en-US" w:eastAsia="zh-CN"/>
          <w14:textFill>
            <w14:solidFill>
              <w14:schemeClr w14:val="tx1"/>
            </w14:solidFill>
          </w14:textFill>
        </w:rPr>
        <w:t>单元预警精度提升100倍以上</w:t>
      </w:r>
      <w:r>
        <w:rPr>
          <w:rFonts w:hint="eastAsia" w:ascii="宋体" w:hAnsi="宋体" w:eastAsia="宋体" w:cs="宋体"/>
          <w:color w:val="000000" w:themeColor="text1"/>
          <w:sz w:val="24"/>
          <w:szCs w:val="24"/>
          <w14:textFill>
            <w14:solidFill>
              <w14:schemeClr w14:val="tx1"/>
            </w14:solidFill>
          </w14:textFill>
        </w:rPr>
        <w:t>。</w:t>
      </w:r>
    </w:p>
    <w:p w14:paraId="2846D015">
      <w:pPr>
        <w:pStyle w:val="3"/>
        <w:keepNext w:val="0"/>
        <w:keepLines w:val="0"/>
        <w:pageBreakBefore w:val="0"/>
        <w:widowControl w:val="0"/>
        <w:numPr>
          <w:ilvl w:val="255"/>
          <w:numId w:val="0"/>
        </w:numPr>
        <w:kinsoku/>
        <w:wordWrap/>
        <w:overflowPunct/>
        <w:topLinePunct w:val="0"/>
        <w:autoSpaceDE/>
        <w:autoSpaceDN/>
        <w:bidi w:val="0"/>
        <w:adjustRightInd/>
        <w:snapToGrid/>
        <w:spacing w:line="380" w:lineRule="exact"/>
        <w:ind w:left="0" w:firstLine="482" w:firstLineChars="200"/>
        <w:textAlignment w:val="auto"/>
        <w:outlineLvl w:val="2"/>
        <w:rPr>
          <w:rFonts w:hint="eastAsia" w:ascii="宋体" w:hAnsi="宋体" w:eastAsia="宋体" w:cs="宋体"/>
          <w:lang w:eastAsia="zh-CN"/>
        </w:rPr>
      </w:pPr>
      <w:r>
        <w:rPr>
          <w:rFonts w:hint="eastAsia" w:ascii="宋体" w:hAnsi="宋体" w:eastAsia="宋体" w:cs="宋体"/>
          <w:b/>
          <w:bCs/>
          <w:szCs w:val="24"/>
        </w:rPr>
        <w:t>创新</w:t>
      </w:r>
      <w:r>
        <w:rPr>
          <w:rFonts w:hint="eastAsia" w:ascii="宋体" w:hAnsi="宋体" w:eastAsia="宋体" w:cs="宋体"/>
          <w:b/>
          <w:bCs/>
          <w:szCs w:val="24"/>
          <w:highlight w:val="none"/>
        </w:rPr>
        <w:t>点3：</w:t>
      </w:r>
      <w:r>
        <w:rPr>
          <w:rFonts w:hint="eastAsia" w:ascii="宋体" w:hAnsi="宋体" w:eastAsia="宋体" w:cs="宋体"/>
          <w:b/>
          <w:bCs/>
          <w:color w:val="000000" w:themeColor="text1"/>
          <w:sz w:val="24"/>
          <w:szCs w:val="24"/>
          <w:lang w:val="en-US" w:eastAsia="zh-CN"/>
          <w14:textFill>
            <w14:solidFill>
              <w14:schemeClr w14:val="tx1"/>
            </w14:solidFill>
          </w14:textFill>
        </w:rPr>
        <w:t>创建</w:t>
      </w:r>
      <w:r>
        <w:rPr>
          <w:rFonts w:hint="eastAsia" w:ascii="宋体" w:hAnsi="宋体" w:eastAsia="宋体" w:cs="宋体"/>
          <w:b/>
          <w:bCs/>
          <w:color w:val="000000" w:themeColor="text1"/>
          <w:sz w:val="24"/>
          <w:szCs w:val="24"/>
          <w14:textFill>
            <w14:solidFill>
              <w14:schemeClr w14:val="tx1"/>
            </w14:solidFill>
          </w14:textFill>
        </w:rPr>
        <w:t>了基于数字孪生的地质灾害全链条数智化风险管控</w:t>
      </w:r>
      <w:r>
        <w:rPr>
          <w:rFonts w:hint="eastAsia" w:ascii="宋体" w:hAnsi="宋体" w:eastAsia="宋体" w:cs="宋体"/>
          <w:b/>
          <w:bCs/>
          <w:color w:val="000000" w:themeColor="text1"/>
          <w:sz w:val="24"/>
          <w:szCs w:val="24"/>
          <w:lang w:val="en-US" w:eastAsia="zh-CN"/>
          <w14:textFill>
            <w14:solidFill>
              <w14:schemeClr w14:val="tx1"/>
            </w14:solidFill>
          </w14:textFill>
        </w:rPr>
        <w:t>平台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针对现有数字化管控方法难以解决模型与现实脱节、多层级协同管控效率低的问题，构建了地质灾害高精度时空智能体，</w:t>
      </w:r>
      <w:r>
        <w:rPr>
          <w:rFonts w:hint="eastAsia" w:ascii="宋体" w:hAnsi="宋体" w:cs="宋体"/>
          <w:color w:val="000000" w:themeColor="text1"/>
          <w:sz w:val="24"/>
          <w:szCs w:val="24"/>
          <w:lang w:val="en-US" w:eastAsia="zh-CN"/>
          <w14:textFill>
            <w14:solidFill>
              <w14:schemeClr w14:val="tx1"/>
            </w14:solidFill>
          </w14:textFill>
        </w:rPr>
        <w:t>研发</w:t>
      </w:r>
      <w:r>
        <w:rPr>
          <w:rFonts w:hint="eastAsia" w:ascii="宋体" w:hAnsi="宋体" w:eastAsia="宋体" w:cs="宋体"/>
          <w:color w:val="000000" w:themeColor="text1"/>
          <w:sz w:val="24"/>
          <w:szCs w:val="24"/>
          <w14:textFill>
            <w14:solidFill>
              <w14:schemeClr w14:val="tx1"/>
            </w14:solidFill>
          </w14:textFill>
        </w:rPr>
        <w:t>了贯通</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省—市—县—乡—村</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五级的全链条数智化协同管控平台，全国首创了基于单人北斗定位的动态</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地灾预警码</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实现了预警指令到村、避险指引到人、应急响应到点的闭环管理，有效打通了灾害预警落地的</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最后一公里</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w:t>
      </w:r>
    </w:p>
    <w:p w14:paraId="5A0522F1">
      <w:pPr>
        <w:pStyle w:val="2"/>
        <w:keepNext w:val="0"/>
        <w:keepLines w:val="0"/>
        <w:pageBreakBefore w:val="0"/>
        <w:widowControl w:val="0"/>
        <w:numPr>
          <w:ilvl w:val="0"/>
          <w:numId w:val="0"/>
        </w:numPr>
        <w:kinsoku/>
        <w:wordWrap/>
        <w:overflowPunct/>
        <w:topLinePunct w:val="0"/>
        <w:autoSpaceDE/>
        <w:autoSpaceDN/>
        <w:bidi w:val="0"/>
        <w:adjustRightInd/>
        <w:snapToGrid/>
        <w:spacing w:after="0" w:line="380" w:lineRule="exact"/>
        <w:ind w:left="23" w:leftChars="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cs="宋体"/>
          <w:b/>
          <w:bCs/>
          <w:snapToGrid w:val="0"/>
          <w:color w:val="000000"/>
          <w:spacing w:val="-6"/>
          <w:kern w:val="0"/>
          <w:sz w:val="24"/>
          <w:szCs w:val="24"/>
          <w:lang w:val="en-US" w:eastAsia="zh-CN" w:bidi="ar-SA"/>
        </w:rPr>
        <w:t>（</w:t>
      </w:r>
      <w:r>
        <w:rPr>
          <w:rFonts w:hint="eastAsia" w:ascii="宋体" w:hAnsi="宋体" w:eastAsia="宋体" w:cs="宋体"/>
          <w:b/>
          <w:bCs/>
          <w:snapToGrid w:val="0"/>
          <w:color w:val="000000"/>
          <w:spacing w:val="-6"/>
          <w:kern w:val="0"/>
          <w:sz w:val="24"/>
          <w:szCs w:val="24"/>
          <w:lang w:val="en-US" w:eastAsia="en-US" w:bidi="ar-SA"/>
        </w:rPr>
        <w:t>四</w:t>
      </w:r>
      <w:r>
        <w:rPr>
          <w:rFonts w:hint="eastAsia" w:cs="宋体"/>
          <w:b/>
          <w:bCs/>
          <w:snapToGrid w:val="0"/>
          <w:color w:val="000000"/>
          <w:spacing w:val="-6"/>
          <w:kern w:val="0"/>
          <w:sz w:val="24"/>
          <w:szCs w:val="24"/>
          <w:lang w:val="en-US" w:eastAsia="zh-CN" w:bidi="ar-SA"/>
        </w:rPr>
        <w:t>）</w:t>
      </w:r>
      <w:r>
        <w:rPr>
          <w:b/>
          <w:bCs/>
          <w:spacing w:val="-6"/>
          <w:sz w:val="24"/>
          <w:szCs w:val="24"/>
        </w:rPr>
        <w:t>经济社会效益</w:t>
      </w:r>
    </w:p>
    <w:p w14:paraId="6731967B">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成果已在浙江省全域</w:t>
      </w:r>
      <w:r>
        <w:rPr>
          <w:rFonts w:hint="eastAsia" w:ascii="宋体" w:hAnsi="宋体" w:cs="宋体"/>
          <w:b w:val="0"/>
          <w:bCs w:val="0"/>
          <w:color w:val="000000" w:themeColor="text1"/>
          <w:sz w:val="24"/>
          <w:szCs w:val="24"/>
          <w:lang w:val="en-US" w:eastAsia="zh-CN"/>
          <w14:textFill>
            <w14:solidFill>
              <w14:schemeClr w14:val="tx1"/>
            </w14:solidFill>
          </w14:textFill>
        </w:rPr>
        <w:t>及相似地区</w:t>
      </w:r>
      <w:r>
        <w:rPr>
          <w:rFonts w:hint="eastAsia" w:ascii="宋体" w:hAnsi="宋体" w:eastAsia="宋体" w:cs="宋体"/>
          <w:b w:val="0"/>
          <w:bCs w:val="0"/>
          <w:color w:val="000000" w:themeColor="text1"/>
          <w:sz w:val="24"/>
          <w:szCs w:val="24"/>
          <w:lang w:val="en-US" w:eastAsia="zh-CN"/>
          <w14:textFill>
            <w14:solidFill>
              <w14:schemeClr w14:val="tx1"/>
            </w14:solidFill>
          </w14:textFill>
        </w:rPr>
        <w:t>实现业务化</w:t>
      </w:r>
      <w:r>
        <w:rPr>
          <w:rFonts w:hint="eastAsia" w:ascii="宋体" w:hAnsi="宋体" w:cs="宋体"/>
          <w:b w:val="0"/>
          <w:bCs w:val="0"/>
          <w:color w:val="000000" w:themeColor="text1"/>
          <w:sz w:val="24"/>
          <w:szCs w:val="24"/>
          <w:lang w:val="en-US" w:eastAsia="zh-CN"/>
          <w14:textFill>
            <w14:solidFill>
              <w14:schemeClr w14:val="tx1"/>
            </w14:solidFill>
          </w14:textFill>
        </w:rPr>
        <w:t>应用</w:t>
      </w:r>
      <w:r>
        <w:rPr>
          <w:rFonts w:hint="eastAsia" w:ascii="宋体" w:hAnsi="宋体" w:eastAsia="宋体" w:cs="宋体"/>
          <w:b w:val="0"/>
          <w:bCs w:val="0"/>
          <w:color w:val="000000" w:themeColor="text1"/>
          <w:sz w:val="24"/>
          <w:szCs w:val="24"/>
          <w:lang w:val="en-US" w:eastAsia="zh-CN"/>
          <w14:textFill>
            <w14:solidFill>
              <w14:schemeClr w14:val="tx1"/>
            </w14:solidFill>
          </w14:textFill>
        </w:rPr>
        <w:t>，</w:t>
      </w:r>
      <w:r>
        <w:rPr>
          <w:rFonts w:hint="eastAsia" w:ascii="宋体" w:hAnsi="宋体" w:cs="宋体"/>
          <w:b w:val="0"/>
          <w:bCs w:val="0"/>
          <w:color w:val="000000" w:themeColor="text1"/>
          <w:sz w:val="24"/>
          <w:szCs w:val="24"/>
          <w:lang w:val="en-US" w:eastAsia="zh-CN"/>
          <w14:textFill>
            <w14:solidFill>
              <w14:schemeClr w14:val="tx1"/>
            </w14:solidFill>
          </w14:textFill>
        </w:rPr>
        <w:t>近三年</w:t>
      </w:r>
      <w:r>
        <w:rPr>
          <w:rFonts w:hint="eastAsia" w:ascii="宋体" w:hAnsi="宋体" w:cs="宋体"/>
          <w:color w:val="000000" w:themeColor="text1"/>
          <w:sz w:val="24"/>
          <w14:textFill>
            <w14:solidFill>
              <w14:schemeClr w14:val="tx1"/>
            </w14:solidFill>
          </w14:textFill>
        </w:rPr>
        <w:t>预警成功避险</w:t>
      </w:r>
      <w:r>
        <w:rPr>
          <w:rFonts w:hint="eastAsia" w:ascii="宋体" w:hAnsi="宋体" w:eastAsia="宋体" w:cs="宋体"/>
          <w:b w:val="0"/>
          <w:bCs w:val="0"/>
          <w:color w:val="000000" w:themeColor="text1"/>
          <w:sz w:val="24"/>
          <w:szCs w:val="24"/>
          <w:lang w:val="en-US" w:eastAsia="zh-CN"/>
          <w14:textFill>
            <w14:solidFill>
              <w14:schemeClr w14:val="tx1"/>
            </w14:solidFill>
          </w14:textFill>
        </w:rPr>
        <w:t>地质灾害80余起，其中31起被自然资源部列为典型案例全国推广，避免可能伤亡500余人，减少经济损失超</w:t>
      </w:r>
      <w:r>
        <w:rPr>
          <w:rFonts w:hint="eastAsia" w:ascii="宋体" w:hAnsi="宋体" w:cs="宋体"/>
          <w:b w:val="0"/>
          <w:bCs w:val="0"/>
          <w:color w:val="000000" w:themeColor="text1"/>
          <w:sz w:val="24"/>
          <w:szCs w:val="24"/>
          <w:lang w:val="en-US" w:eastAsia="zh-CN"/>
          <w14:textFill>
            <w14:solidFill>
              <w14:schemeClr w14:val="tx1"/>
            </w14:solidFill>
          </w14:textFill>
        </w:rPr>
        <w:t>13</w:t>
      </w:r>
      <w:r>
        <w:rPr>
          <w:rFonts w:hint="eastAsia" w:ascii="宋体" w:hAnsi="宋体" w:eastAsia="宋体" w:cs="宋体"/>
          <w:b w:val="0"/>
          <w:bCs w:val="0"/>
          <w:color w:val="000000" w:themeColor="text1"/>
          <w:sz w:val="24"/>
          <w:szCs w:val="24"/>
          <w:lang w:val="en-US" w:eastAsia="zh-CN"/>
          <w14:textFill>
            <w14:solidFill>
              <w14:schemeClr w14:val="tx1"/>
            </w14:solidFill>
          </w14:textFill>
        </w:rPr>
        <w:t>亿元。通过</w:t>
      </w:r>
      <w:r>
        <w:rPr>
          <w:rFonts w:hint="eastAsia" w:ascii="宋体" w:hAnsi="宋体" w:cs="宋体"/>
          <w:b w:val="0"/>
          <w:bCs w:val="0"/>
          <w:color w:val="000000" w:themeColor="text1"/>
          <w:sz w:val="24"/>
          <w:szCs w:val="24"/>
          <w:lang w:val="en-US" w:eastAsia="zh-CN"/>
          <w14:textFill>
            <w14:solidFill>
              <w14:schemeClr w14:val="tx1"/>
            </w14:solidFill>
          </w14:textFill>
        </w:rPr>
        <w:t>成果应用</w:t>
      </w:r>
      <w:r>
        <w:rPr>
          <w:rFonts w:hint="eastAsia" w:ascii="宋体" w:hAnsi="宋体" w:eastAsia="宋体" w:cs="宋体"/>
          <w:b w:val="0"/>
          <w:bCs w:val="0"/>
          <w:color w:val="000000" w:themeColor="text1"/>
          <w:sz w:val="24"/>
          <w:szCs w:val="24"/>
          <w:lang w:val="en-US" w:eastAsia="zh-CN"/>
          <w14:textFill>
            <w14:solidFill>
              <w14:schemeClr w14:val="tx1"/>
            </w14:solidFill>
          </w14:textFill>
        </w:rPr>
        <w:t>，基层人工巡查工作量减少40%、监测设备布设量减少30%，累计节约资金</w:t>
      </w:r>
      <w:r>
        <w:rPr>
          <w:rFonts w:hint="eastAsia" w:ascii="宋体" w:hAnsi="宋体" w:cs="宋体"/>
          <w:b w:val="0"/>
          <w:bCs w:val="0"/>
          <w:color w:val="000000" w:themeColor="text1"/>
          <w:sz w:val="24"/>
          <w:szCs w:val="24"/>
          <w:lang w:val="en-US" w:eastAsia="zh-CN"/>
          <w14:textFill>
            <w14:solidFill>
              <w14:schemeClr w14:val="tx1"/>
            </w14:solidFill>
          </w14:textFill>
        </w:rPr>
        <w:t>投入</w:t>
      </w:r>
      <w:r>
        <w:rPr>
          <w:rFonts w:hint="eastAsia" w:ascii="宋体" w:hAnsi="宋体" w:eastAsia="宋体" w:cs="宋体"/>
          <w:b w:val="0"/>
          <w:bCs w:val="0"/>
          <w:color w:val="000000" w:themeColor="text1"/>
          <w:sz w:val="24"/>
          <w:szCs w:val="24"/>
          <w:lang w:val="en-US" w:eastAsia="zh-CN"/>
          <w14:textFill>
            <w14:solidFill>
              <w14:schemeClr w14:val="tx1"/>
            </w14:solidFill>
          </w14:textFill>
        </w:rPr>
        <w:t>超9亿元</w:t>
      </w:r>
      <w:r>
        <w:rPr>
          <w:rFonts w:hint="eastAsia" w:ascii="宋体" w:hAnsi="宋体" w:cs="宋体"/>
          <w:color w:val="000000" w:themeColor="text1"/>
          <w:sz w:val="24"/>
          <w14:textFill>
            <w14:solidFill>
              <w14:schemeClr w14:val="tx1"/>
            </w14:solidFill>
          </w14:textFill>
        </w:rPr>
        <w:t>，为全国台风暴雨型地质灾害高发区提供了可复制、可推广的</w:t>
      </w:r>
      <w:r>
        <w:rPr>
          <w:rFonts w:hint="eastAsia" w:ascii="宋体" w:hAnsi="宋体" w:cs="宋体"/>
          <w:color w:val="000000" w:themeColor="text1"/>
          <w:sz w:val="24"/>
          <w:lang w:val="en-US" w:eastAsia="zh-CN"/>
          <w14:textFill>
            <w14:solidFill>
              <w14:schemeClr w14:val="tx1"/>
            </w14:solidFill>
          </w14:textFill>
        </w:rPr>
        <w:t>范式</w:t>
      </w:r>
      <w:r>
        <w:rPr>
          <w:rFonts w:hint="eastAsia" w:ascii="宋体" w:hAnsi="宋体" w:eastAsia="宋体" w:cs="宋体"/>
          <w:b w:val="0"/>
          <w:bCs w:val="0"/>
          <w:color w:val="000000" w:themeColor="text1"/>
          <w:sz w:val="24"/>
          <w:szCs w:val="24"/>
          <w:lang w:val="en-US" w:eastAsia="zh-CN"/>
          <w14:textFill>
            <w14:solidFill>
              <w14:schemeClr w14:val="tx1"/>
            </w14:solidFill>
          </w14:textFill>
        </w:rPr>
        <w:t>。同时培养</w:t>
      </w:r>
      <w:r>
        <w:rPr>
          <w:rFonts w:hint="eastAsia" w:ascii="宋体" w:hAnsi="宋体" w:cs="宋体"/>
          <w:b w:val="0"/>
          <w:bCs w:val="0"/>
          <w:color w:val="000000" w:themeColor="text1"/>
          <w:sz w:val="24"/>
          <w:szCs w:val="24"/>
          <w:lang w:val="en-US" w:eastAsia="zh-CN"/>
          <w14:textFill>
            <w14:solidFill>
              <w14:schemeClr w14:val="tx1"/>
            </w14:solidFill>
          </w14:textFill>
        </w:rPr>
        <w:t>了</w:t>
      </w:r>
      <w:r>
        <w:rPr>
          <w:rFonts w:hint="eastAsia" w:ascii="宋体" w:hAnsi="宋体" w:eastAsia="宋体" w:cs="宋体"/>
          <w:b w:val="0"/>
          <w:bCs w:val="0"/>
          <w:color w:val="000000" w:themeColor="text1"/>
          <w:sz w:val="24"/>
          <w:szCs w:val="24"/>
          <w:lang w:val="en-US" w:eastAsia="zh-CN"/>
          <w14:textFill>
            <w14:solidFill>
              <w14:schemeClr w14:val="tx1"/>
            </w14:solidFill>
          </w14:textFill>
        </w:rPr>
        <w:t>国家级人才1名、省级人才</w:t>
      </w:r>
      <w:r>
        <w:rPr>
          <w:rFonts w:hint="eastAsia" w:ascii="宋体" w:hAnsi="宋体" w:cs="宋体"/>
          <w:b w:val="0"/>
          <w:bCs w:val="0"/>
          <w:color w:val="000000" w:themeColor="text1"/>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z w:val="24"/>
          <w:szCs w:val="24"/>
          <w:lang w:val="en-US" w:eastAsia="zh-CN"/>
          <w14:textFill>
            <w14:solidFill>
              <w14:schemeClr w14:val="tx1"/>
            </w14:solidFill>
          </w14:textFill>
        </w:rPr>
        <w:t>名、高级工程师</w:t>
      </w:r>
      <w:r>
        <w:rPr>
          <w:rFonts w:hint="eastAsia" w:ascii="宋体" w:hAnsi="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val="en-US" w:eastAsia="zh-CN"/>
          <w14:textFill>
            <w14:solidFill>
              <w14:schemeClr w14:val="tx1"/>
            </w14:solidFill>
          </w14:textFill>
        </w:rPr>
        <w:t>6名</w:t>
      </w:r>
      <w:r>
        <w:rPr>
          <w:rFonts w:hint="eastAsia" w:ascii="宋体" w:hAnsi="宋体" w:cs="宋体"/>
          <w:b w:val="0"/>
          <w:bCs w:val="0"/>
          <w:color w:val="000000" w:themeColor="text1"/>
          <w:sz w:val="24"/>
          <w:szCs w:val="24"/>
          <w:lang w:val="en-US" w:eastAsia="zh-CN"/>
          <w14:textFill>
            <w14:solidFill>
              <w14:schemeClr w14:val="tx1"/>
            </w14:solidFill>
          </w14:textFill>
        </w:rPr>
        <w:t>，为行业输送了高水平技术力量</w:t>
      </w:r>
      <w:r>
        <w:rPr>
          <w:rFonts w:hint="eastAsia" w:ascii="宋体" w:hAnsi="宋体" w:eastAsia="宋体" w:cs="宋体"/>
          <w:b w:val="0"/>
          <w:bCs w:val="0"/>
          <w:color w:val="000000" w:themeColor="text1"/>
          <w:sz w:val="24"/>
          <w:szCs w:val="24"/>
          <w:lang w:val="en-US" w:eastAsia="zh-CN"/>
          <w14:textFill>
            <w14:solidFill>
              <w14:schemeClr w14:val="tx1"/>
            </w14:solidFill>
          </w14:textFill>
        </w:rPr>
        <w:t>。</w:t>
      </w:r>
    </w:p>
    <w:p w14:paraId="4E3786C6">
      <w:pPr>
        <w:rPr>
          <w:rFonts w:hint="eastAsia" w:ascii="方正小标宋_GBK" w:hAnsi="黑体" w:eastAsia="方正小标宋_GBK" w:cs="黑体"/>
          <w:spacing w:val="5"/>
          <w:sz w:val="44"/>
          <w:szCs w:val="44"/>
          <w:lang w:eastAsia="zh-CN"/>
        </w:rPr>
        <w:sectPr>
          <w:headerReference r:id="rId3" w:type="default"/>
          <w:footerReference r:id="rId4" w:type="default"/>
          <w:pgSz w:w="11906" w:h="16838"/>
          <w:pgMar w:top="1440" w:right="1417" w:bottom="1440" w:left="1134" w:header="851" w:footer="992" w:gutter="0"/>
          <w:cols w:space="425" w:num="1"/>
          <w:docGrid w:type="lines" w:linePitch="312" w:charSpace="0"/>
        </w:sectPr>
      </w:pPr>
    </w:p>
    <w:p w14:paraId="4F81F4E2">
      <w:pPr>
        <w:pStyle w:val="10"/>
        <w:ind w:left="725" w:right="745"/>
        <w:jc w:val="center"/>
        <w:rPr>
          <w:rFonts w:hint="eastAsia" w:ascii="黑体" w:eastAsia="黑体"/>
        </w:rPr>
      </w:pPr>
      <w:r>
        <w:rPr>
          <w:rFonts w:hint="eastAsia" w:ascii="黑体" w:eastAsia="黑体"/>
        </w:rPr>
        <w:t>四、客观评价</w:t>
      </w:r>
    </w:p>
    <w:p w14:paraId="7F5F84A6">
      <w:pPr>
        <w:keepNext w:val="0"/>
        <w:keepLines w:val="0"/>
        <w:pageBreakBefore w:val="0"/>
        <w:widowControl w:val="0"/>
        <w:numPr>
          <w:ilvl w:val="255"/>
          <w:numId w:val="0"/>
        </w:numPr>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lang w:val="en-US"/>
        </w:rPr>
      </w:pPr>
      <w:r>
        <w:rPr>
          <w:rFonts w:hint="eastAsia" w:ascii="宋体" w:hAnsi="宋体" w:eastAsia="宋体" w:cs="宋体"/>
          <w:b/>
          <w:bCs/>
          <w:sz w:val="24"/>
          <w:szCs w:val="24"/>
          <w:lang w:val="en-US" w:eastAsia="zh-CN"/>
        </w:rPr>
        <w:t>（一）</w:t>
      </w:r>
      <w:r>
        <w:rPr>
          <w:rFonts w:hint="eastAsia" w:ascii="宋体" w:hAnsi="宋体" w:eastAsia="宋体" w:cs="宋体"/>
          <w:b/>
          <w:bCs/>
          <w:color w:val="auto"/>
          <w:sz w:val="24"/>
          <w:szCs w:val="24"/>
          <w:lang w:val="en-US" w:eastAsia="zh-CN"/>
        </w:rPr>
        <w:t>“东南丘陵区台风暴雨型地质灾害时空智能评估与精细预警关键技术”项目科技成果评价会</w:t>
      </w:r>
    </w:p>
    <w:p w14:paraId="1D81743C">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浙测评字</w:t>
      </w:r>
      <w:r>
        <w:rPr>
          <w:rFonts w:hint="eastAsia" w:ascii="宋体" w:hAnsi="宋体" w:eastAsia="宋体" w:cs="宋体"/>
          <w:b/>
          <w:bCs/>
          <w:i w:val="0"/>
          <w:iCs w:val="0"/>
          <w:caps w:val="0"/>
          <w:color w:val="444444"/>
          <w:spacing w:val="0"/>
          <w:sz w:val="24"/>
          <w:szCs w:val="24"/>
          <w:shd w:val="clear" w:fill="FFFFFF"/>
        </w:rPr>
        <w:t>〔</w:t>
      </w:r>
      <w:r>
        <w:rPr>
          <w:rFonts w:hint="eastAsia" w:ascii="宋体" w:hAnsi="宋体" w:eastAsia="宋体" w:cs="宋体"/>
          <w:b/>
          <w:bCs/>
          <w:sz w:val="24"/>
          <w:szCs w:val="24"/>
          <w:lang w:val="en-US" w:eastAsia="zh-CN"/>
        </w:rPr>
        <w:t>2025</w:t>
      </w:r>
      <w:r>
        <w:rPr>
          <w:rFonts w:hint="eastAsia" w:ascii="宋体" w:hAnsi="宋体" w:eastAsia="宋体" w:cs="宋体"/>
          <w:b/>
          <w:bCs/>
          <w:i w:val="0"/>
          <w:iCs w:val="0"/>
          <w:caps w:val="0"/>
          <w:color w:val="444444"/>
          <w:spacing w:val="0"/>
          <w:sz w:val="24"/>
          <w:szCs w:val="24"/>
          <w:shd w:val="clear" w:fill="FFFFFF"/>
        </w:rPr>
        <w:t>〕</w:t>
      </w:r>
      <w:r>
        <w:rPr>
          <w:rFonts w:hint="eastAsia" w:ascii="宋体" w:hAnsi="宋体" w:eastAsia="宋体" w:cs="宋体"/>
          <w:b/>
          <w:bCs/>
          <w:color w:val="auto"/>
          <w:sz w:val="24"/>
          <w:szCs w:val="24"/>
        </w:rPr>
        <w:t>第04号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2025年9月10日，浙江省测绘学会在杭州组织召开了“东南丘陵区台风暴雨型地质灾害时空智能评估与精细预警关键技术”项目科技成果评价会。评价委员会听取了成果汇报，审阅了相关资料。经质询和讨论，形成评价意见如下</w:t>
      </w:r>
      <w:r>
        <w:rPr>
          <w:rFonts w:hint="eastAsia" w:ascii="宋体" w:hAnsi="宋体" w:eastAsia="宋体" w:cs="宋体"/>
          <w:color w:val="auto"/>
          <w:sz w:val="24"/>
          <w:szCs w:val="24"/>
          <w:lang w:eastAsia="zh-CN"/>
        </w:rPr>
        <w:t>：</w:t>
      </w:r>
    </w:p>
    <w:p w14:paraId="302C7C76">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项目针对东南沿海丘陵区地质灾害典型特征及“风险评估不准、预警精细不足、管控</w:t>
      </w:r>
      <w:r>
        <w:rPr>
          <w:rFonts w:hint="eastAsia" w:ascii="宋体" w:hAnsi="宋体" w:eastAsia="宋体" w:cs="宋体"/>
          <w:color w:val="auto"/>
          <w:sz w:val="24"/>
          <w:szCs w:val="24"/>
          <w:lang w:eastAsia="zh-CN"/>
        </w:rPr>
        <w:t>协同不足</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系统性</w:t>
      </w:r>
      <w:r>
        <w:rPr>
          <w:rFonts w:hint="eastAsia" w:ascii="宋体" w:hAnsi="宋体" w:eastAsia="宋体" w:cs="宋体"/>
          <w:color w:val="auto"/>
          <w:sz w:val="24"/>
          <w:szCs w:val="24"/>
        </w:rPr>
        <w:t>瓶颈，创新研究形成“精准风险评估方法—精细短临预警技术—数智协同管控平台”技术体系，推动地灾防治从“机理驱动”向“数智驱动”质变提升。</w:t>
      </w:r>
    </w:p>
    <w:p w14:paraId="4390F053">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成果的主要技术创新点如下</w:t>
      </w:r>
      <w:r>
        <w:rPr>
          <w:rFonts w:hint="eastAsia" w:asciiTheme="minorEastAsia" w:hAnsiTheme="minorEastAsia" w:eastAsiaTheme="minorEastAsia" w:cstheme="minorEastAsia"/>
          <w:color w:val="auto"/>
          <w:sz w:val="24"/>
          <w:szCs w:val="24"/>
          <w:lang w:eastAsia="zh-CN"/>
        </w:rPr>
        <w:t>：</w:t>
      </w:r>
    </w:p>
    <w:p w14:paraId="62F55550">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针对复杂环境下灾害风险空间范围及概率量化难、承灾体遥感跨域识别精度低等难题，提出了四维特征映射的地质灾害易发性空间预测等方法，实现了承灾体的高精度识别及灾害风险的高置信度分区分级量化。</w:t>
      </w:r>
    </w:p>
    <w:p w14:paraId="257F91B2">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针对当前预警模式孕灾机制与降雨触发耦合机理不清、预警颗粒度粗且时效性差的问题，提出了基于多源时空数据融合的孕灾环境与台风降雨动态耦合方法，以及小尺度分钟级精细短临预报预警技术，实现了地质灾害精细短临预警的分钟级生成。</w:t>
      </w:r>
    </w:p>
    <w:p w14:paraId="0B766383">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w:t>
      </w:r>
      <w:r>
        <w:rPr>
          <w:rFonts w:hint="eastAsia" w:ascii="宋体" w:hAnsi="宋体" w:eastAsia="宋体" w:cs="宋体"/>
          <w:color w:val="auto"/>
          <w:sz w:val="24"/>
          <w:szCs w:val="24"/>
        </w:rPr>
        <w:t>针对传统管控技术难以解决模型与现实脱节、多层级协同管控效率低的问题，构建了高精度地质灾害</w:t>
      </w:r>
      <w:r>
        <w:rPr>
          <w:rFonts w:hint="eastAsia" w:ascii="宋体" w:hAnsi="宋体" w:eastAsia="宋体" w:cs="宋体"/>
          <w:color w:val="auto"/>
          <w:sz w:val="24"/>
          <w:szCs w:val="24"/>
          <w:lang w:val="en-US" w:eastAsia="zh-CN"/>
        </w:rPr>
        <w:t>时空智能</w:t>
      </w:r>
      <w:r>
        <w:rPr>
          <w:rFonts w:hint="eastAsia" w:ascii="宋体" w:hAnsi="宋体" w:eastAsia="宋体" w:cs="宋体"/>
          <w:color w:val="auto"/>
          <w:sz w:val="24"/>
          <w:szCs w:val="24"/>
        </w:rPr>
        <w:t>体</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“省—市—县区—乡镇—村社”五级全链条数智化协同管控平台</w:t>
      </w:r>
      <w:r>
        <w:rPr>
          <w:rFonts w:hint="eastAsia" w:ascii="宋体" w:hAnsi="宋体" w:eastAsia="宋体" w:cs="宋体"/>
          <w:color w:val="auto"/>
          <w:sz w:val="24"/>
          <w:szCs w:val="24"/>
          <w:lang w:val="en-US" w:eastAsia="zh-CN"/>
        </w:rPr>
        <w:t>和基于单人北斗定位的动态“地灾预警码”</w:t>
      </w:r>
      <w:r>
        <w:rPr>
          <w:rFonts w:hint="eastAsia" w:ascii="宋体" w:hAnsi="宋体" w:eastAsia="宋体" w:cs="宋体"/>
          <w:color w:val="auto"/>
          <w:sz w:val="24"/>
          <w:szCs w:val="24"/>
        </w:rPr>
        <w:t>，实现了指令到村、预警到人、响应到点。</w:t>
      </w:r>
    </w:p>
    <w:p w14:paraId="2A56081D">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成果已在浙江“省-村社”五级的防汛防台、防灾减灾、应急处置中得到广泛使用，社会经济效益显著，具有较强的行业示范作用和推广价值。</w:t>
      </w:r>
    </w:p>
    <w:p w14:paraId="02434AE1">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评价委员会认为，该成果整体技术达到国内领先水平，其中</w:t>
      </w:r>
      <w:r>
        <w:rPr>
          <w:rFonts w:hint="eastAsia" w:asciiTheme="minorEastAsia" w:hAnsiTheme="minorEastAsia" w:eastAsiaTheme="minorEastAsia" w:cstheme="minorEastAsia"/>
          <w:b/>
          <w:bCs/>
          <w:color w:val="auto"/>
          <w:sz w:val="24"/>
          <w:szCs w:val="24"/>
        </w:rPr>
        <w:t>基于多源时空数据融合的孕灾环境与台风</w:t>
      </w:r>
      <w:r>
        <w:rPr>
          <w:rFonts w:hint="eastAsia" w:ascii="宋体" w:hAnsi="宋体" w:eastAsia="宋体" w:cs="宋体"/>
          <w:b/>
          <w:bCs/>
          <w:color w:val="auto"/>
          <w:sz w:val="24"/>
          <w:szCs w:val="24"/>
          <w:lang w:val="en-US" w:eastAsia="zh-CN"/>
        </w:rPr>
        <w:t>暴雨</w:t>
      </w:r>
      <w:r>
        <w:rPr>
          <w:rFonts w:hint="eastAsia" w:asciiTheme="minorEastAsia" w:hAnsiTheme="minorEastAsia" w:eastAsiaTheme="minorEastAsia" w:cstheme="minorEastAsia"/>
          <w:b/>
          <w:bCs/>
          <w:color w:val="auto"/>
          <w:sz w:val="24"/>
          <w:szCs w:val="24"/>
        </w:rPr>
        <w:t>动态耦合方法、小尺度分钟级精细短临预警等技术达到国际领先水平</w:t>
      </w:r>
      <w:r>
        <w:rPr>
          <w:rFonts w:hint="eastAsia" w:asciiTheme="minorEastAsia" w:hAnsiTheme="minorEastAsia" w:eastAsiaTheme="minorEastAsia" w:cstheme="minorEastAsia"/>
          <w:color w:val="auto"/>
          <w:sz w:val="24"/>
          <w:szCs w:val="24"/>
        </w:rPr>
        <w:t>。</w:t>
      </w:r>
    </w:p>
    <w:p w14:paraId="3C6F050C">
      <w:pPr>
        <w:keepNext w:val="0"/>
        <w:keepLines w:val="0"/>
        <w:pageBreakBefore w:val="0"/>
        <w:widowControl w:val="0"/>
        <w:numPr>
          <w:ilvl w:val="255"/>
          <w:numId w:val="0"/>
        </w:numPr>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（二）“新型GIS技术在地质灾害动态预测预警中的融合应用”项目验收评价会</w:t>
      </w:r>
    </w:p>
    <w:p w14:paraId="2516C56A">
      <w:pPr>
        <w:keepNext w:val="0"/>
        <w:keepLines w:val="0"/>
        <w:pageBreakBefore w:val="0"/>
        <w:kinsoku/>
        <w:wordWrap/>
        <w:overflowPunct/>
        <w:topLinePunct w:val="0"/>
        <w:autoSpaceDE/>
        <w:autoSpaceDN/>
        <w:bidi w:val="0"/>
        <w:adjustRightInd/>
        <w:snapToGrid/>
        <w:spacing w:line="360" w:lineRule="exact"/>
        <w:ind w:firstLine="482" w:firstLineChars="200"/>
        <w:textAlignment w:val="auto"/>
        <w:rPr>
          <w:rFonts w:hint="eastAsia" w:asciiTheme="minorEastAsia" w:hAnsiTheme="minorEastAsia" w:eastAsiaTheme="minorEastAsia" w:cstheme="minorEastAsia"/>
          <w:color w:val="auto"/>
          <w:sz w:val="24"/>
          <w:szCs w:val="24"/>
        </w:rPr>
      </w:pPr>
      <w:r>
        <w:rPr>
          <w:rFonts w:hint="eastAsia" w:ascii="宋体" w:hAnsi="宋体" w:eastAsia="宋体" w:cs="宋体"/>
          <w:b/>
          <w:bCs/>
          <w:sz w:val="24"/>
          <w:szCs w:val="24"/>
          <w:lang w:val="en-US" w:eastAsia="zh-CN"/>
        </w:rPr>
        <w:t>科技项目</w:t>
      </w:r>
      <w:r>
        <w:rPr>
          <w:rFonts w:hint="eastAsia" w:ascii="宋体" w:hAnsi="宋体" w:eastAsia="宋体" w:cs="宋体"/>
          <w:b/>
          <w:bCs/>
          <w:sz w:val="24"/>
          <w:szCs w:val="24"/>
        </w:rPr>
        <w:t>验收证书（浙自然资</w:t>
      </w:r>
      <w:r>
        <w:rPr>
          <w:rFonts w:hint="eastAsia" w:ascii="宋体" w:hAnsi="宋体" w:eastAsia="宋体" w:cs="宋体"/>
          <w:b/>
          <w:bCs/>
          <w:sz w:val="24"/>
          <w:szCs w:val="24"/>
          <w:lang w:eastAsia="zh-CN"/>
        </w:rPr>
        <w:t>（</w:t>
      </w:r>
      <w:r>
        <w:rPr>
          <w:rFonts w:hint="eastAsia" w:ascii="宋体" w:hAnsi="宋体" w:eastAsia="宋体" w:cs="宋体"/>
          <w:b/>
          <w:bCs/>
          <w:sz w:val="24"/>
          <w:szCs w:val="24"/>
        </w:rPr>
        <w:t>科</w:t>
      </w:r>
      <w:r>
        <w:rPr>
          <w:rFonts w:hint="eastAsia" w:ascii="宋体" w:hAnsi="宋体" w:eastAsia="宋体" w:cs="宋体"/>
          <w:b/>
          <w:bCs/>
          <w:sz w:val="24"/>
          <w:szCs w:val="24"/>
          <w:lang w:eastAsia="zh-CN"/>
        </w:rPr>
        <w:t>）</w:t>
      </w:r>
      <w:r>
        <w:rPr>
          <w:rFonts w:hint="eastAsia" w:ascii="宋体" w:hAnsi="宋体" w:eastAsia="宋体" w:cs="宋体"/>
          <w:b/>
          <w:bCs/>
          <w:sz w:val="24"/>
          <w:szCs w:val="24"/>
        </w:rPr>
        <w:t>验字</w:t>
      </w:r>
      <w:r>
        <w:rPr>
          <w:rFonts w:hint="eastAsia" w:ascii="宋体" w:hAnsi="宋体" w:eastAsia="宋体" w:cs="宋体"/>
          <w:b/>
          <w:bCs/>
          <w:i w:val="0"/>
          <w:iCs w:val="0"/>
          <w:caps w:val="0"/>
          <w:color w:val="444444"/>
          <w:spacing w:val="0"/>
          <w:sz w:val="24"/>
          <w:szCs w:val="24"/>
          <w:shd w:val="clear" w:fill="FFFFFF"/>
        </w:rPr>
        <w:t>〔</w:t>
      </w:r>
      <w:r>
        <w:rPr>
          <w:rFonts w:hint="eastAsia" w:ascii="宋体" w:hAnsi="宋体" w:eastAsia="宋体" w:cs="宋体"/>
          <w:b/>
          <w:bCs/>
          <w:sz w:val="24"/>
          <w:szCs w:val="24"/>
        </w:rPr>
        <w:t>002号</w:t>
      </w:r>
      <w:r>
        <w:rPr>
          <w:rFonts w:hint="eastAsia" w:ascii="宋体" w:hAnsi="宋体" w:eastAsia="宋体" w:cs="宋体"/>
          <w:b/>
          <w:bCs/>
          <w:i w:val="0"/>
          <w:iCs w:val="0"/>
          <w:caps w:val="0"/>
          <w:color w:val="444444"/>
          <w:spacing w:val="0"/>
          <w:sz w:val="24"/>
          <w:szCs w:val="24"/>
          <w:shd w:val="clear" w:fill="FFFFFF"/>
        </w:rPr>
        <w:t>〕</w:t>
      </w:r>
      <w:r>
        <w:rPr>
          <w:rFonts w:hint="eastAsia" w:ascii="宋体" w:hAnsi="宋体" w:eastAsia="宋体" w:cs="宋体"/>
          <w:b/>
          <w:bCs/>
          <w:sz w:val="24"/>
          <w:szCs w:val="24"/>
        </w:rPr>
        <w:t>）</w:t>
      </w:r>
      <w:r>
        <w:rPr>
          <w:rFonts w:hint="eastAsia" w:ascii="宋体" w:hAnsi="宋体" w:eastAsia="宋体" w:cs="宋体"/>
          <w:sz w:val="24"/>
          <w:szCs w:val="24"/>
        </w:rPr>
        <w:t>：2021年4月</w:t>
      </w:r>
      <w:r>
        <w:rPr>
          <w:rFonts w:hint="eastAsia" w:ascii="宋体" w:hAnsi="宋体" w:eastAsia="宋体" w:cs="宋体"/>
          <w:sz w:val="24"/>
          <w:szCs w:val="24"/>
          <w:lang w:val="en-US" w:eastAsia="zh-CN"/>
        </w:rPr>
        <w:t>22日，</w:t>
      </w:r>
      <w:r>
        <w:rPr>
          <w:rFonts w:hint="eastAsia" w:ascii="宋体" w:hAnsi="宋体" w:eastAsia="宋体" w:cs="宋体"/>
          <w:sz w:val="24"/>
          <w:szCs w:val="24"/>
        </w:rPr>
        <w:t>浙江省自然资源厅组织“新型GIS技术在地质灾害动态预测预警中的融合应用”项目验收</w:t>
      </w:r>
      <w:r>
        <w:rPr>
          <w:rFonts w:hint="eastAsia" w:ascii="宋体" w:hAnsi="宋体" w:eastAsia="宋体" w:cs="宋体"/>
          <w:color w:val="auto"/>
          <w:sz w:val="24"/>
          <w:szCs w:val="24"/>
        </w:rPr>
        <w:t>评价会</w:t>
      </w:r>
      <w:r>
        <w:rPr>
          <w:rFonts w:hint="eastAsia" w:ascii="宋体" w:hAnsi="宋体" w:eastAsia="宋体" w:cs="宋体"/>
          <w:color w:val="auto"/>
          <w:sz w:val="24"/>
          <w:szCs w:val="24"/>
          <w:lang w:eastAsia="zh-CN"/>
        </w:rPr>
        <w:t>，评</w:t>
      </w:r>
      <w:r>
        <w:rPr>
          <w:rFonts w:hint="eastAsia" w:ascii="宋体" w:hAnsi="宋体" w:eastAsia="宋体" w:cs="宋体"/>
          <w:color w:val="auto"/>
          <w:sz w:val="24"/>
          <w:szCs w:val="24"/>
        </w:rPr>
        <w:t>价委员会听取了成果汇报，审阅了相关资料。经质询和讨论，形成评价意见如下</w:t>
      </w:r>
      <w:r>
        <w:rPr>
          <w:rFonts w:hint="eastAsia" w:ascii="宋体" w:hAnsi="宋体" w:eastAsia="宋体" w:cs="宋体"/>
          <w:color w:val="auto"/>
          <w:sz w:val="24"/>
          <w:szCs w:val="24"/>
          <w:lang w:eastAsia="zh-CN"/>
        </w:rPr>
        <w:t>：</w:t>
      </w:r>
    </w:p>
    <w:p w14:paraId="4F3FE41D">
      <w:pPr>
        <w:keepNext w:val="0"/>
        <w:keepLines w:val="0"/>
        <w:pageBreakBefore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1.</w:t>
      </w:r>
      <w:r>
        <w:rPr>
          <w:rFonts w:hint="eastAsia" w:asciiTheme="minorEastAsia" w:hAnsiTheme="minorEastAsia" w:eastAsiaTheme="minorEastAsia" w:cstheme="minorEastAsia"/>
          <w:sz w:val="24"/>
          <w:szCs w:val="24"/>
        </w:rPr>
        <w:t>项目研究运用三维可视化、无人机定期监测、时空大数据分析等新型GIS技术手段，优化地质灾害预测预警模型，建立地质灾害精细化管理和动态预测预警模式，自主开发了“温州市地质灾害动态预警及综合指挥平台”。完成了项目申报书中各项内容。</w:t>
      </w:r>
    </w:p>
    <w:p w14:paraId="2650A804">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该项目成果具有以下特点与创新</w:t>
      </w:r>
      <w:r>
        <w:rPr>
          <w:rFonts w:hint="eastAsia" w:asciiTheme="minorEastAsia" w:hAnsiTheme="minorEastAsia" w:eastAsiaTheme="minorEastAsia" w:cstheme="minorEastAsia"/>
          <w:sz w:val="24"/>
          <w:szCs w:val="24"/>
          <w:lang w:eastAsia="zh-CN"/>
        </w:rPr>
        <w:t>：</w:t>
      </w:r>
    </w:p>
    <w:p w14:paraId="6781146C">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利用新一代三维GIS技术实现地质灾害隐患点的全空间模型表达，实现对地质灾害隐患现场环境的精细化还原。</w:t>
      </w:r>
    </w:p>
    <w:p w14:paraId="33147EA9">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研究建立了一套无人机摄影测量在地质灾害监测应用中的解决方案，实现地质灾害隐患定期远程监测监管。</w:t>
      </w:r>
    </w:p>
    <w:p w14:paraId="7035657D">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结合遥感数据与综合观测站数据，以及已有的地质灾害监测预警等方面的数据，开展地质灾害孕灾环境分析及诱发因素探索，研究优化地质灾害监测预警模型，实现了实时、快速和高效的地质灾害预警预报，为防灾减灾和群测群防工作提供可靠的技术支持。</w:t>
      </w:r>
    </w:p>
    <w:p w14:paraId="66B773E0">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该项目成果已在</w:t>
      </w:r>
      <w:r>
        <w:rPr>
          <w:rFonts w:hint="eastAsia" w:asciiTheme="minorEastAsia" w:hAnsiTheme="minorEastAsia" w:cstheme="minorEastAsia"/>
          <w:sz w:val="24"/>
          <w:szCs w:val="24"/>
          <w:lang w:val="en-US" w:eastAsia="zh-CN"/>
        </w:rPr>
        <w:t>浙江</w:t>
      </w:r>
      <w:r>
        <w:rPr>
          <w:rFonts w:hint="eastAsia" w:asciiTheme="minorEastAsia" w:hAnsiTheme="minorEastAsia" w:eastAsiaTheme="minorEastAsia" w:cstheme="minorEastAsia"/>
          <w:sz w:val="24"/>
          <w:szCs w:val="24"/>
        </w:rPr>
        <w:t>地质灾害监测预警和群测群防中得到实际应用，优</w:t>
      </w:r>
      <w:r>
        <w:rPr>
          <w:rFonts w:hint="eastAsia" w:asciiTheme="minorEastAsia" w:hAnsiTheme="minorEastAsia" w:eastAsiaTheme="minorEastAsia" w:cstheme="minorEastAsia"/>
          <w:sz w:val="24"/>
          <w:szCs w:val="24"/>
          <w:lang w:eastAsia="zh-CN"/>
        </w:rPr>
        <w:t>化了</w:t>
      </w:r>
      <w:r>
        <w:rPr>
          <w:rFonts w:hint="eastAsia" w:asciiTheme="minorEastAsia" w:hAnsiTheme="minorEastAsia" w:eastAsiaTheme="minorEastAsia" w:cstheme="minorEastAsia"/>
          <w:sz w:val="24"/>
          <w:szCs w:val="24"/>
        </w:rPr>
        <w:t>地质灾害监测预警模型，提升了模型结果的精准度。使用单位反馈良好，具有推广应用前景。</w:t>
      </w:r>
    </w:p>
    <w:p w14:paraId="4F27A901">
      <w:pPr>
        <w:keepNext w:val="0"/>
        <w:keepLines w:val="0"/>
        <w:pageBreakBefore w:val="0"/>
        <w:widowControl w:val="0"/>
        <w:numPr>
          <w:ilvl w:val="255"/>
          <w:numId w:val="0"/>
        </w:numPr>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楷体" w:cs="Times New Roman"/>
          <w:strike/>
          <w:sz w:val="24"/>
          <w:szCs w:val="24"/>
          <w:lang w:val="en-US" w:eastAsia="zh-CN"/>
        </w:rPr>
      </w:pPr>
      <w:r>
        <w:rPr>
          <w:rFonts w:hint="eastAsia" w:asciiTheme="minorEastAsia" w:hAnsiTheme="minorEastAsia" w:eastAsiaTheme="minorEastAsia" w:cstheme="minorEastAsia"/>
          <w:sz w:val="24"/>
          <w:szCs w:val="24"/>
        </w:rPr>
        <w:t>该项目充分体现了GIS新技术与地质灾害业务的融合，提高了地质灾害监测预警水平。</w:t>
      </w:r>
      <w:r>
        <w:rPr>
          <w:rFonts w:hint="eastAsia" w:asciiTheme="minorEastAsia" w:hAnsiTheme="minorEastAsia" w:eastAsiaTheme="minorEastAsia" w:cstheme="minorEastAsia"/>
          <w:b/>
          <w:bCs/>
          <w:sz w:val="24"/>
          <w:szCs w:val="24"/>
        </w:rPr>
        <w:t>项目成果总体上达到国内行业领先水平</w:t>
      </w:r>
      <w:r>
        <w:rPr>
          <w:rFonts w:hint="eastAsia" w:asciiTheme="minorEastAsia" w:hAnsiTheme="minorEastAsia" w:eastAsiaTheme="minorEastAsia" w:cstheme="minorEastAsia"/>
          <w:sz w:val="24"/>
          <w:szCs w:val="24"/>
        </w:rPr>
        <w:t>。同意通过验收。</w:t>
      </w:r>
    </w:p>
    <w:p w14:paraId="2F1AD113">
      <w:pPr>
        <w:keepNext w:val="0"/>
        <w:keepLines w:val="0"/>
        <w:pageBreakBefore w:val="0"/>
        <w:widowControl w:val="0"/>
        <w:numPr>
          <w:ilvl w:val="255"/>
          <w:numId w:val="0"/>
        </w:numPr>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（三）科技查新</w:t>
      </w:r>
    </w:p>
    <w:p w14:paraId="5EF3E70D">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eastAsia" w:ascii="宋体" w:hAnsi="宋体" w:eastAsia="宋体" w:cs="宋体"/>
          <w:strike/>
          <w:sz w:val="24"/>
          <w:szCs w:val="24"/>
        </w:rPr>
      </w:pPr>
      <w:r>
        <w:rPr>
          <w:rFonts w:hint="eastAsia" w:ascii="宋体" w:hAnsi="宋体" w:eastAsia="宋体" w:cs="宋体"/>
          <w:b/>
          <w:bCs/>
          <w:sz w:val="24"/>
          <w:szCs w:val="24"/>
          <w:lang w:val="en-US" w:eastAsia="zh-CN"/>
        </w:rPr>
        <w:t>科技</w:t>
      </w:r>
      <w:r>
        <w:rPr>
          <w:rFonts w:hint="eastAsia" w:ascii="宋体" w:hAnsi="宋体" w:eastAsia="宋体" w:cs="宋体"/>
          <w:b/>
          <w:bCs/>
          <w:sz w:val="24"/>
          <w:szCs w:val="24"/>
        </w:rPr>
        <w:t>查新报告（202633B2110653</w:t>
      </w: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w:t>
      </w:r>
      <w:r>
        <w:rPr>
          <w:rFonts w:hint="eastAsia" w:ascii="宋体" w:hAnsi="宋体" w:eastAsia="宋体" w:cs="宋体"/>
          <w:sz w:val="24"/>
          <w:szCs w:val="24"/>
        </w:rPr>
        <w:t>：</w:t>
      </w:r>
      <w:r>
        <w:rPr>
          <w:rFonts w:hint="eastAsia" w:ascii="宋体" w:hAnsi="宋体" w:eastAsia="宋体" w:cs="宋体"/>
          <w:sz w:val="24"/>
          <w:szCs w:val="24"/>
          <w:lang w:val="en-US" w:eastAsia="zh-CN"/>
        </w:rPr>
        <w:t>本项目所研发的“基于四维特征映射的地质灾害易发性空间预测方法”“融合跨域特征学习的承灾体智能识别方法”“考虑地形邻域</w:t>
      </w:r>
      <w:r>
        <w:rPr>
          <w:rFonts w:hint="eastAsia" w:ascii="宋体" w:hAnsi="宋体" w:cs="宋体"/>
          <w:sz w:val="24"/>
          <w:szCs w:val="24"/>
          <w:lang w:val="en-US" w:eastAsia="zh-CN"/>
        </w:rPr>
        <w:t>效应</w:t>
      </w:r>
      <w:r>
        <w:rPr>
          <w:rFonts w:hint="eastAsia" w:ascii="宋体" w:hAnsi="宋体" w:eastAsia="宋体" w:cs="宋体"/>
          <w:sz w:val="24"/>
          <w:szCs w:val="24"/>
          <w:lang w:val="en-US" w:eastAsia="zh-CN"/>
        </w:rPr>
        <w:t>的地质灾害风险精准评估方法”“基于多源时空数据融合的孕灾环境与台风</w:t>
      </w:r>
      <w:r>
        <w:rPr>
          <w:rFonts w:hint="eastAsia" w:ascii="宋体" w:hAnsi="宋体" w:cs="宋体"/>
          <w:sz w:val="24"/>
          <w:szCs w:val="24"/>
          <w:lang w:val="en-US" w:eastAsia="zh-CN"/>
        </w:rPr>
        <w:t>暴雨</w:t>
      </w:r>
      <w:r>
        <w:rPr>
          <w:rFonts w:hint="eastAsia" w:ascii="宋体" w:hAnsi="宋体" w:eastAsia="宋体" w:cs="宋体"/>
          <w:sz w:val="24"/>
          <w:szCs w:val="24"/>
          <w:lang w:val="en-US" w:eastAsia="zh-CN"/>
        </w:rPr>
        <w:t>动态耦合方法”“小尺度分钟级精细短临预报预警技术”“融合时序化风险评估和短临预警的地质灾害</w:t>
      </w:r>
      <w:r>
        <w:rPr>
          <w:rFonts w:hint="eastAsia" w:ascii="宋体" w:hAnsi="宋体" w:cs="宋体"/>
          <w:sz w:val="24"/>
          <w:szCs w:val="24"/>
          <w:lang w:val="en-US" w:eastAsia="zh-CN"/>
        </w:rPr>
        <w:t>时空智能</w:t>
      </w:r>
      <w:r>
        <w:rPr>
          <w:rFonts w:hint="eastAsia" w:ascii="宋体" w:hAnsi="宋体" w:eastAsia="宋体" w:cs="宋体"/>
          <w:sz w:val="24"/>
          <w:szCs w:val="24"/>
          <w:lang w:val="en-US" w:eastAsia="zh-CN"/>
        </w:rPr>
        <w:t>体”及“</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风险评估－研判分析－短临预警－协同处置</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全链条数智化协同管控平台”等核心内容，</w:t>
      </w:r>
      <w:r>
        <w:rPr>
          <w:rFonts w:hint="eastAsia" w:ascii="宋体" w:hAnsi="宋体" w:eastAsia="宋体" w:cs="宋体"/>
          <w:b/>
          <w:bCs/>
          <w:sz w:val="24"/>
          <w:szCs w:val="24"/>
          <w:lang w:val="en-US" w:eastAsia="zh-CN"/>
        </w:rPr>
        <w:t>在所检国内外相关文献中均未见具体述及</w:t>
      </w:r>
      <w:r>
        <w:rPr>
          <w:rFonts w:hint="eastAsia" w:ascii="宋体" w:hAnsi="宋体" w:eastAsia="宋体" w:cs="宋体"/>
          <w:sz w:val="24"/>
          <w:szCs w:val="24"/>
          <w:lang w:val="en-US" w:eastAsia="zh-CN"/>
        </w:rPr>
        <w:t>。</w:t>
      </w:r>
    </w:p>
    <w:p w14:paraId="39C66C0D">
      <w:pPr>
        <w:widowControl/>
        <w:spacing w:line="360" w:lineRule="exact"/>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四）质量检验报告</w:t>
      </w:r>
    </w:p>
    <w:p w14:paraId="086CAAE7">
      <w:pPr>
        <w:widowControl/>
        <w:spacing w:line="360" w:lineRule="exact"/>
        <w:ind w:firstLine="482" w:firstLineChars="200"/>
        <w:jc w:val="left"/>
        <w:rPr>
          <w:rFonts w:hint="eastAsia" w:ascii="宋体" w:hAnsi="宋体" w:eastAsia="宋体" w:cs="宋体"/>
          <w:sz w:val="24"/>
          <w:szCs w:val="24"/>
          <w:vertAlign w:val="baseline"/>
        </w:rPr>
      </w:pPr>
      <w:r>
        <w:rPr>
          <w:rFonts w:hint="eastAsia" w:ascii="宋体" w:hAnsi="宋体" w:eastAsia="宋体" w:cs="宋体"/>
          <w:b/>
          <w:bCs/>
          <w:sz w:val="24"/>
          <w:szCs w:val="24"/>
          <w:lang w:val="en-US" w:eastAsia="zh-CN"/>
        </w:rPr>
        <w:t>质量检验报告（</w:t>
      </w:r>
      <w:r>
        <w:rPr>
          <w:rFonts w:hint="eastAsia" w:ascii="宋体" w:hAnsi="宋体" w:eastAsia="宋体" w:cs="宋体"/>
          <w:b/>
          <w:bCs/>
          <w:sz w:val="24"/>
          <w:szCs w:val="24"/>
        </w:rPr>
        <w:t>浙测质检</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2025</w:t>
      </w:r>
      <w:r>
        <w:rPr>
          <w:rFonts w:hint="eastAsia" w:ascii="宋体" w:hAnsi="宋体" w:eastAsia="宋体" w:cs="宋体"/>
          <w:b/>
          <w:bCs/>
          <w:sz w:val="24"/>
          <w:szCs w:val="24"/>
          <w:lang w:eastAsia="zh-CN"/>
        </w:rPr>
        <w:t>）</w:t>
      </w:r>
      <w:r>
        <w:rPr>
          <w:rFonts w:hint="eastAsia" w:ascii="宋体" w:hAnsi="宋体" w:eastAsia="宋体" w:cs="宋体"/>
          <w:b/>
          <w:bCs/>
          <w:sz w:val="24"/>
          <w:szCs w:val="24"/>
        </w:rPr>
        <w:t>第</w:t>
      </w:r>
      <w:r>
        <w:rPr>
          <w:rFonts w:hint="eastAsia" w:ascii="宋体" w:hAnsi="宋体" w:eastAsia="宋体" w:cs="宋体"/>
          <w:b/>
          <w:bCs/>
          <w:sz w:val="24"/>
          <w:szCs w:val="24"/>
          <w:lang w:eastAsia="zh-CN"/>
        </w:rPr>
        <w:t>（</w:t>
      </w:r>
      <w:r>
        <w:rPr>
          <w:rFonts w:hint="eastAsia" w:ascii="宋体" w:hAnsi="宋体" w:eastAsia="宋体" w:cs="宋体"/>
          <w:b/>
          <w:bCs/>
          <w:sz w:val="24"/>
          <w:szCs w:val="24"/>
        </w:rPr>
        <w:t>GC57</w:t>
      </w:r>
      <w:r>
        <w:rPr>
          <w:rFonts w:hint="eastAsia" w:ascii="宋体" w:hAnsi="宋体" w:eastAsia="宋体" w:cs="宋体"/>
          <w:b/>
          <w:bCs/>
          <w:sz w:val="24"/>
          <w:szCs w:val="24"/>
          <w:lang w:eastAsia="zh-CN"/>
        </w:rPr>
        <w:t>）</w:t>
      </w:r>
      <w:r>
        <w:rPr>
          <w:rFonts w:hint="eastAsia" w:ascii="宋体" w:hAnsi="宋体" w:eastAsia="宋体" w:cs="宋体"/>
          <w:b/>
          <w:bCs/>
          <w:sz w:val="24"/>
          <w:szCs w:val="24"/>
        </w:rPr>
        <w:t>号</w:t>
      </w:r>
      <w:r>
        <w:rPr>
          <w:rFonts w:hint="eastAsia" w:ascii="宋体" w:hAnsi="宋体" w:eastAsia="宋体" w:cs="宋体"/>
          <w:b/>
          <w:bCs/>
          <w:sz w:val="24"/>
          <w:szCs w:val="24"/>
          <w:lang w:val="en-US" w:eastAsia="zh-CN"/>
        </w:rPr>
        <w:t>）</w:t>
      </w:r>
      <w:r>
        <w:rPr>
          <w:rFonts w:hint="eastAsia" w:ascii="宋体" w:hAnsi="宋体" w:eastAsia="宋体" w:cs="宋体"/>
          <w:b/>
          <w:bCs/>
          <w:sz w:val="24"/>
          <w:szCs w:val="24"/>
          <w:lang w:eastAsia="zh-CN"/>
        </w:rPr>
        <w:t>：</w:t>
      </w:r>
      <w:r>
        <w:rPr>
          <w:rFonts w:hint="eastAsia" w:ascii="宋体" w:hAnsi="宋体" w:eastAsia="宋体" w:cs="宋体"/>
          <w:b w:val="0"/>
          <w:bCs w:val="0"/>
          <w:sz w:val="24"/>
          <w:szCs w:val="24"/>
          <w:lang w:eastAsia="zh-CN"/>
        </w:rPr>
        <w:t>经检验，多时空因素耦合下地质灾害风险评估与短临预警应用项目（数据处理部分）成果质量良，样本质量得分为88.48分；</w:t>
      </w:r>
      <w:r>
        <w:rPr>
          <w:rFonts w:hint="eastAsia" w:ascii="宋体" w:hAnsi="宋体" w:eastAsia="宋体" w:cs="宋体"/>
          <w:b w:val="0"/>
          <w:bCs w:val="0"/>
          <w:sz w:val="24"/>
          <w:szCs w:val="24"/>
          <w:lang w:val="en-US" w:eastAsia="zh-CN"/>
        </w:rPr>
        <w:t>其中</w:t>
      </w:r>
      <w:r>
        <w:rPr>
          <w:rFonts w:hint="eastAsia" w:ascii="宋体" w:hAnsi="宋体" w:eastAsia="宋体" w:cs="宋体"/>
          <w:sz w:val="24"/>
          <w:szCs w:val="24"/>
        </w:rPr>
        <w:t>高分遥感影像中建筑物识别平均准确率≥85.33%，子区划分单元平均面积≤0.1k</w:t>
      </w:r>
      <w:r>
        <w:rPr>
          <w:rFonts w:hint="eastAsia" w:ascii="宋体" w:hAnsi="宋体" w:eastAsia="宋体" w:cs="宋体"/>
          <w:sz w:val="24"/>
          <w:szCs w:val="24"/>
          <w:lang w:eastAsia="zh-CN"/>
        </w:rPr>
        <w:t>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vertAlign w:val="baseline"/>
          <w:lang w:val="en-US" w:eastAsia="zh-CN"/>
        </w:rPr>
        <w:t>。</w:t>
      </w:r>
    </w:p>
    <w:p w14:paraId="72B21C1F">
      <w:pPr>
        <w:keepNext w:val="0"/>
        <w:keepLines w:val="0"/>
        <w:pageBreakBefore w:val="0"/>
        <w:widowControl w:val="0"/>
        <w:numPr>
          <w:ilvl w:val="255"/>
          <w:numId w:val="0"/>
        </w:numPr>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（五）</w:t>
      </w:r>
      <w:r>
        <w:rPr>
          <w:rFonts w:hint="eastAsia" w:ascii="宋体" w:hAnsi="宋体" w:eastAsia="宋体" w:cs="宋体"/>
          <w:b/>
          <w:bCs/>
          <w:sz w:val="24"/>
          <w:szCs w:val="24"/>
          <w:highlight w:val="none"/>
        </w:rPr>
        <w:t>社会</w:t>
      </w:r>
      <w:r>
        <w:rPr>
          <w:rFonts w:hint="eastAsia" w:ascii="宋体" w:hAnsi="宋体" w:eastAsia="宋体" w:cs="宋体"/>
          <w:b/>
          <w:bCs/>
          <w:sz w:val="24"/>
          <w:szCs w:val="24"/>
          <w:highlight w:val="none"/>
          <w:lang w:val="en-US" w:eastAsia="zh-CN"/>
        </w:rPr>
        <w:t>效益</w:t>
      </w:r>
      <w:r>
        <w:rPr>
          <w:rFonts w:hint="eastAsia" w:ascii="宋体" w:hAnsi="宋体" w:eastAsia="宋体" w:cs="宋体"/>
          <w:b/>
          <w:bCs/>
          <w:sz w:val="24"/>
          <w:szCs w:val="24"/>
          <w:highlight w:val="none"/>
        </w:rPr>
        <w:t>评价</w:t>
      </w:r>
    </w:p>
    <w:p w14:paraId="42B7BD75">
      <w:pPr>
        <w:keepNext w:val="0"/>
        <w:keepLines w:val="0"/>
        <w:pageBreakBefore w:val="0"/>
        <w:kinsoku/>
        <w:wordWrap/>
        <w:overflowPunct/>
        <w:topLinePunct w:val="0"/>
        <w:autoSpaceDE/>
        <w:autoSpaceDN/>
        <w:bidi w:val="0"/>
        <w:adjustRightInd/>
        <w:snapToGrid/>
        <w:spacing w:line="360" w:lineRule="exact"/>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b/>
          <w:bCs/>
          <w:sz w:val="24"/>
          <w:szCs w:val="24"/>
        </w:rPr>
        <w:t>用户</w:t>
      </w:r>
      <w:r>
        <w:rPr>
          <w:rFonts w:hint="eastAsia" w:ascii="宋体" w:hAnsi="宋体" w:eastAsia="宋体" w:cs="宋体"/>
          <w:b/>
          <w:bCs/>
          <w:sz w:val="24"/>
          <w:szCs w:val="24"/>
          <w:lang w:val="en-US" w:eastAsia="zh-CN"/>
        </w:rPr>
        <w:t>应用反馈</w:t>
      </w:r>
      <w:r>
        <w:rPr>
          <w:rFonts w:hint="eastAsia" w:ascii="宋体" w:hAnsi="宋体" w:eastAsia="宋体" w:cs="宋体"/>
          <w:sz w:val="24"/>
          <w:szCs w:val="24"/>
        </w:rPr>
        <w:t>：</w:t>
      </w:r>
      <w:r>
        <w:rPr>
          <w:rFonts w:hint="eastAsia" w:ascii="宋体" w:hAnsi="宋体" w:eastAsia="宋体" w:cs="宋体"/>
          <w:sz w:val="24"/>
          <w:szCs w:val="24"/>
          <w:lang w:val="en-US" w:eastAsia="zh-CN"/>
        </w:rPr>
        <w:t>成果已在浙江省全域及福建省北部深入应用，覆盖省、市、县三级自然资源、应急、气象等管理部门及基层单位、行业企业等。各类用户反馈表明，项目成果在地质灾害风险评价准确性、预警精度、响应效率和区域适应性等方面优势明显，为东南沿海丘陵区地质灾害预警提供了关键技术支撑。</w:t>
      </w:r>
    </w:p>
    <w:p w14:paraId="708B440A">
      <w:pPr>
        <w:keepNext w:val="0"/>
        <w:keepLines w:val="0"/>
        <w:pageBreakBefore w:val="0"/>
        <w:kinsoku/>
        <w:wordWrap/>
        <w:overflowPunct/>
        <w:topLinePunct w:val="0"/>
        <w:autoSpaceDE/>
        <w:autoSpaceDN/>
        <w:bidi w:val="0"/>
        <w:adjustRightInd/>
        <w:snapToGrid/>
        <w:spacing w:line="360" w:lineRule="exact"/>
        <w:ind w:firstLine="480"/>
        <w:textAlignment w:val="auto"/>
        <w:rPr>
          <w:rFonts w:hint="eastAsia" w:ascii="宋体" w:hAnsi="宋体" w:eastAsia="宋体" w:cs="宋体"/>
          <w:color w:val="auto"/>
          <w:sz w:val="24"/>
          <w:szCs w:val="24"/>
          <w:highlight w:val="none"/>
          <w:lang w:val="en-US"/>
        </w:rPr>
      </w:pPr>
      <w:r>
        <w:rPr>
          <w:rFonts w:hint="eastAsia" w:ascii="宋体" w:hAnsi="宋体" w:eastAsia="宋体" w:cs="宋体"/>
          <w:sz w:val="24"/>
          <w:szCs w:val="24"/>
        </w:rPr>
        <w:t>（2）</w:t>
      </w:r>
      <w:r>
        <w:rPr>
          <w:rFonts w:hint="eastAsia" w:ascii="宋体" w:hAnsi="宋体" w:eastAsia="宋体" w:cs="宋体"/>
          <w:b/>
          <w:bCs/>
          <w:sz w:val="24"/>
          <w:szCs w:val="24"/>
          <w:lang w:val="en-US" w:eastAsia="zh-CN"/>
        </w:rPr>
        <w:t>省级防灾成效</w:t>
      </w:r>
      <w:r>
        <w:rPr>
          <w:rFonts w:hint="eastAsia" w:ascii="宋体" w:hAnsi="宋体" w:eastAsia="宋体" w:cs="宋体"/>
          <w:sz w:val="24"/>
          <w:szCs w:val="24"/>
        </w:rPr>
        <w:t>：</w:t>
      </w:r>
      <w:r>
        <w:rPr>
          <w:rFonts w:hint="eastAsia" w:ascii="宋体" w:hAnsi="宋体" w:eastAsia="宋体" w:cs="宋体"/>
          <w:sz w:val="24"/>
          <w:szCs w:val="24"/>
          <w:highlight w:val="none"/>
          <w:lang w:val="en-US" w:eastAsia="zh-CN"/>
        </w:rPr>
        <w:t>据浙江省自然资源厅统计</w:t>
      </w:r>
      <w:r>
        <w:rPr>
          <w:rFonts w:hint="eastAsia" w:ascii="宋体" w:hAnsi="宋体" w:eastAsia="宋体" w:cs="宋体"/>
          <w:sz w:val="24"/>
          <w:szCs w:val="24"/>
          <w:lang w:val="en-US" w:eastAsia="zh-CN"/>
        </w:rPr>
        <w:t>，2022-2024年，依托本成果实现地质灾害成功预警避险</w:t>
      </w:r>
      <w:r>
        <w:rPr>
          <w:rFonts w:hint="eastAsia" w:ascii="宋体" w:hAnsi="宋体" w:eastAsia="宋体" w:cs="宋体"/>
          <w:b/>
          <w:bCs/>
          <w:sz w:val="24"/>
          <w:szCs w:val="24"/>
          <w:lang w:val="en-US" w:eastAsia="zh-CN"/>
        </w:rPr>
        <w:t>80余起</w:t>
      </w:r>
      <w:r>
        <w:rPr>
          <w:rFonts w:hint="eastAsia" w:ascii="宋体" w:hAnsi="宋体" w:eastAsia="宋体" w:cs="宋体"/>
          <w:sz w:val="24"/>
          <w:szCs w:val="24"/>
          <w:lang w:val="en-US" w:eastAsia="zh-CN"/>
        </w:rPr>
        <w:t>，避免可能人员伤亡</w:t>
      </w:r>
      <w:r>
        <w:rPr>
          <w:rFonts w:hint="eastAsia" w:ascii="宋体" w:hAnsi="宋体" w:eastAsia="宋体" w:cs="宋体"/>
          <w:b/>
          <w:bCs/>
          <w:sz w:val="24"/>
          <w:szCs w:val="24"/>
          <w:lang w:val="en-US" w:eastAsia="zh-CN"/>
        </w:rPr>
        <w:t>500余人</w:t>
      </w:r>
      <w:r>
        <w:rPr>
          <w:rFonts w:hint="eastAsia" w:ascii="宋体" w:hAnsi="宋体" w:eastAsia="宋体" w:cs="宋体"/>
          <w:sz w:val="24"/>
          <w:szCs w:val="24"/>
          <w:lang w:val="en-US" w:eastAsia="zh-CN"/>
        </w:rPr>
        <w:t>，减少经济损失</w:t>
      </w:r>
      <w:r>
        <w:rPr>
          <w:rFonts w:hint="eastAsia" w:ascii="宋体" w:hAnsi="宋体" w:eastAsia="宋体" w:cs="宋体"/>
          <w:b/>
          <w:bCs/>
          <w:sz w:val="24"/>
          <w:szCs w:val="24"/>
          <w:lang w:val="en-US" w:eastAsia="zh-CN"/>
        </w:rPr>
        <w:t>超13亿元</w:t>
      </w:r>
      <w:r>
        <w:rPr>
          <w:rFonts w:hint="eastAsia" w:ascii="宋体" w:hAnsi="宋体" w:eastAsia="宋体" w:cs="宋体"/>
          <w:sz w:val="24"/>
          <w:szCs w:val="24"/>
          <w:lang w:val="en-US" w:eastAsia="zh-CN"/>
        </w:rPr>
        <w:t>，防灾减灾成效显著</w:t>
      </w:r>
      <w:r>
        <w:rPr>
          <w:rFonts w:hint="eastAsia" w:ascii="宋体" w:hAnsi="宋体" w:eastAsia="宋体" w:cs="宋体"/>
          <w:color w:val="auto"/>
          <w:sz w:val="24"/>
          <w:szCs w:val="24"/>
          <w:highlight w:val="none"/>
        </w:rPr>
        <w:t>。</w:t>
      </w:r>
    </w:p>
    <w:p w14:paraId="2F7EB4D3">
      <w:pPr>
        <w:keepNext w:val="0"/>
        <w:keepLines w:val="0"/>
        <w:pageBreakBefore w:val="0"/>
        <w:kinsoku/>
        <w:wordWrap/>
        <w:overflowPunct/>
        <w:topLinePunct w:val="0"/>
        <w:autoSpaceDE/>
        <w:autoSpaceDN/>
        <w:bidi w:val="0"/>
        <w:adjustRightInd/>
        <w:snapToGrid/>
        <w:spacing w:line="360" w:lineRule="exact"/>
        <w:ind w:firstLine="480"/>
        <w:textAlignment w:val="auto"/>
        <w:rPr>
          <w:rFonts w:hint="eastAsia" w:ascii="宋体" w:hAnsi="宋体" w:eastAsia="宋体" w:cs="宋体"/>
          <w:sz w:val="24"/>
          <w:szCs w:val="24"/>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eastAsia" w:ascii="宋体" w:hAnsi="宋体" w:eastAsia="宋体" w:cs="宋体"/>
          <w:b/>
          <w:bCs/>
          <w:sz w:val="24"/>
          <w:szCs w:val="24"/>
          <w:highlight w:val="none"/>
          <w:lang w:val="en-US" w:eastAsia="zh-CN"/>
        </w:rPr>
        <w:t>国家部委推广</w:t>
      </w:r>
      <w:r>
        <w:rPr>
          <w:rFonts w:hint="eastAsia" w:ascii="宋体" w:hAnsi="宋体" w:eastAsia="宋体" w:cs="宋体"/>
          <w:sz w:val="24"/>
          <w:szCs w:val="24"/>
          <w:highlight w:val="none"/>
          <w:lang w:val="en-US" w:eastAsia="zh-CN"/>
        </w:rPr>
        <w:t>：2022-2024年间，浙江省累计31起预警成功避险典型案例获自然资源部向全国推广供各地学习借鉴，如2023年苍南“7·26”大坪村滑坡、2024年平阳“6·17”荆溪村滑坡等，充分体现了成果的先进性、实用性和可靠性。</w:t>
      </w:r>
    </w:p>
    <w:p w14:paraId="566EC412">
      <w:pPr>
        <w:numPr>
          <w:ilvl w:val="255"/>
          <w:numId w:val="0"/>
        </w:numPr>
        <w:spacing w:line="360" w:lineRule="exact"/>
        <w:ind w:firstLine="482"/>
        <w:rPr>
          <w:rFonts w:hint="eastAsia" w:ascii="宋体" w:hAnsi="宋体" w:eastAsia="宋体" w:cs="宋体"/>
          <w:b w:val="0"/>
          <w:bCs w:val="0"/>
          <w:strike w:val="0"/>
          <w:sz w:val="24"/>
          <w:szCs w:val="24"/>
          <w:lang w:val="en-US" w:eastAsia="zh-CN"/>
        </w:rPr>
      </w:pPr>
      <w:r>
        <w:rPr>
          <w:rFonts w:hint="eastAsia" w:ascii="宋体" w:hAnsi="宋体" w:eastAsia="宋体" w:cs="宋体"/>
          <w:b w:val="0"/>
          <w:bCs w:val="0"/>
          <w:strike w:val="0"/>
          <w:sz w:val="24"/>
          <w:szCs w:val="24"/>
          <w:lang w:val="en-US" w:eastAsia="zh-CN"/>
        </w:rPr>
        <w:t>（4）</w:t>
      </w:r>
      <w:r>
        <w:rPr>
          <w:rFonts w:hint="eastAsia" w:ascii="宋体" w:hAnsi="宋体" w:eastAsia="宋体" w:cs="宋体"/>
          <w:b/>
          <w:bCs/>
          <w:strike w:val="0"/>
          <w:sz w:val="24"/>
          <w:szCs w:val="24"/>
          <w:lang w:val="en-US" w:eastAsia="zh-CN"/>
        </w:rPr>
        <w:t>国家媒体与政策影响：</w:t>
      </w:r>
      <w:r>
        <w:rPr>
          <w:rFonts w:hint="eastAsia" w:ascii="宋体" w:hAnsi="宋体" w:eastAsia="宋体" w:cs="宋体"/>
          <w:b w:val="0"/>
          <w:bCs w:val="0"/>
          <w:strike w:val="0"/>
          <w:sz w:val="24"/>
          <w:szCs w:val="24"/>
          <w:lang w:val="en-US" w:eastAsia="zh-CN"/>
        </w:rPr>
        <w:t>本项目核心成果“地灾预警码”作为</w:t>
      </w:r>
      <w:r>
        <w:rPr>
          <w:rFonts w:hint="eastAsia" w:ascii="宋体" w:hAnsi="宋体" w:eastAsia="宋体" w:cs="宋体"/>
          <w:b/>
          <w:bCs/>
          <w:strike w:val="0"/>
          <w:sz w:val="24"/>
          <w:szCs w:val="24"/>
          <w:lang w:val="en-US" w:eastAsia="zh-CN"/>
        </w:rPr>
        <w:t>全国首创</w:t>
      </w:r>
      <w:r>
        <w:rPr>
          <w:rFonts w:hint="eastAsia" w:ascii="宋体" w:hAnsi="宋体" w:eastAsia="宋体" w:cs="宋体"/>
          <w:b w:val="0"/>
          <w:bCs w:val="0"/>
          <w:strike w:val="0"/>
          <w:sz w:val="24"/>
          <w:szCs w:val="24"/>
          <w:lang w:val="en-US" w:eastAsia="zh-CN"/>
        </w:rPr>
        <w:t>的地质灾害预警领域公共服务产品，获</w:t>
      </w:r>
      <w:r>
        <w:rPr>
          <w:rFonts w:hint="eastAsia" w:ascii="宋体" w:hAnsi="宋体" w:eastAsia="宋体" w:cs="宋体"/>
          <w:b/>
          <w:bCs/>
          <w:strike w:val="0"/>
          <w:sz w:val="24"/>
          <w:szCs w:val="24"/>
          <w:lang w:val="en-US" w:eastAsia="zh-CN"/>
        </w:rPr>
        <w:t>学习强国、自然资源报</w:t>
      </w:r>
      <w:r>
        <w:rPr>
          <w:rFonts w:hint="eastAsia" w:ascii="宋体" w:hAnsi="宋体" w:eastAsia="宋体" w:cs="宋体"/>
          <w:b w:val="0"/>
          <w:bCs w:val="0"/>
          <w:strike w:val="0"/>
          <w:sz w:val="24"/>
          <w:szCs w:val="24"/>
          <w:lang w:val="en-US" w:eastAsia="zh-CN"/>
        </w:rPr>
        <w:t>等多家主流媒体专题报道。2022-2024年间，</w:t>
      </w:r>
      <w:r>
        <w:rPr>
          <w:rFonts w:hint="eastAsia" w:ascii="宋体" w:hAnsi="宋体" w:eastAsia="宋体" w:cs="宋体"/>
          <w:b/>
          <w:bCs/>
          <w:strike w:val="0"/>
          <w:sz w:val="24"/>
          <w:szCs w:val="24"/>
          <w:lang w:val="en-US" w:eastAsia="zh-CN"/>
        </w:rPr>
        <w:t>成果应用多次被纳入浙江省政务信息专报和自然资源部办公厅印发的典型案例通知，</w:t>
      </w:r>
      <w:r>
        <w:rPr>
          <w:rFonts w:hint="eastAsia" w:ascii="宋体" w:hAnsi="宋体" w:eastAsia="宋体" w:cs="宋体"/>
          <w:b w:val="0"/>
          <w:bCs w:val="0"/>
          <w:strike w:val="0"/>
          <w:sz w:val="24"/>
          <w:szCs w:val="24"/>
          <w:lang w:val="en-US" w:eastAsia="zh-CN"/>
        </w:rPr>
        <w:t>标志着该成果已在政策层面和实践层面形成全国示范效应，为全国地质灾害防治工作提供了重要借鉴。</w:t>
      </w:r>
    </w:p>
    <w:p w14:paraId="39AF9A2B">
      <w:pPr>
        <w:jc w:val="center"/>
        <w:rPr>
          <w:rFonts w:hint="default" w:ascii="Times New Roman" w:hAnsi="Times New Roman" w:eastAsia="黑体" w:cs="Times New Roman"/>
          <w:b/>
          <w:bCs/>
          <w:sz w:val="32"/>
        </w:rPr>
        <w:sectPr>
          <w:pgSz w:w="11906" w:h="16838"/>
          <w:pgMar w:top="1440" w:right="1417" w:bottom="1440" w:left="1417"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26F617E">
      <w:pPr>
        <w:pStyle w:val="10"/>
        <w:spacing w:before="50"/>
        <w:ind w:left="725" w:right="742"/>
        <w:jc w:val="center"/>
        <w:rPr>
          <w:rFonts w:ascii="黑体" w:eastAsia="黑体"/>
        </w:rPr>
      </w:pPr>
      <w:r>
        <w:rPr>
          <w:rFonts w:hint="eastAsia" w:ascii="黑体" w:eastAsia="黑体"/>
        </w:rPr>
        <w:t>五、主要知识产权和标准规范等目录</w:t>
      </w:r>
    </w:p>
    <w:tbl>
      <w:tblPr>
        <w:tblStyle w:val="7"/>
        <w:tblW w:w="1021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0" w:type="dxa"/>
          <w:left w:w="108" w:type="dxa"/>
          <w:bottom w:w="0" w:type="dxa"/>
          <w:right w:w="108" w:type="dxa"/>
        </w:tblCellMar>
      </w:tblPr>
      <w:tblGrid>
        <w:gridCol w:w="1005"/>
        <w:gridCol w:w="1336"/>
        <w:gridCol w:w="677"/>
        <w:gridCol w:w="1246"/>
        <w:gridCol w:w="1385"/>
        <w:gridCol w:w="1077"/>
        <w:gridCol w:w="1311"/>
        <w:gridCol w:w="1139"/>
        <w:gridCol w:w="1042"/>
      </w:tblGrid>
      <w:tr w14:paraId="2945DC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799"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6546DE07">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知识产权（标准）类别</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58841070">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知识产权（标准）具体名称</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70CF1001">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国家（地区）</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0592B3B2">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授权号（标准编号）</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2A7B474E">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授权（标准发布）日期</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12196D81">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证书编号（标准批准发布部门）</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22332EE8">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权利人（标准起草单位）</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46F66272">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发明人（标准起草人）</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5A086242">
            <w:pPr>
              <w:pStyle w:val="3"/>
              <w:spacing w:line="240" w:lineRule="auto"/>
              <w:ind w:left="0" w:firstLine="0" w:firstLineChars="0"/>
              <w:jc w:val="center"/>
              <w:rPr>
                <w:rFonts w:hint="eastAsia" w:ascii="宋体" w:hAnsi="Calibri" w:eastAsia="宋体" w:cs="宋体"/>
                <w:b/>
                <w:bCs w:val="0"/>
                <w:color w:val="000000"/>
                <w:sz w:val="21"/>
                <w:szCs w:val="21"/>
                <w:lang w:val="en-US"/>
              </w:rPr>
            </w:pPr>
            <w:r>
              <w:rPr>
                <w:rFonts w:hint="eastAsia" w:ascii="宋体" w:hAnsi="Calibri" w:eastAsia="宋体" w:cs="宋体"/>
                <w:b/>
                <w:bCs w:val="0"/>
                <w:color w:val="000000"/>
                <w:sz w:val="21"/>
                <w:szCs w:val="21"/>
              </w:rPr>
              <w:t>发明专利（标准）有效状态</w:t>
            </w:r>
          </w:p>
        </w:tc>
      </w:tr>
      <w:tr w14:paraId="1D320B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404932C8">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37636FA5">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一种多源数据融合的地质灾害预警系统</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21E34420">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06796F25">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2026 1 0222159.0</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148B92EC">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2026-06-05</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7BAABE75">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第8995292号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5D6EC0CF">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浙江城安大数据有限公司、浙江省测绘科学技术研究院、浙江大学</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4ECE6097">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徐刚</w:t>
            </w:r>
            <w:r>
              <w:rPr>
                <w:rFonts w:hint="eastAsia" w:ascii="宋体" w:cs="宋体"/>
                <w:color w:val="000000"/>
                <w:sz w:val="20"/>
                <w:szCs w:val="20"/>
                <w:lang w:val="en-US" w:eastAsia="zh-CN"/>
              </w:rPr>
              <w:t>、</w:t>
            </w:r>
            <w:r>
              <w:rPr>
                <w:rFonts w:hint="eastAsia" w:ascii="宋体" w:hAnsi="Calibri" w:eastAsia="宋体" w:cs="宋体"/>
                <w:color w:val="000000"/>
                <w:sz w:val="20"/>
                <w:szCs w:val="20"/>
                <w:lang w:val="en-US"/>
              </w:rPr>
              <w:t>金利强</w:t>
            </w:r>
            <w:r>
              <w:rPr>
                <w:rFonts w:hint="eastAsia" w:ascii="宋体" w:cs="宋体"/>
                <w:color w:val="000000"/>
                <w:sz w:val="20"/>
                <w:szCs w:val="20"/>
                <w:lang w:val="en-US" w:eastAsia="zh-CN"/>
              </w:rPr>
              <w:t>、</w:t>
            </w:r>
            <w:r>
              <w:rPr>
                <w:rFonts w:hint="eastAsia" w:ascii="宋体" w:hAnsi="Calibri" w:eastAsia="宋体" w:cs="宋体"/>
                <w:color w:val="000000"/>
                <w:sz w:val="20"/>
                <w:szCs w:val="20"/>
                <w:lang w:val="en-US"/>
              </w:rPr>
              <w:t>张帅</w:t>
            </w:r>
            <w:r>
              <w:rPr>
                <w:rFonts w:hint="eastAsia" w:ascii="宋体" w:cs="宋体"/>
                <w:color w:val="000000"/>
                <w:sz w:val="20"/>
                <w:szCs w:val="20"/>
                <w:lang w:val="en-US" w:eastAsia="zh-CN"/>
              </w:rPr>
              <w:t>、</w:t>
            </w:r>
            <w:r>
              <w:rPr>
                <w:rFonts w:hint="eastAsia" w:ascii="宋体" w:hAnsi="Calibri" w:eastAsia="宋体" w:cs="宋体"/>
                <w:color w:val="000000"/>
                <w:sz w:val="20"/>
                <w:szCs w:val="20"/>
                <w:lang w:val="en-US"/>
              </w:rPr>
              <w:t>杨文敬</w:t>
            </w:r>
            <w:r>
              <w:rPr>
                <w:rFonts w:hint="eastAsia" w:ascii="宋体" w:cs="宋体"/>
                <w:color w:val="000000"/>
                <w:sz w:val="20"/>
                <w:szCs w:val="20"/>
                <w:lang w:val="en-US" w:eastAsia="zh-CN"/>
              </w:rPr>
              <w:t>、</w:t>
            </w:r>
            <w:r>
              <w:rPr>
                <w:rFonts w:hint="eastAsia" w:ascii="宋体" w:hAnsi="Calibri" w:eastAsia="宋体" w:cs="宋体"/>
                <w:color w:val="000000"/>
                <w:sz w:val="20"/>
                <w:szCs w:val="20"/>
                <w:lang w:val="en-US"/>
              </w:rPr>
              <w:t>罗秀锋</w:t>
            </w:r>
            <w:r>
              <w:rPr>
                <w:rFonts w:hint="eastAsia" w:ascii="宋体" w:cs="宋体"/>
                <w:color w:val="000000"/>
                <w:sz w:val="20"/>
                <w:szCs w:val="20"/>
                <w:lang w:val="en-US" w:eastAsia="zh-CN"/>
              </w:rPr>
              <w:t>、</w:t>
            </w:r>
            <w:r>
              <w:rPr>
                <w:rFonts w:hint="eastAsia" w:ascii="宋体" w:hAnsi="Calibri" w:eastAsia="宋体" w:cs="宋体"/>
                <w:color w:val="000000"/>
                <w:sz w:val="20"/>
                <w:szCs w:val="20"/>
                <w:lang w:val="en-US"/>
              </w:rPr>
              <w:t>王云阁</w:t>
            </w:r>
            <w:r>
              <w:rPr>
                <w:rFonts w:hint="eastAsia" w:ascii="宋体" w:cs="宋体"/>
                <w:color w:val="000000"/>
                <w:sz w:val="20"/>
                <w:szCs w:val="20"/>
                <w:lang w:val="en-US" w:eastAsia="zh-CN"/>
              </w:rPr>
              <w:t>、</w:t>
            </w:r>
            <w:r>
              <w:rPr>
                <w:rFonts w:hint="eastAsia" w:ascii="宋体" w:hAnsi="Calibri" w:eastAsia="宋体" w:cs="宋体"/>
                <w:color w:val="000000"/>
                <w:sz w:val="20"/>
                <w:szCs w:val="20"/>
                <w:lang w:val="en-US"/>
              </w:rPr>
              <w:t>刘群</w:t>
            </w:r>
            <w:r>
              <w:rPr>
                <w:rFonts w:hint="eastAsia" w:ascii="宋体" w:cs="宋体"/>
                <w:color w:val="000000"/>
                <w:sz w:val="20"/>
                <w:szCs w:val="20"/>
                <w:lang w:val="en-US" w:eastAsia="zh-CN"/>
              </w:rPr>
              <w:t>、</w:t>
            </w:r>
            <w:r>
              <w:rPr>
                <w:rFonts w:hint="eastAsia" w:ascii="宋体" w:hAnsi="Calibri" w:eastAsia="宋体" w:cs="宋体"/>
                <w:color w:val="000000"/>
                <w:sz w:val="20"/>
                <w:szCs w:val="20"/>
                <w:lang w:val="en-US"/>
              </w:rPr>
              <w:t>郝君</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5258BE99">
            <w:pPr>
              <w:pStyle w:val="3"/>
              <w:spacing w:line="240" w:lineRule="auto"/>
              <w:ind w:left="0" w:leftChars="0" w:right="0" w:rightChars="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5F89DC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6D12C3D2">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763BB7EE">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一种基于元伪标签多尺度图卷积网络的高光谱图像分类方法</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7EB51FB5">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3601E5D3">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2025 1 0004147.6</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011582C4">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2025-03-25</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421748E3">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第7824361号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7E34E2A2">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浙江安防职业技术学院、温州市未来城市研究院、中国地质大学（武汉）</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16E20EF0">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徐海燕、徐刚、吴柯、杨帆、李素怡、占燕婷</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05825794">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4B7EE2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0F6AB69B">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720123CF">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不同地形下邻域影响的地质灾害风险评价方法</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760EDB4C">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520C3319">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2020 1 1449067.5</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2BBD78FE">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2024-07-05</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18D17890">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第7171523号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2A219F6F">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中南大学、浙江安防职业技术学院、浙江城安大数据有限公司</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6D8E41DB">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陈杰、戴欣宜、徐刚、张轶、胡坤霖、章豪、朱安峰、徐海燕、范全龙</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00B7B390">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5507C4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62AA504E">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558F21C7">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一种同时考虑横向流与垂直流的地下水计算方法</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7B7768F5">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6E670701">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2022 1 0510487.2</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2C474851">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2024-09-17</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4794A072">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第7376858号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00B4F84B">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河北工业大学</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53F3ADE0">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郭子正、黄达、何俊、杨玉飞</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23C69965">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5ACE60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76FC0E47">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26C62CA7">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山体滑坡灾害监测预警系统</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08DA3872">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3856EE8A">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2023 1 0452079.0</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66E7023C">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2026-01-02</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7030C09F">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第8614861号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4197F30F">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浙江城安大数据有限公司</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74879966">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章豪、徐刚、徐登财、周明浪、陈温青、卫达、郝君、刘鸿鹄</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5ABA1B36">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0C5E07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0DDCA2B8">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625DA23F">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一种考虑极端降雨与环境变量的台风暴雨滑坡预警方法</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5C0B84A1">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43DFF335">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2023 1 1163511.0</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2D984F38">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2025-07-15</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72209DC7">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第8071211号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52CAEB23">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河北工业大学</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0D54783D">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郭子正、田碧霞、黄达、宋宜祥</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54A4BCDA">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2CE8C7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43C3667E">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21E338D4">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多灾害场景融合可视化应急联动指挥系统</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12981402">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592232CF">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2021 1 0904222.6</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360F1BE1">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2024-02-09</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59659766">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第6696825号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0B9F6057">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浙江安防职业技术学院，浙江城安大数据有限公司</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49DB20DF">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徐刚、戴海东、汪婵婵、陈辉、骆正茂、朱林娜、章豪、徐海燕、朱安峰</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65EEF0BA">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6B0924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4DEF3457">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4BBEFE99">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自然灾害风险监控管理平台</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6A69CBB0">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53503FF5">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2022 1 0284040.8</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5FC069D1">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2024-04-03</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03089F4E">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第6753446号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732744D6">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浙江安防职业技术学院、浙江城安大数据有限公司</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136402EA">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朱安峰、徐刚、章豪、徐海燕、苏宗奎、郝君、范全龙、李洪兵、于靖宇</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23254C21">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50E9DC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67727714">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发明专利</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64879E26">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基于数字孪生技术的城市安全风险管控系统</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2654AC7A">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5D71C71D">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ZL 2019 1 1092036.6</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15379744">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2023-04-07</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5971C675">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证书号 第5856861号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02A737E4">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温州设计集团有限公司，温州市勘察测绘研究院</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0F2FF8BA">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徐刚、章豪、朱安峰、周川、刘同伟、余正、徐海燕、黄小虎、金洁</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0F5F64C3">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r w14:paraId="5291B8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38" w:hRule="atLeast"/>
          <w:jc w:val="center"/>
        </w:trPr>
        <w:tc>
          <w:tcPr>
            <w:tcW w:w="1005" w:type="dxa"/>
            <w:tcBorders>
              <w:top w:val="single" w:color="auto" w:sz="8" w:space="0"/>
              <w:left w:val="single" w:color="auto" w:sz="8" w:space="0"/>
              <w:bottom w:val="single" w:color="auto" w:sz="8" w:space="0"/>
              <w:right w:val="single" w:color="auto" w:sz="8" w:space="0"/>
            </w:tcBorders>
            <w:shd w:val="clear" w:color="auto" w:fill="auto"/>
            <w:vAlign w:val="center"/>
          </w:tcPr>
          <w:p w14:paraId="2C8ABD97">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计算机软件著作权</w:t>
            </w:r>
          </w:p>
        </w:tc>
        <w:tc>
          <w:tcPr>
            <w:tcW w:w="1336" w:type="dxa"/>
            <w:tcBorders>
              <w:top w:val="single" w:color="auto" w:sz="8" w:space="0"/>
              <w:left w:val="single" w:color="auto" w:sz="8" w:space="0"/>
              <w:bottom w:val="single" w:color="auto" w:sz="8" w:space="0"/>
              <w:right w:val="single" w:color="auto" w:sz="8" w:space="0"/>
            </w:tcBorders>
            <w:shd w:val="clear" w:color="auto" w:fill="auto"/>
            <w:vAlign w:val="center"/>
          </w:tcPr>
          <w:p w14:paraId="66771C2F">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地灾码小程序V1.0</w:t>
            </w:r>
          </w:p>
        </w:tc>
        <w:tc>
          <w:tcPr>
            <w:tcW w:w="677" w:type="dxa"/>
            <w:tcBorders>
              <w:top w:val="single" w:color="auto" w:sz="8" w:space="0"/>
              <w:left w:val="single" w:color="auto" w:sz="8" w:space="0"/>
              <w:bottom w:val="single" w:color="auto" w:sz="8" w:space="0"/>
              <w:right w:val="single" w:color="auto" w:sz="8" w:space="0"/>
            </w:tcBorders>
            <w:shd w:val="clear" w:color="auto" w:fill="auto"/>
            <w:vAlign w:val="center"/>
          </w:tcPr>
          <w:p w14:paraId="58DADC6A">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中国</w:t>
            </w:r>
          </w:p>
        </w:tc>
        <w:tc>
          <w:tcPr>
            <w:tcW w:w="1246" w:type="dxa"/>
            <w:tcBorders>
              <w:top w:val="single" w:color="auto" w:sz="8" w:space="0"/>
              <w:left w:val="single" w:color="auto" w:sz="8" w:space="0"/>
              <w:bottom w:val="single" w:color="auto" w:sz="8" w:space="0"/>
              <w:right w:val="single" w:color="auto" w:sz="8" w:space="0"/>
            </w:tcBorders>
            <w:shd w:val="clear" w:color="auto" w:fill="auto"/>
            <w:vAlign w:val="center"/>
          </w:tcPr>
          <w:p w14:paraId="0DCFA84B">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2025SR1847047</w:t>
            </w:r>
          </w:p>
        </w:tc>
        <w:tc>
          <w:tcPr>
            <w:tcW w:w="1385" w:type="dxa"/>
            <w:tcBorders>
              <w:top w:val="single" w:color="auto" w:sz="8" w:space="0"/>
              <w:left w:val="single" w:color="auto" w:sz="8" w:space="0"/>
              <w:bottom w:val="single" w:color="auto" w:sz="8" w:space="0"/>
              <w:right w:val="single" w:color="auto" w:sz="8" w:space="0"/>
            </w:tcBorders>
            <w:shd w:val="clear" w:color="auto" w:fill="auto"/>
            <w:vAlign w:val="center"/>
          </w:tcPr>
          <w:p w14:paraId="7A045C9A">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2025-09-23</w:t>
            </w:r>
          </w:p>
        </w:tc>
        <w:tc>
          <w:tcPr>
            <w:tcW w:w="1077" w:type="dxa"/>
            <w:tcBorders>
              <w:top w:val="single" w:color="auto" w:sz="8" w:space="0"/>
              <w:left w:val="single" w:color="auto" w:sz="8" w:space="0"/>
              <w:bottom w:val="single" w:color="auto" w:sz="8" w:space="0"/>
              <w:right w:val="single" w:color="auto" w:sz="8" w:space="0"/>
            </w:tcBorders>
            <w:shd w:val="clear" w:color="auto" w:fill="auto"/>
            <w:vAlign w:val="center"/>
          </w:tcPr>
          <w:p w14:paraId="106879B2">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软著登字第16503245号</w:t>
            </w:r>
          </w:p>
        </w:tc>
        <w:tc>
          <w:tcPr>
            <w:tcW w:w="1311" w:type="dxa"/>
            <w:tcBorders>
              <w:top w:val="single" w:color="auto" w:sz="8" w:space="0"/>
              <w:left w:val="single" w:color="auto" w:sz="8" w:space="0"/>
              <w:bottom w:val="single" w:color="auto" w:sz="8" w:space="0"/>
              <w:right w:val="single" w:color="auto" w:sz="8" w:space="0"/>
            </w:tcBorders>
            <w:shd w:val="clear" w:color="auto" w:fill="auto"/>
            <w:vAlign w:val="center"/>
          </w:tcPr>
          <w:p w14:paraId="1A5AE056">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浙江城安大数据有限公司、浙江省测绘科学技术研究院</w:t>
            </w:r>
          </w:p>
        </w:tc>
        <w:tc>
          <w:tcPr>
            <w:tcW w:w="1139" w:type="dxa"/>
            <w:tcBorders>
              <w:top w:val="single" w:color="auto" w:sz="8" w:space="0"/>
              <w:left w:val="single" w:color="auto" w:sz="8" w:space="0"/>
              <w:bottom w:val="single" w:color="auto" w:sz="8" w:space="0"/>
              <w:right w:val="single" w:color="auto" w:sz="8" w:space="0"/>
            </w:tcBorders>
            <w:shd w:val="clear" w:color="auto" w:fill="auto"/>
            <w:vAlign w:val="center"/>
          </w:tcPr>
          <w:p w14:paraId="018301F1">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cs="宋体"/>
                <w:b w:val="0"/>
                <w:bCs w:val="0"/>
                <w:color w:val="000000"/>
                <w:sz w:val="20"/>
                <w:szCs w:val="20"/>
              </w:rPr>
              <w:t>徐刚、郝君、王云阁、杨文敬、毛舒</w:t>
            </w:r>
          </w:p>
        </w:tc>
        <w:tc>
          <w:tcPr>
            <w:tcW w:w="1042" w:type="dxa"/>
            <w:tcBorders>
              <w:top w:val="single" w:color="auto" w:sz="8" w:space="0"/>
              <w:left w:val="single" w:color="auto" w:sz="8" w:space="0"/>
              <w:bottom w:val="single" w:color="auto" w:sz="8" w:space="0"/>
              <w:right w:val="single" w:color="auto" w:sz="8" w:space="0"/>
            </w:tcBorders>
            <w:shd w:val="clear" w:color="auto" w:fill="auto"/>
            <w:vAlign w:val="center"/>
          </w:tcPr>
          <w:p w14:paraId="43389D20">
            <w:pPr>
              <w:pStyle w:val="3"/>
              <w:spacing w:line="240" w:lineRule="auto"/>
              <w:ind w:left="0" w:firstLine="0" w:firstLineChars="0"/>
              <w:jc w:val="center"/>
              <w:rPr>
                <w:rFonts w:hint="eastAsia" w:ascii="宋体" w:hAnsi="Calibri" w:eastAsia="宋体" w:cs="宋体"/>
                <w:color w:val="000000"/>
                <w:sz w:val="20"/>
                <w:szCs w:val="20"/>
                <w:lang w:val="en-US"/>
              </w:rPr>
            </w:pPr>
            <w:r>
              <w:rPr>
                <w:rFonts w:hint="eastAsia" w:ascii="宋体" w:hAnsi="Calibri" w:eastAsia="宋体" w:cs="宋体"/>
                <w:color w:val="000000"/>
                <w:sz w:val="20"/>
                <w:szCs w:val="20"/>
                <w:lang w:val="en-US"/>
              </w:rPr>
              <w:t>有效</w:t>
            </w:r>
          </w:p>
        </w:tc>
      </w:tr>
    </w:tbl>
    <w:p w14:paraId="23D96EB0">
      <w:pPr>
        <w:rPr>
          <w:rFonts w:hint="eastAsia" w:ascii="方正小标宋_GBK" w:hAnsi="黑体" w:eastAsia="方正小标宋_GBK" w:cs="黑体"/>
          <w:spacing w:val="5"/>
          <w:sz w:val="44"/>
          <w:szCs w:val="44"/>
          <w:lang w:eastAsia="zh-CN"/>
        </w:rPr>
      </w:pPr>
    </w:p>
    <w:p w14:paraId="148FF36E">
      <w:pPr>
        <w:rPr>
          <w:rFonts w:hint="eastAsia" w:ascii="方正小标宋_GBK" w:hAnsi="黑体" w:eastAsia="方正小标宋_GBK" w:cs="黑体"/>
          <w:spacing w:val="5"/>
          <w:sz w:val="44"/>
          <w:szCs w:val="44"/>
          <w:lang w:eastAsia="zh-CN"/>
        </w:rPr>
      </w:pPr>
    </w:p>
    <w:p w14:paraId="4CFD3AB1">
      <w:pPr>
        <w:rPr>
          <w:rFonts w:hint="eastAsia" w:ascii="方正小标宋_GBK" w:hAnsi="黑体" w:eastAsia="方正小标宋_GBK" w:cs="黑体"/>
          <w:spacing w:val="5"/>
          <w:sz w:val="44"/>
          <w:szCs w:val="44"/>
          <w:lang w:eastAsia="zh-CN"/>
        </w:rPr>
      </w:pPr>
    </w:p>
    <w:p w14:paraId="0132ADE1">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imes New Roman" w:hAnsi="Times New Roman" w:eastAsia="宋体" w:cs="宋体"/>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02D1A">
    <w:pPr>
      <w:pStyle w:val="4"/>
      <w:keepNext w:val="0"/>
      <w:keepLines w:val="0"/>
      <w:pageBreakBefore w:val="0"/>
      <w:widowControl w:val="0"/>
      <w:kinsoku/>
      <w:wordWrap/>
      <w:overflowPunct/>
      <w:topLinePunct w:val="0"/>
      <w:bidi w:val="0"/>
      <w:adjustRightInd/>
      <w:snapToGrid w:val="0"/>
      <w:ind w:left="210" w:leftChars="100" w:right="210" w:rightChars="100"/>
      <w:jc w:val="center"/>
      <w:textAlignment w:val="auto"/>
      <w:rPr>
        <w:rFonts w:hint="eastAsia"/>
        <w:szCs w:val="21"/>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7785" cy="1314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3B2EA885">
                          <w:pPr>
                            <w:pStyle w:val="4"/>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4.55pt;mso-position-horizontal:outside;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LOeaOPNAQAAmAMAAA4AAABkcnMvZTJvRG9jLnhtbK1TzW4TMRC+I/EO&#10;lu/ESWlotcqmAkVFSAiQCg/geO2sJf/J42Q3LwBvwIkLd54rz8HYu5vS9tIDF+94Zvab+b4Zr256&#10;a8hBRtDe1XQxm1MinfCNdruafvt6++qaEkjcNdx4J2t6lEBv1i9frLpQyQvfetPISBDEQdWFmrYp&#10;hYoxEK20HGY+SIdB5aPlCa9xx5rIO0S3hl3M529Y52MTohcSAL2bIUhHxPgcQK+UFnLjxd5KlwbU&#10;KA1PSAlaHYCuS7dKSZE+KwUyEVNTZJrKiUXQ3uaTrVe82kUeWi3GFvhzWnjEyXLtsOgZasMTJ/uo&#10;n0BZLaIHr9JMeMsGIkURZLGYP9LmruVBFi4oNYSz6PD/YMWnw5dIdIObgJI4bnHip58/Tr/+nH5/&#10;J+hDgboAFebdBcxM/TvfY/LkB3Rm3r2KNn+REcE4Yh3P8so+EYHO5dXV9ZISgZHF68Xl5TKDsPt/&#10;Q4T0XnpLslHTiMMrmvLDR0hD6pSSSzl/q40pAzTugQMxs4flxocGs5X6bT+y2frmiGQ6nHtNHa45&#10;JeaDQ1nzikxGnIztZOxD1Lu27FCuB+HtPmETpbdcYYAdC+PACrtxufJG/HsvWfcPav0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4vdRNAAAAACAQAADwAAAAAAAAABACAAAAAiAAAAZHJzL2Rvd25y&#10;ZXYueG1sUEsBAhQAFAAAAAgAh07iQLOeaOPNAQAAmAMAAA4AAAAAAAAAAQAgAAAAHwEAAGRycy9l&#10;Mm9Eb2MueG1sUEsFBgAAAAAGAAYAWQEAAF4FAAAAAA==&#10;">
              <v:fill on="f" focussize="0,0"/>
              <v:stroke on="f"/>
              <v:imagedata o:title=""/>
              <o:lock v:ext="edit" aspectratio="f"/>
              <v:textbox inset="0mm,0mm,0mm,0mm" style="mso-fit-shape-to-text:t;">
                <w:txbxContent>
                  <w:p w14:paraId="3B2EA885">
                    <w:pPr>
                      <w:pStyle w:val="4"/>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08E14">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97505"/>
    <w:rsid w:val="039A6D74"/>
    <w:rsid w:val="0AA87373"/>
    <w:rsid w:val="10662C31"/>
    <w:rsid w:val="16B1577B"/>
    <w:rsid w:val="1AC05475"/>
    <w:rsid w:val="1CB915BA"/>
    <w:rsid w:val="1DA00929"/>
    <w:rsid w:val="1F5B68D9"/>
    <w:rsid w:val="237F2552"/>
    <w:rsid w:val="2D3D6C2B"/>
    <w:rsid w:val="2F756F32"/>
    <w:rsid w:val="31983DFB"/>
    <w:rsid w:val="36F16678"/>
    <w:rsid w:val="40C31304"/>
    <w:rsid w:val="43662873"/>
    <w:rsid w:val="438E21FE"/>
    <w:rsid w:val="461B781C"/>
    <w:rsid w:val="4A065C48"/>
    <w:rsid w:val="4D3006A9"/>
    <w:rsid w:val="4E401035"/>
    <w:rsid w:val="4F013008"/>
    <w:rsid w:val="559F544A"/>
    <w:rsid w:val="5CE204F9"/>
    <w:rsid w:val="5D461ACD"/>
    <w:rsid w:val="62375C50"/>
    <w:rsid w:val="64007BAC"/>
    <w:rsid w:val="65B66831"/>
    <w:rsid w:val="6A134B8A"/>
    <w:rsid w:val="720158B9"/>
    <w:rsid w:val="726219D9"/>
    <w:rsid w:val="7736177B"/>
    <w:rsid w:val="7A417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28"/>
      <w:szCs w:val="28"/>
    </w:rPr>
  </w:style>
  <w:style w:type="paragraph" w:styleId="3">
    <w:name w:val="Plain Text"/>
    <w:basedOn w:val="1"/>
    <w:qFormat/>
    <w:uiPriority w:val="0"/>
    <w:pPr>
      <w:keepNext w:val="0"/>
      <w:keepLines w:val="0"/>
      <w:widowControl w:val="0"/>
      <w:suppressLineNumbers w:val="0"/>
      <w:spacing w:before="0" w:beforeAutospacing="0" w:after="0" w:afterAutospacing="0" w:line="360" w:lineRule="auto"/>
      <w:ind w:left="0" w:right="0" w:firstLine="480" w:firstLineChars="200"/>
      <w:jc w:val="both"/>
    </w:pPr>
    <w:rPr>
      <w:rFonts w:hint="eastAsia" w:ascii="仿宋_GB2312" w:hAnsi="Calibri" w:eastAsia="宋体" w:cs="Times New Roman"/>
      <w:kern w:val="2"/>
      <w:sz w:val="24"/>
      <w:szCs w:val="24"/>
      <w:lang w:val="en-US" w:eastAsia="zh-CN" w:bidi="ar"/>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semiHidden/>
    <w:qFormat/>
    <w:uiPriority w:val="0"/>
    <w:pPr>
      <w:pBdr>
        <w:bottom w:val="single" w:color="auto" w:sz="6" w:space="1"/>
      </w:pBdr>
      <w:tabs>
        <w:tab w:val="center" w:pos="4153"/>
        <w:tab w:val="right" w:pos="8306"/>
      </w:tabs>
      <w:snapToGrid w:val="0"/>
      <w:jc w:val="center"/>
    </w:pPr>
    <w:rPr>
      <w:sz w:val="18"/>
    </w:rPr>
  </w:style>
  <w:style w:type="paragraph" w:styleId="6">
    <w:name w:val="toc 2"/>
    <w:basedOn w:val="1"/>
    <w:next w:val="1"/>
    <w:qFormat/>
    <w:uiPriority w:val="0"/>
    <w:pPr>
      <w:adjustRightInd w:val="0"/>
      <w:snapToGrid w:val="0"/>
      <w:spacing w:line="300" w:lineRule="auto"/>
      <w:ind w:firstLine="707" w:firstLineChars="221"/>
    </w:pPr>
    <w:rPr>
      <w:rFonts w:ascii="仿宋" w:hAnsi="仿宋" w:eastAsia="仿宋" w:cs="仿宋"/>
      <w:sz w:val="32"/>
      <w:szCs w:val="32"/>
    </w:rPr>
  </w:style>
  <w:style w:type="character" w:customStyle="1" w:styleId="9">
    <w:name w:val="title1"/>
    <w:qFormat/>
    <w:uiPriority w:val="0"/>
    <w:rPr>
      <w:b/>
      <w:bCs/>
      <w:color w:val="999900"/>
      <w:sz w:val="24"/>
      <w:szCs w:val="24"/>
    </w:rPr>
  </w:style>
  <w:style w:type="paragraph" w:customStyle="1" w:styleId="10">
    <w:name w:val="标题 31"/>
    <w:basedOn w:val="1"/>
    <w:qFormat/>
    <w:uiPriority w:val="1"/>
    <w:pPr>
      <w:ind w:left="120"/>
      <w:outlineLvl w:val="3"/>
    </w:pPr>
    <w:rPr>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6046</Words>
  <Characters>6613</Characters>
  <Lines>0</Lines>
  <Paragraphs>0</Paragraphs>
  <TotalTime>0</TotalTime>
  <ScaleCrop>false</ScaleCrop>
  <LinksUpToDate>false</LinksUpToDate>
  <CharactersWithSpaces>6688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2025-02-17T05:48:00Z</dcterms:created>
  <dc:creator>DZ0321004ZB</dc:creator>
  <cp:lastModifiedBy>陈珊O_o</cp:lastModifiedBy>
  <cp:lastPrinted>2026-06-18T01:11:00Z</cp:lastPrinted>
  <dcterms:modified xsi:type="dcterms:W3CDTF">2026-09-14T07:56:50Z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A211EBBBF3144D3FA6C58A9CD4657B11_13</vt:lpwstr>
  </property>
  <property fmtid="{D5CDD505-2E9C-101B-9397-08002B2CF9AE}" pid="4" name="KSOTemplateDocerSaveRecord">
    <vt:lpwstr>eyJoZGlkIjoiYzgxNTU1Y2ZhNmM4MmVkN2ViZDEyN2ZkZDkyNTNmN2YiLCJ1c2VySWQiOiI0NDMwODU2NTMifQ==</vt:lpwstr>
  </property>
</Properties>
</file>