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84" w:rsidRDefault="00E40389">
      <w:pPr>
        <w:jc w:val="center"/>
        <w:rPr>
          <w:rFonts w:ascii="宋体" w:hAnsi="宋体" w:cs="宋体"/>
          <w:b/>
          <w:kern w:val="0"/>
          <w:sz w:val="36"/>
          <w:szCs w:val="36"/>
          <w:shd w:val="pct10" w:color="auto" w:fill="FFFFFF"/>
        </w:rPr>
      </w:pPr>
      <w:r>
        <w:rPr>
          <w:rFonts w:ascii="宋体" w:hAnsi="宋体" w:cs="宋体" w:hint="eastAsia"/>
          <w:b/>
          <w:kern w:val="0"/>
          <w:sz w:val="36"/>
          <w:szCs w:val="36"/>
          <w:shd w:val="pct10" w:color="auto" w:fill="FFFFFF"/>
        </w:rPr>
        <w:t>2020-2021年度神农中华农业科技奖公示内容</w:t>
      </w:r>
    </w:p>
    <w:p w:rsidR="00880184" w:rsidRDefault="00880184">
      <w:pPr>
        <w:jc w:val="center"/>
        <w:rPr>
          <w:rFonts w:ascii="宋体" w:hAnsi="宋体" w:cs="宋体"/>
          <w:b/>
          <w:kern w:val="0"/>
          <w:sz w:val="30"/>
          <w:szCs w:val="30"/>
          <w:shd w:val="pct10" w:color="auto" w:fill="FFFFFF"/>
        </w:rPr>
      </w:pPr>
    </w:p>
    <w:p w:rsidR="00880184" w:rsidRDefault="00E40389">
      <w:pPr>
        <w:spacing w:line="300" w:lineRule="auto"/>
        <w:ind w:left="1968" w:hangingChars="700" w:hanging="1968"/>
        <w:rPr>
          <w:rFonts w:ascii="宋体" w:hAnsi="宋体" w:cs="宋体"/>
          <w:sz w:val="28"/>
          <w:szCs w:val="28"/>
        </w:rPr>
      </w:pPr>
      <w:r>
        <w:rPr>
          <w:rFonts w:ascii="宋体" w:hAnsi="宋体" w:cs="宋体" w:hint="eastAsia"/>
          <w:b/>
          <w:sz w:val="28"/>
          <w:szCs w:val="28"/>
        </w:rPr>
        <w:t>项目名称：</w:t>
      </w:r>
      <w:bookmarkStart w:id="0" w:name="_GoBack"/>
      <w:r>
        <w:rPr>
          <w:rFonts w:ascii="宋体" w:hAnsi="宋体" w:cs="宋体" w:hint="eastAsia"/>
          <w:sz w:val="26"/>
          <w:szCs w:val="26"/>
        </w:rPr>
        <w:t>天然动物源蛋白多酶精准生物转化关键技术创制与应用</w:t>
      </w:r>
    </w:p>
    <w:bookmarkEnd w:id="0"/>
    <w:p w:rsidR="00880184" w:rsidRDefault="00E40389">
      <w:pPr>
        <w:spacing w:line="300" w:lineRule="auto"/>
        <w:ind w:left="1968" w:hangingChars="700" w:hanging="1968"/>
        <w:rPr>
          <w:rFonts w:ascii="宋体" w:hAnsi="宋体" w:cs="宋体"/>
          <w:sz w:val="22"/>
          <w:szCs w:val="22"/>
        </w:rPr>
      </w:pPr>
      <w:r>
        <w:rPr>
          <w:rFonts w:ascii="宋体" w:hAnsi="宋体" w:cs="宋体" w:hint="eastAsia"/>
          <w:b/>
          <w:sz w:val="28"/>
          <w:szCs w:val="28"/>
        </w:rPr>
        <w:t>成果类别：</w:t>
      </w:r>
      <w:r>
        <w:rPr>
          <w:rFonts w:ascii="宋体" w:hAnsi="宋体" w:cs="宋体" w:hint="eastAsia"/>
          <w:sz w:val="26"/>
          <w:szCs w:val="26"/>
        </w:rPr>
        <w:t>科学研究类</w:t>
      </w:r>
    </w:p>
    <w:p w:rsidR="00880184" w:rsidRDefault="00E40389">
      <w:pPr>
        <w:widowControl/>
        <w:jc w:val="left"/>
      </w:pPr>
      <w:r>
        <w:rPr>
          <w:rFonts w:ascii="宋体" w:hAnsi="宋体" w:cs="宋体" w:hint="eastAsia"/>
          <w:b/>
          <w:sz w:val="28"/>
          <w:szCs w:val="28"/>
        </w:rPr>
        <w:t>主要完成单位</w:t>
      </w:r>
      <w:r>
        <w:rPr>
          <w:rFonts w:ascii="宋体" w:hAnsi="宋体" w:cs="宋体" w:hint="eastAsia"/>
          <w:sz w:val="28"/>
          <w:szCs w:val="28"/>
        </w:rPr>
        <w:t>：</w:t>
      </w:r>
      <w:r>
        <w:rPr>
          <w:rFonts w:ascii="宋体" w:hAnsi="宋体" w:cs="宋体" w:hint="eastAsia"/>
          <w:sz w:val="26"/>
          <w:szCs w:val="26"/>
        </w:rPr>
        <w:t>1、浙江省农业科学院，2、浙江树人大学，3、浙江大学，4、浙江省农业农村大数据发展中心，5、南通福尔生物制品有限公司，6、浙江中得农业集团有限公司</w:t>
      </w:r>
    </w:p>
    <w:p w:rsidR="00880184" w:rsidRDefault="00E40389">
      <w:pPr>
        <w:spacing w:line="300" w:lineRule="auto"/>
        <w:rPr>
          <w:rFonts w:ascii="宋体" w:hAnsi="宋体" w:cs="宋体"/>
          <w:sz w:val="26"/>
          <w:szCs w:val="26"/>
        </w:rPr>
      </w:pPr>
      <w:r>
        <w:rPr>
          <w:rFonts w:ascii="宋体" w:hAnsi="宋体" w:cs="宋体" w:hint="eastAsia"/>
          <w:b/>
          <w:sz w:val="28"/>
          <w:szCs w:val="28"/>
        </w:rPr>
        <w:t>主要完成人员</w:t>
      </w:r>
      <w:r>
        <w:rPr>
          <w:rFonts w:ascii="宋体" w:hAnsi="宋体" w:cs="宋体" w:hint="eastAsia"/>
          <w:sz w:val="28"/>
          <w:szCs w:val="28"/>
        </w:rPr>
        <w:t>：</w:t>
      </w:r>
      <w:r>
        <w:rPr>
          <w:rFonts w:ascii="宋体" w:hAnsi="宋体" w:cs="宋体" w:hint="eastAsia"/>
          <w:sz w:val="26"/>
          <w:szCs w:val="26"/>
        </w:rPr>
        <w:t xml:space="preserve">1张玉、2王伟、3王楠、4陈启和、5王慧智、6王君虹、7朱作艺 、8李雪、9刘建峰、10蒋有水、11孙素玲 </w:t>
      </w:r>
      <w:bookmarkStart w:id="1" w:name="_Toc386577051"/>
      <w:bookmarkStart w:id="2" w:name="_Toc386579338"/>
      <w:bookmarkStart w:id="3" w:name="_Toc386579284"/>
      <w:r>
        <w:rPr>
          <w:rFonts w:ascii="宋体" w:hAnsi="宋体" w:cs="宋体" w:hint="eastAsia"/>
          <w:sz w:val="26"/>
          <w:szCs w:val="26"/>
        </w:rPr>
        <w:t xml:space="preserve"> </w:t>
      </w:r>
    </w:p>
    <w:p w:rsidR="00880184" w:rsidRDefault="00E40389">
      <w:pPr>
        <w:spacing w:line="440" w:lineRule="exact"/>
        <w:ind w:left="1968" w:hangingChars="700" w:hanging="1968"/>
        <w:rPr>
          <w:rFonts w:ascii="宋体" w:hAnsi="宋体" w:cs="宋体"/>
          <w:b/>
          <w:sz w:val="28"/>
          <w:szCs w:val="28"/>
        </w:rPr>
      </w:pPr>
      <w:r>
        <w:rPr>
          <w:rFonts w:ascii="宋体" w:hAnsi="宋体" w:cs="宋体" w:hint="eastAsia"/>
          <w:b/>
          <w:sz w:val="28"/>
          <w:szCs w:val="28"/>
        </w:rPr>
        <w:t>成果简介</w:t>
      </w:r>
    </w:p>
    <w:p w:rsidR="00880184" w:rsidRDefault="00E40389">
      <w:pPr>
        <w:tabs>
          <w:tab w:val="left" w:pos="0"/>
        </w:tabs>
        <w:spacing w:line="360" w:lineRule="auto"/>
        <w:ind w:firstLineChars="200" w:firstLine="480"/>
        <w:rPr>
          <w:rFonts w:ascii="宋体" w:hAnsi="宋体" w:cs="宋体"/>
          <w:sz w:val="24"/>
        </w:rPr>
      </w:pPr>
      <w:r>
        <w:rPr>
          <w:rFonts w:ascii="宋体" w:hAnsi="宋体" w:cs="宋体" w:hint="eastAsia"/>
          <w:sz w:val="24"/>
        </w:rPr>
        <w:t>我国是天然蛋白资源大国，其中丝绸产业是我国的传统产业，每年缫丝可产生的蚕蛹副产物约30~40万吨，蚕蛹富含蛋白，如不及时加工处理，将造成严重环境污染，所需环境治理费用巨大，限制整个产业链发展，如何综合利用蚕蛹蛋白成为促进我国桑蚕产业健康发展的关键。另外，甲鱼也是我国特色天然蛋白资源之一，近年来随着甲鱼养殖产业发展，产量不断增加，2015年全国甲鱼产量达30万吨。但甲鱼消费形式单一，消费量有限，价格持续下滑。且随着对甲鱼养殖环保要求的提高，甲鱼企业的成本大幅增加，给甲鱼养殖产业健康发展造成巨大压力。因此如何通过甲鱼深加工技术，提升产品附加值，成为促进甲鱼产业转型升级的关键。</w:t>
      </w:r>
    </w:p>
    <w:p w:rsidR="00880184" w:rsidRDefault="00E40389">
      <w:pPr>
        <w:spacing w:line="360" w:lineRule="auto"/>
        <w:rPr>
          <w:rFonts w:ascii="宋体" w:hAnsi="宋体" w:cs="宋体"/>
          <w:sz w:val="24"/>
        </w:rPr>
      </w:pPr>
      <w:r>
        <w:rPr>
          <w:rFonts w:ascii="宋体" w:hAnsi="宋体" w:cs="宋体" w:hint="eastAsia"/>
          <w:sz w:val="24"/>
        </w:rPr>
        <w:t xml:space="preserve">    针对以上现状，项目组在多项国家、省级科技专项支持下，开展了蚕蛹、甲鱼蛋白多酶精准生物转化关键技术研究。经过多年产学研协助攻关，以蚕蛹、甲鱼等天然蛋白为原料，通过可控生物酶解技术，建立具有降血压、降血脂、降血糖和抗氧化等活性的蚕蛹多功能肽关键制备技术以及甲鱼抗氧化和抗肿瘤肽关键制备技术，并通过计算机辅助模拟技术和分子生物学技术，阐释所得活性肽的分子作用机理，形成特定功能肽产品，实现了产业化示范和推广。取得创新成果如下：</w:t>
      </w:r>
    </w:p>
    <w:p w:rsidR="00880184" w:rsidRDefault="00E40389">
      <w:pPr>
        <w:spacing w:line="360" w:lineRule="auto"/>
        <w:rPr>
          <w:rFonts w:ascii="宋体" w:hAnsi="宋体" w:cs="宋体"/>
          <w:sz w:val="24"/>
        </w:rPr>
      </w:pPr>
      <w:r>
        <w:rPr>
          <w:rFonts w:ascii="宋体" w:hAnsi="宋体" w:cs="宋体" w:hint="eastAsia"/>
          <w:sz w:val="24"/>
        </w:rPr>
        <w:t xml:space="preserve">    1、建立了蚕蛹蛋白源多功能活性肽关键制备技术。通过对蚕蛹为原料的血</w:t>
      </w:r>
      <w:r>
        <w:rPr>
          <w:rFonts w:ascii="宋体" w:hAnsi="宋体" w:cs="宋体" w:hint="eastAsia"/>
          <w:sz w:val="24"/>
        </w:rPr>
        <w:lastRenderedPageBreak/>
        <w:t>管紧张素转换酶（ACE）抑制肽、3-羟基-3甲基戊二酸单酰辅酶A还原酶（HMG-CoAR）抑制肽和α-葡萄糖苷酶抑制肽以及抗氧化肽制备关键技术研究与集成，获得了多酶联合酶解制备蚕蛹多功能活性肽技术。目前国内外报道的蚕蛹肽制备技术都是单酶制备，所得肽的活性单一，本成果通过多酶联合制备技术所得的活性肽同时具有较强的ACE抑制活性、HMG-CoA还原酶抑制活性、α-葡萄糖苷酶抑制活性以及抗氧化活性。</w:t>
      </w:r>
    </w:p>
    <w:p w:rsidR="00880184" w:rsidRDefault="00E40389">
      <w:pPr>
        <w:spacing w:line="360" w:lineRule="auto"/>
        <w:rPr>
          <w:rFonts w:ascii="宋体" w:hAnsi="宋体" w:cs="宋体"/>
          <w:sz w:val="24"/>
        </w:rPr>
      </w:pPr>
      <w:r>
        <w:rPr>
          <w:rFonts w:ascii="宋体" w:hAnsi="宋体" w:cs="宋体" w:hint="eastAsia"/>
          <w:sz w:val="24"/>
        </w:rPr>
        <w:t xml:space="preserve">    2、首次明确了蚕蛹蛋白源肽可通过抑制HMG-CoAR和角鲨烯合成酶（SQS）mRNA表达，降低HMG-CoAR和SQS活性，降低胆固醇的合成，促进LDLR的mRNA的表达，增加清除血浆胆固醇能力，进而降低血脂；通过抑制小肠中α-葡萄糖苷酶活性，延缓碳水化合物的水解，同时抑制Na+-k+-ATPase、葡萄糖转运蛋白GLUT2和SGLT1 mRNA表达，降低Na+-k+-ATPase活性以及GLUT2和SGLT1含量，延缓小肠中的葡萄糖转运入血液的速度，达到降血糖治疗作用。通过计算机辅助分析技术，明确了活性多肽与相关酶作用的构效机理，为蚕蛹肽的进一步应用提供理论基础。</w:t>
      </w:r>
    </w:p>
    <w:p w:rsidR="00880184" w:rsidRDefault="00E40389">
      <w:pPr>
        <w:spacing w:line="360" w:lineRule="auto"/>
        <w:ind w:firstLineChars="200" w:firstLine="480"/>
        <w:rPr>
          <w:rFonts w:ascii="宋体" w:hAnsi="宋体" w:cs="宋体"/>
          <w:sz w:val="24"/>
        </w:rPr>
      </w:pPr>
      <w:r>
        <w:rPr>
          <w:rFonts w:ascii="宋体" w:hAnsi="宋体" w:cs="宋体" w:hint="eastAsia"/>
          <w:sz w:val="24"/>
        </w:rPr>
        <w:t>3、建立了甲鱼多功能肽关键制备技术。通过微波耦合酶技术，建立了甲鱼抗氧化肽和抗肿瘤肽关键制备技术。所得的活性肽产品抗氧化能力提高了20%，且具有较强的抑制A549癌细胞增殖活性。</w:t>
      </w:r>
    </w:p>
    <w:p w:rsidR="00880184" w:rsidRDefault="00E40389">
      <w:pPr>
        <w:spacing w:line="360" w:lineRule="auto"/>
        <w:ind w:firstLineChars="200" w:firstLine="480"/>
        <w:rPr>
          <w:rFonts w:ascii="宋体" w:hAnsi="宋体" w:cs="宋体"/>
          <w:sz w:val="24"/>
        </w:rPr>
      </w:pPr>
      <w:r>
        <w:rPr>
          <w:rFonts w:ascii="宋体" w:hAnsi="宋体" w:cs="宋体" w:hint="eastAsia"/>
          <w:sz w:val="24"/>
        </w:rPr>
        <w:t>4、得到一系列新的具有生物活性的蚕蛹蛋白多肽序列，包括1个高ACE抑制活性肽APPPKK，6个具有α-葡萄糖苷酶抑制活性的功能肽IF、SD、QN、DI、SPF、CGPG，3个具有降血脂活性的功能肽DEH、DHE和HDE，8个具有降血压和降血脂的双功能肽DL、ES、GD、QD、ST、SD、QE、TE。得到3个新的具有抑制A549癌细胞增殖活性的甲鱼肽，分别为DEADLLA、EAGVNDW和GSISSGQV。</w:t>
      </w:r>
    </w:p>
    <w:p w:rsidR="00880184" w:rsidRDefault="00E40389">
      <w:pPr>
        <w:spacing w:line="360" w:lineRule="auto"/>
        <w:rPr>
          <w:rFonts w:ascii="宋体" w:hAnsi="宋体" w:cs="宋体"/>
          <w:sz w:val="24"/>
        </w:rPr>
      </w:pPr>
      <w:r>
        <w:rPr>
          <w:rFonts w:ascii="宋体" w:hAnsi="宋体" w:cs="宋体" w:hint="eastAsia"/>
          <w:sz w:val="24"/>
        </w:rPr>
        <w:t xml:space="preserve">    成果共发表论文16篇，授权专利15项，获得浙江省科技进步三等奖1项，全国商业科技进步奖一等奖1项，成果转化两项。</w:t>
      </w:r>
    </w:p>
    <w:p w:rsidR="00880184" w:rsidRDefault="00E40389">
      <w:pPr>
        <w:spacing w:line="360" w:lineRule="auto"/>
        <w:rPr>
          <w:rFonts w:ascii="宋体" w:hAnsi="宋体" w:cs="宋体"/>
          <w:sz w:val="24"/>
        </w:rPr>
      </w:pPr>
      <w:r>
        <w:rPr>
          <w:rFonts w:ascii="宋体" w:hAnsi="宋体" w:cs="宋体" w:hint="eastAsia"/>
          <w:sz w:val="24"/>
        </w:rPr>
        <w:t xml:space="preserve">    项目成果在南通福尔生物制品有限公司和浙江中得农业集团有限公司形成了“蚕宝全蛋白胶囊”、和“甲鱼蛋白肽”等系列产品。产品市场推广后取得了显著的经济效益。同时通过该技术的应用，可减少蚕蛹腐败对环境造成的直接污染，节约大量环境治理费用，2年累计加工蚕蛹200吨，按每吨蚕蛹腐败形成的大气、水体污染及周边生活环境污染治理合计需要25万元计算，可间接节约环</w:t>
      </w:r>
      <w:r>
        <w:rPr>
          <w:rFonts w:ascii="宋体" w:hAnsi="宋体" w:cs="宋体" w:hint="eastAsia"/>
          <w:sz w:val="24"/>
        </w:rPr>
        <w:lastRenderedPageBreak/>
        <w:t>境治理资金5000万元，大大增强了丝绸产业链的绿色环保和高效增值能力。 本成果中的甲鱼多肽制备技术可将市场富余甲鱼转化为附加值高和生物活性高的甲鱼蛋白肽，及时疏导市场积压，并提升甲鱼的生物利用度，促进了甲鱼养殖产业的可持续健康发展。</w:t>
      </w:r>
    </w:p>
    <w:bookmarkEnd w:id="1"/>
    <w:bookmarkEnd w:id="2"/>
    <w:bookmarkEnd w:id="3"/>
    <w:p w:rsidR="00880184" w:rsidRDefault="00E40389">
      <w:pPr>
        <w:spacing w:line="680" w:lineRule="exact"/>
        <w:jc w:val="center"/>
        <w:rPr>
          <w:rFonts w:eastAsia="仿宋_GB2312"/>
          <w:b/>
          <w:bCs/>
          <w:sz w:val="30"/>
          <w:szCs w:val="30"/>
        </w:rPr>
      </w:pPr>
      <w:r>
        <w:rPr>
          <w:rFonts w:ascii="宋体" w:hAnsi="宋体" w:hint="eastAsia"/>
          <w:b/>
          <w:bCs/>
          <w:sz w:val="30"/>
          <w:szCs w:val="30"/>
        </w:rPr>
        <w:t xml:space="preserve"> </w:t>
      </w:r>
      <w:r>
        <w:rPr>
          <w:rFonts w:ascii="宋体" w:hAnsi="宋体"/>
          <w:b/>
          <w:bCs/>
          <w:sz w:val="30"/>
          <w:szCs w:val="30"/>
        </w:rPr>
        <w:t>主要知识产权证明目录</w:t>
      </w:r>
      <w:r>
        <w:t>（不超过</w:t>
      </w:r>
      <w:r>
        <w:t>10</w:t>
      </w:r>
      <w:r>
        <w:t>项）</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37"/>
        <w:gridCol w:w="1156"/>
        <w:gridCol w:w="962"/>
        <w:gridCol w:w="1022"/>
        <w:gridCol w:w="1236"/>
        <w:gridCol w:w="1115"/>
        <w:gridCol w:w="1115"/>
        <w:gridCol w:w="1190"/>
        <w:gridCol w:w="1190"/>
      </w:tblGrid>
      <w:tr w:rsidR="00880184">
        <w:trPr>
          <w:trHeight w:val="1410"/>
          <w:jc w:val="center"/>
        </w:trPr>
        <w:tc>
          <w:tcPr>
            <w:tcW w:w="937" w:type="dxa"/>
            <w:tcBorders>
              <w:top w:val="single" w:sz="8"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
                <w:sz w:val="24"/>
              </w:rPr>
              <w:t>知识产权（标准）类别</w:t>
            </w:r>
          </w:p>
        </w:tc>
        <w:tc>
          <w:tcPr>
            <w:tcW w:w="1156"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
                <w:sz w:val="24"/>
              </w:rPr>
              <w:t>知识产权（标准）具体名称</w:t>
            </w:r>
          </w:p>
        </w:tc>
        <w:tc>
          <w:tcPr>
            <w:tcW w:w="962"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
                <w:sz w:val="24"/>
              </w:rPr>
              <w:t>国家（地区）</w:t>
            </w:r>
          </w:p>
        </w:tc>
        <w:tc>
          <w:tcPr>
            <w:tcW w:w="1022"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
                <w:sz w:val="24"/>
              </w:rPr>
              <w:t>授权号（标准编号）</w:t>
            </w:r>
          </w:p>
        </w:tc>
        <w:tc>
          <w:tcPr>
            <w:tcW w:w="1236"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
                <w:sz w:val="24"/>
              </w:rPr>
              <w:t>授权（标准发布）日期</w:t>
            </w:r>
          </w:p>
        </w:tc>
        <w:tc>
          <w:tcPr>
            <w:tcW w:w="1115"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
                <w:sz w:val="24"/>
              </w:rPr>
              <w:t>证书编号（标准批准发布部门）</w:t>
            </w:r>
          </w:p>
        </w:tc>
        <w:tc>
          <w:tcPr>
            <w:tcW w:w="1115"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
                <w:sz w:val="24"/>
              </w:rPr>
              <w:t>权利人（标准起草单位）</w:t>
            </w:r>
          </w:p>
        </w:tc>
        <w:tc>
          <w:tcPr>
            <w:tcW w:w="1190" w:type="dxa"/>
            <w:tcBorders>
              <w:top w:val="single" w:sz="8" w:space="0" w:color="auto"/>
              <w:left w:val="single" w:sz="4" w:space="0" w:color="auto"/>
              <w:bottom w:val="single" w:sz="4" w:space="0" w:color="auto"/>
              <w:right w:val="single" w:sz="8" w:space="0" w:color="auto"/>
            </w:tcBorders>
            <w:vAlign w:val="center"/>
          </w:tcPr>
          <w:p w:rsidR="00880184" w:rsidRDefault="00E40389">
            <w:pPr>
              <w:jc w:val="center"/>
              <w:rPr>
                <w:rFonts w:eastAsia="仿宋_GB2312"/>
                <w:szCs w:val="21"/>
              </w:rPr>
            </w:pPr>
            <w:r>
              <w:rPr>
                <w:rFonts w:eastAsia="仿宋"/>
                <w:sz w:val="24"/>
              </w:rPr>
              <w:t>发明人（标准起草人）</w:t>
            </w:r>
          </w:p>
        </w:tc>
        <w:tc>
          <w:tcPr>
            <w:tcW w:w="1190" w:type="dxa"/>
            <w:tcBorders>
              <w:top w:val="single" w:sz="8" w:space="0" w:color="auto"/>
              <w:left w:val="single" w:sz="4" w:space="0" w:color="auto"/>
              <w:bottom w:val="single" w:sz="4" w:space="0" w:color="auto"/>
              <w:right w:val="single" w:sz="8" w:space="0" w:color="auto"/>
            </w:tcBorders>
            <w:vAlign w:val="center"/>
          </w:tcPr>
          <w:p w:rsidR="00880184" w:rsidRDefault="00E40389">
            <w:pPr>
              <w:jc w:val="center"/>
              <w:rPr>
                <w:rFonts w:eastAsia="仿宋_GB2312"/>
                <w:szCs w:val="21"/>
              </w:rPr>
            </w:pPr>
            <w:r>
              <w:rPr>
                <w:rFonts w:eastAsia="仿宋"/>
                <w:sz w:val="24"/>
              </w:rPr>
              <w:t>发明专利（标准）有效状态</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利用蚕蛹制备降血糖肽的方法</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ZL201410129977.3</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2016-08-24</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2199517</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张玉、王伟、王君虹</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利用蚕蛹制取降血脂肽的方法</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ZL201310449388.9</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2015-05-20</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1673156</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王伟、杨玉英、王楠、张玉</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具有降血糖功能的多肽</w:t>
            </w:r>
            <w:r>
              <w:rPr>
                <w:rFonts w:eastAsia="仿宋_GB2312"/>
                <w:szCs w:val="21"/>
              </w:rPr>
              <w:t>SPF</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ZL.201710400652.8</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2020-04-24</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3769188</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张玉、王伟、王君虹、朱作艺、李雪</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具有降血糖功能的三肽</w:t>
            </w:r>
            <w:r>
              <w:rPr>
                <w:rFonts w:eastAsia="仿宋_GB2312"/>
                <w:szCs w:val="21"/>
              </w:rPr>
              <w:t>CGP</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ZL.201710399843.7</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2020-06-16</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3844655</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张玉、王伟、王君虹、朱作艺、李雪</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具有降血糖和降血脂双功能的二肽</w:t>
            </w:r>
            <w:r>
              <w:rPr>
                <w:rFonts w:eastAsia="仿宋_GB2312"/>
                <w:szCs w:val="21"/>
              </w:rPr>
              <w:t>DI</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ZL201410245686.0</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2016-06-22</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2122554</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张玉、王伟、王君虹</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具有降血糖功能的二肽</w:t>
            </w:r>
            <w:r>
              <w:rPr>
                <w:rFonts w:eastAsia="仿宋_GB2312"/>
                <w:szCs w:val="21"/>
              </w:rPr>
              <w:t>QN</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ZL201410248292.0</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2016-06-22</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2118731</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张玉、王伟、王君虹</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具有降血压和降血脂双功能的二肽</w:t>
            </w:r>
            <w:r>
              <w:rPr>
                <w:rFonts w:eastAsia="仿宋_GB2312"/>
                <w:szCs w:val="21"/>
              </w:rPr>
              <w:t>DL</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ZL201310743378.6</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2015-03-25</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1610985</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王伟、王楠、张玉、杨玉英</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lastRenderedPageBreak/>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具有降血压和降血脂双功能的二肽</w:t>
            </w:r>
            <w:r>
              <w:rPr>
                <w:rFonts w:eastAsia="仿宋_GB2312"/>
                <w:szCs w:val="21"/>
              </w:rPr>
              <w:t>GD</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ZL201310744081.1</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2015-09-09</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1789075</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王伟、王楠、张玉、杨玉英</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有降血压和降血脂双功能的二肽</w:t>
            </w:r>
            <w:r>
              <w:rPr>
                <w:rFonts w:eastAsia="仿宋_GB2312"/>
                <w:szCs w:val="21"/>
              </w:rPr>
              <w:t>ES</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ZL201310743531.5</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2015-03-25</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1610634</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王伟、王楠、张玉、杨玉英</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r w:rsidR="00880184">
        <w:trPr>
          <w:trHeight w:val="1130"/>
          <w:jc w:val="center"/>
        </w:trPr>
        <w:tc>
          <w:tcPr>
            <w:tcW w:w="937" w:type="dxa"/>
            <w:tcBorders>
              <w:top w:val="single" w:sz="4" w:space="0" w:color="auto"/>
              <w:left w:val="single" w:sz="8"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蚕蛹蛋白源二肽</w:t>
            </w:r>
            <w:r>
              <w:rPr>
                <w:rFonts w:eastAsia="仿宋_GB2312"/>
                <w:szCs w:val="21"/>
              </w:rPr>
              <w:t>SS</w:t>
            </w:r>
            <w:r>
              <w:rPr>
                <w:rFonts w:eastAsia="仿宋_GB2312"/>
                <w:szCs w:val="21"/>
              </w:rPr>
              <w:t>及其用途</w:t>
            </w:r>
          </w:p>
        </w:tc>
        <w:tc>
          <w:tcPr>
            <w:tcW w:w="96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w:t>
            </w:r>
          </w:p>
        </w:tc>
        <w:tc>
          <w:tcPr>
            <w:tcW w:w="1022"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ZL201110386190.1</w:t>
            </w:r>
          </w:p>
        </w:tc>
        <w:tc>
          <w:tcPr>
            <w:tcW w:w="1236" w:type="dxa"/>
            <w:tcBorders>
              <w:top w:val="single" w:sz="4"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2013-07-10</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1233357</w:t>
            </w:r>
          </w:p>
        </w:tc>
        <w:tc>
          <w:tcPr>
            <w:tcW w:w="111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浙江省农业科学院</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王伟、王楠、张玉</w:t>
            </w:r>
          </w:p>
        </w:tc>
        <w:tc>
          <w:tcPr>
            <w:tcW w:w="119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有效</w:t>
            </w:r>
          </w:p>
        </w:tc>
      </w:tr>
    </w:tbl>
    <w:p w:rsidR="00880184" w:rsidRDefault="00E40389">
      <w:pPr>
        <w:spacing w:line="680" w:lineRule="exact"/>
        <w:jc w:val="center"/>
        <w:rPr>
          <w:b/>
          <w:bCs/>
          <w:sz w:val="28"/>
          <w:szCs w:val="28"/>
        </w:rPr>
      </w:pPr>
      <w:bookmarkStart w:id="4" w:name="_Toc386579339"/>
      <w:bookmarkStart w:id="5" w:name="_Toc386579285"/>
      <w:bookmarkStart w:id="6" w:name="_Toc386577052"/>
      <w:r>
        <w:rPr>
          <w:rFonts w:ascii="宋体" w:hAnsi="宋体"/>
          <w:b/>
          <w:bCs/>
          <w:sz w:val="30"/>
          <w:szCs w:val="30"/>
        </w:rPr>
        <w:t>论文专著目录</w:t>
      </w:r>
      <w:bookmarkEnd w:id="4"/>
      <w:bookmarkEnd w:id="5"/>
      <w:bookmarkEnd w:id="6"/>
      <w:r>
        <w:t>（不超过</w:t>
      </w:r>
      <w:r>
        <w:t>10</w:t>
      </w:r>
      <w:r>
        <w:t>篇）</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0"/>
        <w:gridCol w:w="3471"/>
        <w:gridCol w:w="1437"/>
        <w:gridCol w:w="2155"/>
        <w:gridCol w:w="2150"/>
      </w:tblGrid>
      <w:tr w:rsidR="00880184">
        <w:trPr>
          <w:trHeight w:val="687"/>
          <w:jc w:val="center"/>
        </w:trPr>
        <w:tc>
          <w:tcPr>
            <w:tcW w:w="710" w:type="dxa"/>
            <w:tcBorders>
              <w:top w:val="single" w:sz="8"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序号</w:t>
            </w:r>
          </w:p>
        </w:tc>
        <w:tc>
          <w:tcPr>
            <w:tcW w:w="3471"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论文名</w:t>
            </w:r>
            <w:r>
              <w:rPr>
                <w:rFonts w:eastAsia="仿宋_GB2312"/>
                <w:szCs w:val="21"/>
              </w:rPr>
              <w:t>/</w:t>
            </w:r>
            <w:r>
              <w:rPr>
                <w:rFonts w:eastAsia="仿宋_GB2312"/>
                <w:szCs w:val="21"/>
              </w:rPr>
              <w:t>专著名</w:t>
            </w:r>
          </w:p>
        </w:tc>
        <w:tc>
          <w:tcPr>
            <w:tcW w:w="1437"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期刊名</w:t>
            </w:r>
            <w:r>
              <w:rPr>
                <w:rFonts w:eastAsia="仿宋_GB2312"/>
                <w:szCs w:val="21"/>
              </w:rPr>
              <w:t>/</w:t>
            </w:r>
          </w:p>
          <w:p w:rsidR="00880184" w:rsidRDefault="00E40389">
            <w:pPr>
              <w:jc w:val="center"/>
              <w:rPr>
                <w:rFonts w:eastAsia="仿宋_GB2312"/>
                <w:szCs w:val="21"/>
              </w:rPr>
            </w:pPr>
            <w:r>
              <w:rPr>
                <w:rFonts w:eastAsia="仿宋_GB2312"/>
                <w:szCs w:val="21"/>
              </w:rPr>
              <w:t>出版社</w:t>
            </w:r>
          </w:p>
        </w:tc>
        <w:tc>
          <w:tcPr>
            <w:tcW w:w="2155" w:type="dxa"/>
            <w:tcBorders>
              <w:top w:val="single" w:sz="8" w:space="0" w:color="auto"/>
              <w:left w:val="single" w:sz="4"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年，卷，起止页码</w:t>
            </w:r>
            <w:r>
              <w:rPr>
                <w:rFonts w:eastAsia="仿宋_GB2312"/>
                <w:szCs w:val="21"/>
              </w:rPr>
              <w:t>/</w:t>
            </w:r>
          </w:p>
          <w:p w:rsidR="00880184" w:rsidRDefault="00E40389">
            <w:pPr>
              <w:jc w:val="center"/>
              <w:rPr>
                <w:rFonts w:eastAsia="仿宋_GB2312"/>
                <w:szCs w:val="21"/>
              </w:rPr>
            </w:pPr>
            <w:r>
              <w:rPr>
                <w:rFonts w:eastAsia="仿宋_GB2312"/>
                <w:szCs w:val="21"/>
              </w:rPr>
              <w:t>出版年，版次，字数</w:t>
            </w:r>
          </w:p>
        </w:tc>
        <w:tc>
          <w:tcPr>
            <w:tcW w:w="2150" w:type="dxa"/>
            <w:tcBorders>
              <w:top w:val="single" w:sz="8" w:space="0" w:color="auto"/>
              <w:left w:val="single" w:sz="4" w:space="0" w:color="auto"/>
              <w:bottom w:val="single" w:sz="4" w:space="0" w:color="auto"/>
              <w:right w:val="single" w:sz="8" w:space="0" w:color="auto"/>
            </w:tcBorders>
            <w:vAlign w:val="center"/>
          </w:tcPr>
          <w:p w:rsidR="00880184" w:rsidRDefault="00E40389">
            <w:pPr>
              <w:jc w:val="center"/>
              <w:rPr>
                <w:rFonts w:eastAsia="仿宋_GB2312"/>
                <w:szCs w:val="21"/>
              </w:rPr>
            </w:pPr>
            <w:r>
              <w:rPr>
                <w:rFonts w:eastAsia="仿宋_GB2312"/>
                <w:szCs w:val="21"/>
              </w:rPr>
              <w:t>全部作者（本成果完成人姓名后加</w:t>
            </w:r>
            <w:r>
              <w:rPr>
                <w:rFonts w:eastAsia="仿宋_GB2312"/>
                <w:szCs w:val="21"/>
              </w:rPr>
              <w:t>“*”</w:t>
            </w:r>
            <w:r>
              <w:rPr>
                <w:rFonts w:eastAsia="仿宋_GB2312"/>
                <w:szCs w:val="21"/>
              </w:rPr>
              <w:t>）</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1</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Molecular mechanisms of novel peptides from silkworm pupae that inhibit ą-glucosidase</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Peptides</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2016,76:45-50</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Yu Zhang*, Nan Wang*, Wei Wang*, Junhong Wang*, Zuoyi Zhu*, Xue Li*</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2</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响应面优化法的蚕蛹蛋白源</w:t>
            </w:r>
            <w:r>
              <w:rPr>
                <w:rFonts w:eastAsia="仿宋_GB2312"/>
                <w:szCs w:val="21"/>
              </w:rPr>
              <w:t xml:space="preserve"> α-</w:t>
            </w:r>
            <w:r>
              <w:rPr>
                <w:rFonts w:eastAsia="仿宋_GB2312"/>
                <w:szCs w:val="21"/>
              </w:rPr>
              <w:t>葡萄糖苷酶抑制肽酶解条件优化研究</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中国食品学报</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2016</w:t>
            </w:r>
            <w:r>
              <w:rPr>
                <w:rFonts w:eastAsia="仿宋_GB2312"/>
                <w:szCs w:val="21"/>
              </w:rPr>
              <w:t>，</w:t>
            </w:r>
            <w:r>
              <w:rPr>
                <w:rFonts w:eastAsia="仿宋_GB2312"/>
                <w:szCs w:val="21"/>
              </w:rPr>
              <w:t>4</w:t>
            </w:r>
            <w:r>
              <w:rPr>
                <w:rFonts w:eastAsia="仿宋_GB2312"/>
                <w:szCs w:val="21"/>
              </w:rPr>
              <w:t>，</w:t>
            </w:r>
            <w:r>
              <w:rPr>
                <w:rFonts w:eastAsia="仿宋_GB2312"/>
                <w:szCs w:val="21"/>
              </w:rPr>
              <w:t>137-144</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张玉</w:t>
            </w:r>
            <w:r>
              <w:rPr>
                <w:rFonts w:eastAsia="仿宋_GB2312"/>
                <w:szCs w:val="21"/>
              </w:rPr>
              <w:t>*</w:t>
            </w:r>
            <w:r>
              <w:rPr>
                <w:rFonts w:eastAsia="仿宋_GB2312"/>
                <w:szCs w:val="21"/>
              </w:rPr>
              <w:t>，王伟</w:t>
            </w:r>
            <w:r>
              <w:rPr>
                <w:rFonts w:eastAsia="仿宋_GB2312"/>
                <w:szCs w:val="21"/>
              </w:rPr>
              <w:t>*</w:t>
            </w:r>
            <w:r>
              <w:rPr>
                <w:rFonts w:eastAsia="仿宋_GB2312"/>
                <w:szCs w:val="21"/>
              </w:rPr>
              <w:t>，</w:t>
            </w:r>
            <w:r>
              <w:rPr>
                <w:rFonts w:eastAsia="仿宋_GB2312"/>
                <w:szCs w:val="21"/>
              </w:rPr>
              <w:t xml:space="preserve"> </w:t>
            </w:r>
            <w:r>
              <w:rPr>
                <w:rFonts w:eastAsia="仿宋_GB2312"/>
                <w:szCs w:val="21"/>
              </w:rPr>
              <w:t>张一帆，王君虹</w:t>
            </w:r>
            <w:r>
              <w:rPr>
                <w:rFonts w:eastAsia="仿宋_GB2312"/>
                <w:szCs w:val="21"/>
              </w:rPr>
              <w:t>*</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3</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双酶分步酶解蚕蛹蛋白及其产物抗氧化活性的研究</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浙江农业学报</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2012,24</w:t>
            </w:r>
            <w:r>
              <w:rPr>
                <w:rFonts w:eastAsia="仿宋_GB2312"/>
                <w:szCs w:val="21"/>
              </w:rPr>
              <w:t>，（</w:t>
            </w:r>
            <w:r>
              <w:rPr>
                <w:rFonts w:eastAsia="仿宋_GB2312"/>
                <w:szCs w:val="21"/>
              </w:rPr>
              <w:t>2</w:t>
            </w:r>
            <w:r>
              <w:rPr>
                <w:rFonts w:eastAsia="仿宋_GB2312"/>
                <w:szCs w:val="21"/>
              </w:rPr>
              <w:t>）：</w:t>
            </w:r>
            <w:r>
              <w:rPr>
                <w:rFonts w:eastAsia="仿宋_GB2312"/>
                <w:szCs w:val="21"/>
              </w:rPr>
              <w:t>42-45</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王伟</w:t>
            </w:r>
            <w:r>
              <w:rPr>
                <w:rFonts w:eastAsia="仿宋_GB2312"/>
                <w:szCs w:val="21"/>
              </w:rPr>
              <w:t>*</w:t>
            </w:r>
            <w:r>
              <w:rPr>
                <w:rFonts w:eastAsia="仿宋_GB2312"/>
                <w:szCs w:val="21"/>
              </w:rPr>
              <w:t>，王楠</w:t>
            </w:r>
            <w:r>
              <w:rPr>
                <w:rFonts w:eastAsia="仿宋_GB2312"/>
                <w:szCs w:val="21"/>
              </w:rPr>
              <w:t>*</w:t>
            </w:r>
            <w:r>
              <w:rPr>
                <w:rFonts w:eastAsia="仿宋_GB2312"/>
                <w:szCs w:val="21"/>
              </w:rPr>
              <w:t>，周兵，张玉</w:t>
            </w:r>
            <w:r>
              <w:rPr>
                <w:rFonts w:eastAsia="仿宋_GB2312"/>
                <w:szCs w:val="21"/>
              </w:rPr>
              <w:t>*</w:t>
            </w:r>
            <w:r>
              <w:rPr>
                <w:rFonts w:eastAsia="仿宋_GB2312"/>
                <w:szCs w:val="21"/>
              </w:rPr>
              <w:t>，吴小清，徐丽红，王建清</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4</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Antihypertensive Properties on Spontaneously Hypertensive Rats of Peptide Hydrolysates from Silkworm Pupae Protein</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Food and Nutrition Sciences</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2014, 5:1202-1211</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Wei Wang*, Nan Wang*, Yu Zhang*</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5</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微波辅助酶解对甲鱼蛋白肽抗氧化活性的影响</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中国食品学报</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2017</w:t>
            </w:r>
            <w:r>
              <w:rPr>
                <w:rFonts w:eastAsia="仿宋_GB2312"/>
                <w:szCs w:val="21"/>
              </w:rPr>
              <w:t>，</w:t>
            </w:r>
            <w:r>
              <w:rPr>
                <w:rFonts w:eastAsia="仿宋_GB2312"/>
                <w:szCs w:val="21"/>
              </w:rPr>
              <w:t>11</w:t>
            </w:r>
            <w:r>
              <w:rPr>
                <w:rFonts w:eastAsia="仿宋_GB2312"/>
                <w:szCs w:val="21"/>
              </w:rPr>
              <w:t>，</w:t>
            </w:r>
            <w:r>
              <w:rPr>
                <w:rFonts w:eastAsia="仿宋_GB2312"/>
                <w:szCs w:val="21"/>
              </w:rPr>
              <w:t>131-137</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王楠</w:t>
            </w:r>
            <w:r>
              <w:rPr>
                <w:rFonts w:eastAsia="仿宋_GB2312"/>
                <w:szCs w:val="21"/>
              </w:rPr>
              <w:t>*</w:t>
            </w:r>
            <w:r>
              <w:rPr>
                <w:rFonts w:eastAsia="仿宋_GB2312"/>
                <w:szCs w:val="21"/>
              </w:rPr>
              <w:t>，陈晓媛，饶桂维，王伟</w:t>
            </w:r>
            <w:r>
              <w:rPr>
                <w:rFonts w:eastAsia="仿宋_GB2312"/>
                <w:szCs w:val="21"/>
              </w:rPr>
              <w:t>*</w:t>
            </w:r>
            <w:r>
              <w:rPr>
                <w:rFonts w:eastAsia="仿宋_GB2312"/>
                <w:szCs w:val="21"/>
              </w:rPr>
              <w:t>，</w:t>
            </w:r>
            <w:r>
              <w:rPr>
                <w:rFonts w:eastAsia="仿宋_GB2312"/>
                <w:szCs w:val="21"/>
              </w:rPr>
              <w:t xml:space="preserve"> </w:t>
            </w:r>
            <w:r>
              <w:rPr>
                <w:rFonts w:eastAsia="仿宋_GB2312"/>
                <w:szCs w:val="21"/>
              </w:rPr>
              <w:t>金建昌，陈永洲，刘彩琴</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6</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蚕蛹蛋白酶解肽对糖尿病小鼠的降血糖作用</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浙江农业科学</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2018</w:t>
            </w:r>
            <w:r>
              <w:rPr>
                <w:rFonts w:eastAsia="仿宋_GB2312"/>
                <w:szCs w:val="21"/>
              </w:rPr>
              <w:t>，</w:t>
            </w:r>
            <w:r>
              <w:rPr>
                <w:rFonts w:eastAsia="仿宋_GB2312"/>
                <w:szCs w:val="21"/>
              </w:rPr>
              <w:t>59 ( 2) : 266-268</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张玉</w:t>
            </w:r>
            <w:r>
              <w:rPr>
                <w:rFonts w:eastAsia="仿宋_GB2312"/>
                <w:szCs w:val="21"/>
              </w:rPr>
              <w:t>*</w:t>
            </w:r>
            <w:r>
              <w:rPr>
                <w:rFonts w:eastAsia="仿宋_GB2312"/>
                <w:szCs w:val="21"/>
              </w:rPr>
              <w:t>，王君虹</w:t>
            </w:r>
            <w:r>
              <w:rPr>
                <w:rFonts w:eastAsia="仿宋_GB2312"/>
                <w:szCs w:val="21"/>
              </w:rPr>
              <w:t>*</w:t>
            </w:r>
            <w:r>
              <w:rPr>
                <w:rFonts w:eastAsia="仿宋_GB2312"/>
                <w:szCs w:val="21"/>
              </w:rPr>
              <w:t>，王伟</w:t>
            </w:r>
            <w:r>
              <w:rPr>
                <w:rFonts w:eastAsia="仿宋_GB2312"/>
                <w:szCs w:val="21"/>
              </w:rPr>
              <w:t>*</w:t>
            </w:r>
            <w:r>
              <w:rPr>
                <w:rFonts w:eastAsia="仿宋_GB2312"/>
                <w:szCs w:val="21"/>
              </w:rPr>
              <w:t>，朱作艺</w:t>
            </w:r>
            <w:r>
              <w:rPr>
                <w:rFonts w:eastAsia="仿宋_GB2312"/>
                <w:szCs w:val="21"/>
              </w:rPr>
              <w:t>*</w:t>
            </w:r>
            <w:r>
              <w:rPr>
                <w:rFonts w:eastAsia="仿宋_GB2312"/>
                <w:szCs w:val="21"/>
              </w:rPr>
              <w:t>，李雪</w:t>
            </w:r>
            <w:r>
              <w:rPr>
                <w:rFonts w:eastAsia="仿宋_GB2312"/>
                <w:szCs w:val="21"/>
              </w:rPr>
              <w:t>*</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7</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基于响应面优化法的蚕蛹蛋白降血脂肽的酶解条件优化</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食品工业科技</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2014,35</w:t>
            </w:r>
            <w:r>
              <w:rPr>
                <w:rFonts w:eastAsia="仿宋_GB2312"/>
                <w:szCs w:val="21"/>
              </w:rPr>
              <w:t>（</w:t>
            </w:r>
            <w:r>
              <w:rPr>
                <w:rFonts w:eastAsia="仿宋_GB2312"/>
                <w:szCs w:val="21"/>
              </w:rPr>
              <w:t>16</w:t>
            </w:r>
            <w:r>
              <w:rPr>
                <w:rFonts w:eastAsia="仿宋_GB2312"/>
                <w:szCs w:val="21"/>
              </w:rPr>
              <w:t>）：</w:t>
            </w:r>
            <w:r>
              <w:rPr>
                <w:rFonts w:eastAsia="仿宋_GB2312"/>
                <w:szCs w:val="21"/>
              </w:rPr>
              <w:t>175-179</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杨玉英，王伟</w:t>
            </w:r>
            <w:r>
              <w:rPr>
                <w:rFonts w:eastAsia="仿宋_GB2312"/>
                <w:szCs w:val="21"/>
              </w:rPr>
              <w:t>*</w:t>
            </w:r>
            <w:r>
              <w:rPr>
                <w:rFonts w:eastAsia="仿宋_GB2312"/>
                <w:szCs w:val="21"/>
              </w:rPr>
              <w:t>，张玉</w:t>
            </w:r>
            <w:r>
              <w:rPr>
                <w:rFonts w:eastAsia="仿宋_GB2312"/>
                <w:szCs w:val="21"/>
              </w:rPr>
              <w:t>*</w:t>
            </w:r>
            <w:r>
              <w:rPr>
                <w:rFonts w:eastAsia="仿宋_GB2312"/>
                <w:szCs w:val="21"/>
              </w:rPr>
              <w:t>，张一帆，邬应龙</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lastRenderedPageBreak/>
              <w:t>8</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Purification and Characterization of Antiproliferative Peptide from Enzymatic Hydrolysates of Chinese Soft-Shelled Turtle Protein</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International Journal  of Agriculture and Biology</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2018</w:t>
            </w:r>
            <w:r>
              <w:rPr>
                <w:rFonts w:eastAsia="仿宋_GB2312"/>
                <w:szCs w:val="21"/>
              </w:rPr>
              <w:t>，</w:t>
            </w:r>
            <w:r>
              <w:rPr>
                <w:rFonts w:eastAsia="仿宋_GB2312"/>
                <w:szCs w:val="21"/>
              </w:rPr>
              <w:t>20</w:t>
            </w:r>
            <w:r>
              <w:rPr>
                <w:rFonts w:eastAsia="仿宋_GB2312"/>
                <w:szCs w:val="21"/>
              </w:rPr>
              <w:t>（</w:t>
            </w:r>
            <w:r>
              <w:rPr>
                <w:rFonts w:eastAsia="仿宋_GB2312"/>
                <w:szCs w:val="21"/>
              </w:rPr>
              <w:t>1</w:t>
            </w:r>
            <w:r>
              <w:rPr>
                <w:rFonts w:eastAsia="仿宋_GB2312"/>
                <w:szCs w:val="21"/>
              </w:rPr>
              <w:t>）：</w:t>
            </w:r>
            <w:r>
              <w:rPr>
                <w:rFonts w:eastAsia="仿宋_GB2312"/>
                <w:szCs w:val="21"/>
              </w:rPr>
              <w:t>209~214</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Nan Wang*, Wei Wang*, Xiaoxiang Liu,  Caiqin Liu,  Jin Jiancang,  Yin Lu</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9</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Isolation of a novel peptide from silkworm pupae protein components and interaction characteristics to angiotensin I-converting enzyme</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European food research and technology</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2011,232:29-38</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Wei Wang*, Nan Wang*, Yu Zhou, Yu Zhang*, Lihong Xu</w:t>
            </w:r>
            <w:r>
              <w:rPr>
                <w:rFonts w:eastAsia="仿宋_GB2312"/>
                <w:szCs w:val="21"/>
              </w:rPr>
              <w:t>，</w:t>
            </w:r>
            <w:r>
              <w:rPr>
                <w:rFonts w:eastAsia="仿宋_GB2312"/>
                <w:szCs w:val="21"/>
              </w:rPr>
              <w:t>Junfeng Xu</w:t>
            </w:r>
            <w:r>
              <w:rPr>
                <w:rFonts w:eastAsia="仿宋_GB2312"/>
                <w:szCs w:val="21"/>
              </w:rPr>
              <w:t>，</w:t>
            </w:r>
            <w:r>
              <w:rPr>
                <w:rFonts w:eastAsia="仿宋_GB2312"/>
                <w:szCs w:val="21"/>
              </w:rPr>
              <w:t>Fengqing Feng</w:t>
            </w:r>
            <w:r>
              <w:rPr>
                <w:rFonts w:eastAsia="仿宋_GB2312"/>
                <w:szCs w:val="21"/>
              </w:rPr>
              <w:t>，</w:t>
            </w:r>
            <w:r>
              <w:rPr>
                <w:rFonts w:eastAsia="仿宋_GB2312"/>
                <w:szCs w:val="21"/>
              </w:rPr>
              <w:t>Guoqing He</w:t>
            </w:r>
          </w:p>
        </w:tc>
      </w:tr>
      <w:tr w:rsidR="00880184">
        <w:trPr>
          <w:trHeight w:val="968"/>
          <w:jc w:val="center"/>
        </w:trPr>
        <w:tc>
          <w:tcPr>
            <w:tcW w:w="710" w:type="dxa"/>
            <w:tcBorders>
              <w:top w:val="single" w:sz="4" w:space="0" w:color="auto"/>
              <w:left w:val="single" w:sz="8" w:space="0" w:color="auto"/>
              <w:bottom w:val="single" w:sz="4" w:space="0" w:color="auto"/>
              <w:right w:val="single" w:sz="4" w:space="0" w:color="auto"/>
            </w:tcBorders>
            <w:vAlign w:val="center"/>
          </w:tcPr>
          <w:p w:rsidR="00880184" w:rsidRDefault="00E40389">
            <w:pPr>
              <w:jc w:val="center"/>
              <w:rPr>
                <w:rFonts w:eastAsia="仿宋_GB2312"/>
                <w:szCs w:val="21"/>
              </w:rPr>
            </w:pPr>
            <w:r>
              <w:rPr>
                <w:rFonts w:eastAsia="仿宋_GB2312"/>
                <w:szCs w:val="21"/>
              </w:rPr>
              <w:t>10</w:t>
            </w:r>
          </w:p>
        </w:tc>
        <w:tc>
          <w:tcPr>
            <w:tcW w:w="3471"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A Convenient RP-HPLC Method for Assay Bioactivities of Angiotensin I-Converting Enzyme Inhibitory Peptides</w:t>
            </w:r>
          </w:p>
        </w:tc>
        <w:tc>
          <w:tcPr>
            <w:tcW w:w="1437"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ISRN biotechnology</w:t>
            </w:r>
          </w:p>
        </w:tc>
        <w:tc>
          <w:tcPr>
            <w:tcW w:w="2155" w:type="dxa"/>
            <w:tcBorders>
              <w:top w:val="single" w:sz="4" w:space="0" w:color="auto"/>
              <w:left w:val="single" w:sz="4" w:space="0" w:color="auto"/>
              <w:bottom w:val="single" w:sz="4" w:space="0" w:color="auto"/>
              <w:right w:val="single" w:sz="4" w:space="0" w:color="auto"/>
            </w:tcBorders>
            <w:vAlign w:val="center"/>
          </w:tcPr>
          <w:p w:rsidR="00880184" w:rsidRDefault="00E40389">
            <w:pPr>
              <w:rPr>
                <w:rFonts w:eastAsia="仿宋_GB2312"/>
                <w:szCs w:val="21"/>
              </w:rPr>
            </w:pPr>
            <w:r>
              <w:rPr>
                <w:rFonts w:eastAsia="仿宋_GB2312"/>
                <w:szCs w:val="21"/>
              </w:rPr>
              <w:t>2013,8</w:t>
            </w:r>
            <w:r>
              <w:rPr>
                <w:rFonts w:eastAsia="仿宋_GB2312"/>
                <w:szCs w:val="21"/>
              </w:rPr>
              <w:t>：</w:t>
            </w:r>
            <w:r>
              <w:rPr>
                <w:rFonts w:eastAsia="仿宋_GB2312"/>
                <w:szCs w:val="21"/>
              </w:rPr>
              <w:t>1-5</w:t>
            </w:r>
          </w:p>
        </w:tc>
        <w:tc>
          <w:tcPr>
            <w:tcW w:w="2150" w:type="dxa"/>
            <w:tcBorders>
              <w:top w:val="single" w:sz="4" w:space="0" w:color="auto"/>
              <w:left w:val="single" w:sz="4" w:space="0" w:color="auto"/>
              <w:bottom w:val="single" w:sz="4" w:space="0" w:color="auto"/>
              <w:right w:val="single" w:sz="8" w:space="0" w:color="auto"/>
            </w:tcBorders>
            <w:vAlign w:val="center"/>
          </w:tcPr>
          <w:p w:rsidR="00880184" w:rsidRDefault="00E40389">
            <w:pPr>
              <w:rPr>
                <w:rFonts w:eastAsia="仿宋_GB2312"/>
                <w:szCs w:val="21"/>
              </w:rPr>
            </w:pPr>
            <w:r>
              <w:rPr>
                <w:rFonts w:eastAsia="仿宋_GB2312"/>
                <w:szCs w:val="21"/>
              </w:rPr>
              <w:t>Wei Wang*, Nan Wang*, Yu Zhang*, Zheng Cai, Qihe Chen* Guoqing He</w:t>
            </w:r>
          </w:p>
        </w:tc>
      </w:tr>
    </w:tbl>
    <w:p w:rsidR="00880184" w:rsidRDefault="00880184">
      <w:pPr>
        <w:pStyle w:val="a7"/>
        <w:ind w:firstLine="480"/>
      </w:pPr>
    </w:p>
    <w:p w:rsidR="00880184" w:rsidRDefault="00880184">
      <w:pPr>
        <w:pStyle w:val="a7"/>
        <w:ind w:firstLineChars="0" w:firstLine="0"/>
        <w:jc w:val="center"/>
        <w:rPr>
          <w:rFonts w:ascii="宋体" w:eastAsia="宋体" w:hAnsi="宋体" w:cs="宋体"/>
          <w:b/>
          <w:bCs/>
          <w:sz w:val="30"/>
          <w:szCs w:val="30"/>
        </w:rPr>
      </w:pPr>
    </w:p>
    <w:p w:rsidR="00880184" w:rsidRDefault="00880184">
      <w:pPr>
        <w:spacing w:line="300" w:lineRule="auto"/>
        <w:rPr>
          <w:rFonts w:ascii="宋体" w:hAnsi="宋体" w:cs="宋体"/>
        </w:rPr>
      </w:pPr>
    </w:p>
    <w:sectPr w:rsidR="00880184" w:rsidSect="00880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6C4" w:rsidRDefault="005976C4" w:rsidP="008B2D52">
      <w:r>
        <w:separator/>
      </w:r>
    </w:p>
  </w:endnote>
  <w:endnote w:type="continuationSeparator" w:id="0">
    <w:p w:rsidR="005976C4" w:rsidRDefault="005976C4" w:rsidP="008B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6C4" w:rsidRDefault="005976C4" w:rsidP="008B2D52">
      <w:r>
        <w:separator/>
      </w:r>
    </w:p>
  </w:footnote>
  <w:footnote w:type="continuationSeparator" w:id="0">
    <w:p w:rsidR="005976C4" w:rsidRDefault="005976C4" w:rsidP="008B2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20"/>
    <w:rsid w:val="0001026B"/>
    <w:rsid w:val="000272D8"/>
    <w:rsid w:val="00086ADC"/>
    <w:rsid w:val="00176C7D"/>
    <w:rsid w:val="001C6545"/>
    <w:rsid w:val="002859C8"/>
    <w:rsid w:val="002A2520"/>
    <w:rsid w:val="00363845"/>
    <w:rsid w:val="00376849"/>
    <w:rsid w:val="003C43DC"/>
    <w:rsid w:val="00507173"/>
    <w:rsid w:val="005366EE"/>
    <w:rsid w:val="00547A76"/>
    <w:rsid w:val="00550F90"/>
    <w:rsid w:val="00566300"/>
    <w:rsid w:val="00587404"/>
    <w:rsid w:val="005976C4"/>
    <w:rsid w:val="005D72A1"/>
    <w:rsid w:val="006259A9"/>
    <w:rsid w:val="00641E56"/>
    <w:rsid w:val="00653B80"/>
    <w:rsid w:val="006759CB"/>
    <w:rsid w:val="00772BB9"/>
    <w:rsid w:val="00836EFA"/>
    <w:rsid w:val="00880184"/>
    <w:rsid w:val="008B2D52"/>
    <w:rsid w:val="0095226B"/>
    <w:rsid w:val="00980643"/>
    <w:rsid w:val="00AD53B8"/>
    <w:rsid w:val="00CB11EA"/>
    <w:rsid w:val="00CC2B11"/>
    <w:rsid w:val="00CE6570"/>
    <w:rsid w:val="00D02E1A"/>
    <w:rsid w:val="00DC2CC8"/>
    <w:rsid w:val="00E40389"/>
    <w:rsid w:val="00EB29E9"/>
    <w:rsid w:val="00FA7FF5"/>
    <w:rsid w:val="00FB08CD"/>
    <w:rsid w:val="0F43162B"/>
    <w:rsid w:val="106B2D38"/>
    <w:rsid w:val="2E752047"/>
    <w:rsid w:val="3D813F01"/>
    <w:rsid w:val="40301249"/>
    <w:rsid w:val="4A7B4468"/>
    <w:rsid w:val="4F2103FE"/>
    <w:rsid w:val="527C7D61"/>
    <w:rsid w:val="5FA109C3"/>
    <w:rsid w:val="65257BA0"/>
    <w:rsid w:val="6D4675AD"/>
    <w:rsid w:val="70657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048B1B-DBCE-4E5A-B980-777A9C2E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1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80184"/>
    <w:pPr>
      <w:tabs>
        <w:tab w:val="center" w:pos="4153"/>
        <w:tab w:val="right" w:pos="8306"/>
      </w:tabs>
      <w:snapToGrid w:val="0"/>
      <w:jc w:val="left"/>
    </w:pPr>
    <w:rPr>
      <w:sz w:val="18"/>
      <w:szCs w:val="18"/>
    </w:rPr>
  </w:style>
  <w:style w:type="paragraph" w:styleId="a4">
    <w:name w:val="header"/>
    <w:basedOn w:val="a"/>
    <w:link w:val="Char0"/>
    <w:qFormat/>
    <w:rsid w:val="00880184"/>
    <w:pPr>
      <w:pBdr>
        <w:bottom w:val="single" w:sz="6" w:space="1" w:color="auto"/>
      </w:pBdr>
      <w:tabs>
        <w:tab w:val="center" w:pos="4153"/>
        <w:tab w:val="right" w:pos="8306"/>
      </w:tabs>
      <w:snapToGrid w:val="0"/>
      <w:jc w:val="center"/>
    </w:pPr>
    <w:rPr>
      <w:sz w:val="18"/>
      <w:szCs w:val="18"/>
    </w:rPr>
  </w:style>
  <w:style w:type="character" w:styleId="a5">
    <w:name w:val="Hyperlink"/>
    <w:uiPriority w:val="99"/>
    <w:qFormat/>
    <w:rsid w:val="00880184"/>
    <w:rPr>
      <w:rFonts w:cs="Times New Roman"/>
      <w:color w:val="0000FF"/>
      <w:u w:val="single"/>
    </w:rPr>
  </w:style>
  <w:style w:type="paragraph" w:styleId="a6">
    <w:name w:val="List Paragraph"/>
    <w:basedOn w:val="a"/>
    <w:uiPriority w:val="34"/>
    <w:qFormat/>
    <w:rsid w:val="00880184"/>
    <w:pPr>
      <w:ind w:firstLineChars="200" w:firstLine="420"/>
    </w:pPr>
  </w:style>
  <w:style w:type="character" w:customStyle="1" w:styleId="Char0">
    <w:name w:val="页眉 Char"/>
    <w:basedOn w:val="a0"/>
    <w:link w:val="a4"/>
    <w:qFormat/>
    <w:rsid w:val="00880184"/>
    <w:rPr>
      <w:kern w:val="2"/>
      <w:sz w:val="18"/>
      <w:szCs w:val="18"/>
    </w:rPr>
  </w:style>
  <w:style w:type="character" w:customStyle="1" w:styleId="Char">
    <w:name w:val="页脚 Char"/>
    <w:basedOn w:val="a0"/>
    <w:link w:val="a3"/>
    <w:qFormat/>
    <w:rsid w:val="00880184"/>
    <w:rPr>
      <w:kern w:val="2"/>
      <w:sz w:val="18"/>
      <w:szCs w:val="18"/>
    </w:rPr>
  </w:style>
  <w:style w:type="paragraph" w:customStyle="1" w:styleId="a7">
    <w:name w:val="页面正文"/>
    <w:basedOn w:val="a"/>
    <w:qFormat/>
    <w:rsid w:val="00880184"/>
    <w:pPr>
      <w:spacing w:line="360" w:lineRule="auto"/>
      <w:ind w:firstLineChars="200" w:firstLine="200"/>
    </w:pPr>
    <w:rPr>
      <w:rFonts w:eastAsia="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671</Words>
  <Characters>3825</Characters>
  <Application>Microsoft Office Word</Application>
  <DocSecurity>0</DocSecurity>
  <Lines>31</Lines>
  <Paragraphs>8</Paragraphs>
  <ScaleCrop>false</ScaleCrop>
  <Company>Lenovo (Beijing) Limited</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wjm</dc:creator>
  <cp:lastModifiedBy>ZJU</cp:lastModifiedBy>
  <cp:revision>2</cp:revision>
  <dcterms:created xsi:type="dcterms:W3CDTF">2020-12-16T02:42:00Z</dcterms:created>
  <dcterms:modified xsi:type="dcterms:W3CDTF">2020-12-16T02:42:00Z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