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9239CF">
      <w:pPr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宁波市科学技术进步奖公示</w:t>
      </w:r>
    </w:p>
    <w:p w14:paraId="3BC087FA">
      <w:pPr>
        <w:jc w:val="center"/>
        <w:rPr>
          <w:rFonts w:hint="eastAsia" w:ascii="方正小标宋简体" w:eastAsia="方正小标宋简体"/>
          <w:sz w:val="36"/>
          <w:szCs w:val="36"/>
        </w:rPr>
      </w:pPr>
    </w:p>
    <w:p w14:paraId="642D4A20">
      <w:pPr>
        <w:pStyle w:val="32"/>
        <w:numPr>
          <w:ilvl w:val="0"/>
          <w:numId w:val="1"/>
        </w:numPr>
        <w:spacing w:line="500" w:lineRule="exact"/>
        <w:ind w:left="567" w:hanging="567"/>
        <w:rPr>
          <w:rFonts w:hint="eastAsia" w:eastAsia="仿宋_GB2312"/>
          <w:kern w:val="0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成果名称</w:t>
      </w:r>
      <w:r>
        <w:rPr>
          <w:rFonts w:hint="eastAsia" w:eastAsia="仿宋_GB2312"/>
          <w:kern w:val="0"/>
          <w:sz w:val="32"/>
          <w:szCs w:val="32"/>
        </w:rPr>
        <w:t>：传统腌制菜精准发酵关键技术与智能化加工</w:t>
      </w:r>
      <w:r>
        <w:rPr>
          <w:rFonts w:hint="eastAsia" w:eastAsia="仿宋_GB2312"/>
          <w:kern w:val="0"/>
          <w:sz w:val="32"/>
          <w:szCs w:val="32"/>
          <w:lang w:val="en-US" w:eastAsia="zh-CN"/>
        </w:rPr>
        <w:t>设备</w:t>
      </w:r>
      <w:r>
        <w:rPr>
          <w:rFonts w:hint="eastAsia" w:eastAsia="仿宋_GB2312"/>
          <w:kern w:val="0"/>
          <w:sz w:val="32"/>
          <w:szCs w:val="32"/>
        </w:rPr>
        <w:t>研发及产业化</w:t>
      </w:r>
    </w:p>
    <w:p w14:paraId="38819254">
      <w:pPr>
        <w:pStyle w:val="32"/>
        <w:spacing w:line="500" w:lineRule="exact"/>
        <w:ind w:left="567" w:hanging="6966"/>
        <w:rPr>
          <w:rFonts w:hint="eastAsia" w:eastAsia="仿宋_GB2312"/>
          <w:kern w:val="0"/>
          <w:sz w:val="32"/>
          <w:szCs w:val="32"/>
        </w:rPr>
      </w:pPr>
    </w:p>
    <w:p w14:paraId="5DD77F26">
      <w:pPr>
        <w:pStyle w:val="32"/>
        <w:numPr>
          <w:ilvl w:val="0"/>
          <w:numId w:val="1"/>
        </w:numPr>
        <w:spacing w:line="500" w:lineRule="exact"/>
        <w:ind w:left="567" w:hanging="567"/>
        <w:rPr>
          <w:rFonts w:hint="eastAsia" w:eastAsia="仿宋_GB2312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提名</w:t>
      </w:r>
      <w:r>
        <w:rPr>
          <w:rFonts w:eastAsia="仿宋_GB2312"/>
          <w:sz w:val="32"/>
          <w:szCs w:val="32"/>
        </w:rPr>
        <w:t>等级</w:t>
      </w:r>
      <w:r>
        <w:rPr>
          <w:rFonts w:hint="eastAsia" w:eastAsia="仿宋_GB2312"/>
          <w:sz w:val="32"/>
          <w:szCs w:val="32"/>
        </w:rPr>
        <w:t>：科学技术进步奖一等奖或二等奖</w:t>
      </w:r>
    </w:p>
    <w:p w14:paraId="2F35BE74">
      <w:pPr>
        <w:spacing w:line="500" w:lineRule="exact"/>
        <w:rPr>
          <w:rFonts w:hint="eastAsia" w:eastAsia="仿宋_GB2312"/>
          <w:kern w:val="0"/>
          <w:sz w:val="32"/>
          <w:szCs w:val="32"/>
        </w:rPr>
      </w:pPr>
    </w:p>
    <w:p w14:paraId="3BD84653">
      <w:pPr>
        <w:pStyle w:val="32"/>
        <w:numPr>
          <w:ilvl w:val="0"/>
          <w:numId w:val="1"/>
        </w:numPr>
        <w:spacing w:line="500" w:lineRule="exact"/>
        <w:ind w:left="567" w:hanging="567"/>
        <w:rPr>
          <w:rFonts w:hint="eastAsia" w:eastAsia="仿宋_GB2312"/>
          <w:kern w:val="0"/>
          <w:sz w:val="32"/>
          <w:szCs w:val="32"/>
        </w:rPr>
      </w:pPr>
      <w:r>
        <w:rPr>
          <w:rFonts w:eastAsia="仿宋_GB2312"/>
          <w:sz w:val="32"/>
          <w:szCs w:val="32"/>
        </w:rPr>
        <w:t>提名者</w:t>
      </w:r>
      <w:r>
        <w:rPr>
          <w:rFonts w:hint="eastAsia" w:eastAsia="仿宋_GB2312"/>
          <w:sz w:val="32"/>
          <w:szCs w:val="32"/>
        </w:rPr>
        <w:t>：宁波大学</w:t>
      </w:r>
    </w:p>
    <w:p w14:paraId="730EC45A">
      <w:pPr>
        <w:spacing w:line="500" w:lineRule="exact"/>
        <w:rPr>
          <w:rFonts w:hint="eastAsia" w:eastAsia="仿宋_GB2312"/>
          <w:kern w:val="0"/>
          <w:sz w:val="32"/>
          <w:szCs w:val="32"/>
        </w:rPr>
      </w:pPr>
    </w:p>
    <w:p w14:paraId="188FA79C">
      <w:pPr>
        <w:pStyle w:val="32"/>
        <w:numPr>
          <w:ilvl w:val="0"/>
          <w:numId w:val="1"/>
        </w:numPr>
        <w:spacing w:line="500" w:lineRule="exact"/>
        <w:ind w:left="567" w:hanging="567"/>
        <w:rPr>
          <w:rFonts w:hint="eastAsia" w:eastAsia="仿宋_GB2312"/>
          <w:kern w:val="0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主要完成人</w:t>
      </w:r>
      <w:r>
        <w:rPr>
          <w:rFonts w:hint="eastAsia" w:eastAsia="仿宋_GB2312"/>
          <w:kern w:val="0"/>
          <w:sz w:val="32"/>
          <w:szCs w:val="32"/>
        </w:rPr>
        <w:t>：</w:t>
      </w:r>
    </w:p>
    <w:p w14:paraId="5A1DC956">
      <w:pPr>
        <w:pStyle w:val="32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kern w:val="0"/>
          <w:sz w:val="32"/>
          <w:szCs w:val="32"/>
        </w:rPr>
        <w:t>刘亚楠、</w:t>
      </w:r>
      <w:r>
        <w:rPr>
          <w:rFonts w:hint="eastAsia" w:eastAsia="仿宋_GB2312"/>
          <w:sz w:val="32"/>
          <w:szCs w:val="32"/>
        </w:rPr>
        <w:t>孙志栋、史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eastAsia="仿宋_GB2312"/>
          <w:sz w:val="32"/>
          <w:szCs w:val="32"/>
        </w:rPr>
        <w:t>瑛、吴祖芳、马风力、张宇昊</w:t>
      </w:r>
      <w:r>
        <w:rPr>
          <w:rFonts w:hint="eastAsia" w:eastAsia="仿宋_GB2312"/>
          <w:sz w:val="32"/>
          <w:szCs w:val="32"/>
          <w:lang w:eastAsia="zh-CN"/>
        </w:rPr>
        <w:t>、</w:t>
      </w:r>
      <w:r>
        <w:rPr>
          <w:rFonts w:hint="eastAsia" w:eastAsia="仿宋_GB2312"/>
          <w:sz w:val="32"/>
          <w:szCs w:val="32"/>
        </w:rPr>
        <w:t>陈启和、孙志锋、何国庆、叶宇星、陈亦贺、翁祥杰、徐</w:t>
      </w:r>
      <w:r>
        <w:rPr>
          <w:rFonts w:hint="eastAsia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eastAsia="仿宋_GB2312"/>
          <w:sz w:val="32"/>
          <w:szCs w:val="32"/>
        </w:rPr>
        <w:t>云</w:t>
      </w:r>
    </w:p>
    <w:p w14:paraId="43C1D4E3">
      <w:pPr>
        <w:pStyle w:val="32"/>
        <w:spacing w:line="500" w:lineRule="exact"/>
        <w:ind w:left="567"/>
        <w:rPr>
          <w:rFonts w:hint="eastAsia" w:eastAsia="仿宋_GB2312"/>
          <w:kern w:val="0"/>
          <w:sz w:val="32"/>
          <w:szCs w:val="32"/>
        </w:rPr>
      </w:pPr>
    </w:p>
    <w:p w14:paraId="7E10F0D6">
      <w:pPr>
        <w:pStyle w:val="32"/>
        <w:numPr>
          <w:ilvl w:val="0"/>
          <w:numId w:val="1"/>
        </w:numPr>
        <w:spacing w:line="500" w:lineRule="exact"/>
        <w:ind w:left="567" w:hanging="567"/>
        <w:rPr>
          <w:rFonts w:hint="eastAsia" w:eastAsia="仿宋_GB2312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主要完成单位</w:t>
      </w:r>
      <w:r>
        <w:rPr>
          <w:rFonts w:hint="eastAsia" w:eastAsia="仿宋_GB2312"/>
          <w:sz w:val="32"/>
          <w:szCs w:val="32"/>
        </w:rPr>
        <w:t>：</w:t>
      </w:r>
    </w:p>
    <w:p w14:paraId="6AF442EB">
      <w:pPr>
        <w:pStyle w:val="32"/>
        <w:spacing w:line="50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宁波大学</w:t>
      </w:r>
    </w:p>
    <w:p w14:paraId="70DEF955">
      <w:pPr>
        <w:pStyle w:val="32"/>
        <w:spacing w:line="50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浙江大学</w:t>
      </w:r>
      <w:bookmarkStart w:id="2" w:name="_GoBack"/>
      <w:bookmarkEnd w:id="2"/>
    </w:p>
    <w:p w14:paraId="37B810E8">
      <w:pPr>
        <w:pStyle w:val="32"/>
        <w:spacing w:line="50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宁波铜钱桥食品菜业有限公司</w:t>
      </w:r>
    </w:p>
    <w:p w14:paraId="1DD087D6">
      <w:pPr>
        <w:pStyle w:val="32"/>
        <w:spacing w:line="50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杭州力超智能科技有限公司</w:t>
      </w:r>
    </w:p>
    <w:p w14:paraId="6BD0C378">
      <w:pPr>
        <w:pStyle w:val="32"/>
        <w:spacing w:line="500" w:lineRule="exact"/>
        <w:ind w:left="0" w:firstLine="640" w:firstLineChars="200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hint="eastAsia" w:eastAsia="仿宋_GB2312"/>
          <w:sz w:val="32"/>
          <w:szCs w:val="32"/>
          <w:lang w:val="en-US" w:eastAsia="zh-CN"/>
        </w:rPr>
        <w:t>西南大学</w:t>
      </w:r>
    </w:p>
    <w:p w14:paraId="3C0F7DD2">
      <w:pPr>
        <w:pStyle w:val="32"/>
        <w:spacing w:line="50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宁波</w:t>
      </w:r>
      <w:r>
        <w:rPr>
          <w:rFonts w:hint="eastAsia" w:eastAsia="仿宋_GB2312"/>
          <w:sz w:val="32"/>
          <w:szCs w:val="32"/>
          <w:lang w:val="en-US" w:eastAsia="zh-CN"/>
        </w:rPr>
        <w:t>市</w:t>
      </w:r>
      <w:r>
        <w:rPr>
          <w:rFonts w:hint="eastAsia" w:eastAsia="仿宋_GB2312"/>
          <w:sz w:val="32"/>
          <w:szCs w:val="32"/>
        </w:rPr>
        <w:t>鄞州三丰可味食品有限公司</w:t>
      </w:r>
    </w:p>
    <w:p w14:paraId="37FD290E">
      <w:pPr>
        <w:pStyle w:val="32"/>
        <w:spacing w:line="500" w:lineRule="exact"/>
        <w:ind w:left="0" w:firstLine="640" w:firstLineChars="200"/>
        <w:rPr>
          <w:rFonts w:hint="eastAsia"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宁波新紫云堂水产食品有限公司</w:t>
      </w:r>
    </w:p>
    <w:p w14:paraId="38AD352E">
      <w:pPr>
        <w:pStyle w:val="32"/>
        <w:spacing w:line="500" w:lineRule="exact"/>
        <w:ind w:left="0" w:firstLine="640" w:firstLineChars="200"/>
        <w:rPr>
          <w:rFonts w:hint="eastAsia" w:eastAsia="仿宋_GB2312"/>
          <w:sz w:val="32"/>
          <w:szCs w:val="32"/>
        </w:rPr>
      </w:pPr>
    </w:p>
    <w:p w14:paraId="74AAB241">
      <w:pPr>
        <w:pStyle w:val="32"/>
        <w:numPr>
          <w:ilvl w:val="0"/>
          <w:numId w:val="1"/>
        </w:numPr>
        <w:spacing w:line="500" w:lineRule="exact"/>
        <w:ind w:left="567" w:hanging="567"/>
        <w:rPr>
          <w:rFonts w:hint="eastAsia" w:eastAsia="仿宋_GB2312"/>
          <w:kern w:val="0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主要</w:t>
      </w:r>
      <w:r>
        <w:rPr>
          <w:rFonts w:eastAsia="仿宋_GB2312"/>
          <w:sz w:val="32"/>
          <w:szCs w:val="32"/>
        </w:rPr>
        <w:t>知识产权和标准规范</w:t>
      </w:r>
      <w:r>
        <w:rPr>
          <w:rFonts w:eastAsia="仿宋_GB2312"/>
          <w:kern w:val="0"/>
          <w:sz w:val="32"/>
          <w:szCs w:val="32"/>
        </w:rPr>
        <w:t>目录</w:t>
      </w:r>
      <w:r>
        <w:rPr>
          <w:rFonts w:hint="eastAsia" w:eastAsia="仿宋_GB2312"/>
          <w:kern w:val="0"/>
          <w:sz w:val="32"/>
          <w:szCs w:val="32"/>
        </w:rPr>
        <w:t>（见下表）</w:t>
      </w:r>
    </w:p>
    <w:p w14:paraId="53854F2A">
      <w:pPr>
        <w:spacing w:line="500" w:lineRule="exact"/>
        <w:rPr>
          <w:rFonts w:hint="eastAsia" w:eastAsia="仿宋_GB2312"/>
          <w:kern w:val="0"/>
          <w:sz w:val="32"/>
          <w:szCs w:val="32"/>
        </w:rPr>
      </w:pPr>
    </w:p>
    <w:p w14:paraId="3C3AD94C">
      <w:pPr>
        <w:pStyle w:val="32"/>
        <w:numPr>
          <w:ilvl w:val="0"/>
          <w:numId w:val="1"/>
        </w:numPr>
        <w:spacing w:line="500" w:lineRule="exact"/>
        <w:ind w:left="567" w:hanging="567"/>
        <w:rPr>
          <w:rFonts w:hint="eastAsia" w:eastAsia="仿宋_GB2312"/>
          <w:kern w:val="0"/>
          <w:sz w:val="32"/>
          <w:szCs w:val="32"/>
        </w:rPr>
      </w:pPr>
      <w:bookmarkStart w:id="0" w:name="_Hlk204961068"/>
      <w:bookmarkStart w:id="1" w:name="_Hlk204961648"/>
      <w:r>
        <w:rPr>
          <w:rFonts w:eastAsia="仿宋_GB2312"/>
          <w:kern w:val="0"/>
          <w:sz w:val="32"/>
          <w:szCs w:val="32"/>
        </w:rPr>
        <w:t>代表性论文专著目录</w:t>
      </w:r>
      <w:bookmarkEnd w:id="0"/>
      <w:r>
        <w:rPr>
          <w:rFonts w:hint="eastAsia" w:eastAsia="仿宋_GB2312"/>
          <w:kern w:val="0"/>
          <w:sz w:val="32"/>
          <w:szCs w:val="32"/>
        </w:rPr>
        <w:t>（见下表）</w:t>
      </w:r>
    </w:p>
    <w:bookmarkEnd w:id="1"/>
    <w:p w14:paraId="38AF06AF">
      <w:pPr>
        <w:rPr>
          <w:rFonts w:hint="eastAsia"/>
        </w:rPr>
      </w:pPr>
    </w:p>
    <w:p w14:paraId="2DA04BC1"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986FF54">
      <w:pPr>
        <w:jc w:val="center"/>
        <w:rPr>
          <w:rFonts w:hint="eastAsia" w:eastAsia="仿宋_GB2312"/>
          <w:b/>
          <w:bCs/>
          <w:kern w:val="0"/>
          <w:sz w:val="32"/>
          <w:szCs w:val="32"/>
        </w:rPr>
      </w:pPr>
      <w:r>
        <w:rPr>
          <w:rFonts w:eastAsia="仿宋_GB2312"/>
          <w:b/>
          <w:bCs/>
          <w:kern w:val="0"/>
          <w:sz w:val="32"/>
          <w:szCs w:val="32"/>
        </w:rPr>
        <w:t>主要</w:t>
      </w:r>
      <w:r>
        <w:rPr>
          <w:rFonts w:eastAsia="仿宋_GB2312"/>
          <w:b/>
          <w:bCs/>
          <w:sz w:val="32"/>
          <w:szCs w:val="32"/>
        </w:rPr>
        <w:t>知识产权和标准规范</w:t>
      </w:r>
      <w:r>
        <w:rPr>
          <w:rFonts w:eastAsia="仿宋_GB2312"/>
          <w:b/>
          <w:bCs/>
          <w:kern w:val="0"/>
          <w:sz w:val="32"/>
          <w:szCs w:val="32"/>
        </w:rPr>
        <w:t>目录</w:t>
      </w:r>
      <w:r>
        <w:rPr>
          <w:rFonts w:hint="eastAsia" w:eastAsia="仿宋_GB2312"/>
          <w:b/>
          <w:bCs/>
          <w:kern w:val="0"/>
          <w:sz w:val="32"/>
          <w:szCs w:val="32"/>
        </w:rPr>
        <w:t>（</w:t>
      </w:r>
      <w:r>
        <w:rPr>
          <w:rFonts w:hint="eastAsia" w:ascii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与代表性论文专著合计填写总数不超过10项</w:t>
      </w:r>
      <w:r>
        <w:rPr>
          <w:rFonts w:hint="eastAsia" w:eastAsia="仿宋_GB2312"/>
          <w:b/>
          <w:bCs/>
          <w:kern w:val="0"/>
          <w:sz w:val="32"/>
          <w:szCs w:val="32"/>
        </w:rPr>
        <w:t>）</w:t>
      </w:r>
    </w:p>
    <w:tbl>
      <w:tblPr>
        <w:tblStyle w:val="16"/>
        <w:tblW w:w="131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577"/>
        <w:gridCol w:w="1655"/>
        <w:gridCol w:w="1257"/>
        <w:gridCol w:w="3119"/>
        <w:gridCol w:w="3260"/>
      </w:tblGrid>
      <w:tr w14:paraId="3B2365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1305" w:type="dxa"/>
            <w:vAlign w:val="center"/>
          </w:tcPr>
          <w:p w14:paraId="4AFE4003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知识产权</w:t>
            </w:r>
          </w:p>
          <w:p w14:paraId="16EA8EBB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（标准规范）类别</w:t>
            </w:r>
          </w:p>
        </w:tc>
        <w:tc>
          <w:tcPr>
            <w:tcW w:w="2577" w:type="dxa"/>
            <w:vAlign w:val="center"/>
          </w:tcPr>
          <w:p w14:paraId="3F725508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知识产权（标准规范）具体名称</w:t>
            </w:r>
          </w:p>
        </w:tc>
        <w:tc>
          <w:tcPr>
            <w:tcW w:w="1655" w:type="dxa"/>
            <w:vAlign w:val="center"/>
          </w:tcPr>
          <w:p w14:paraId="2034D71F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授权号</w:t>
            </w:r>
          </w:p>
          <w:p w14:paraId="262D711E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（标准规范编号）</w:t>
            </w:r>
          </w:p>
        </w:tc>
        <w:tc>
          <w:tcPr>
            <w:tcW w:w="1257" w:type="dxa"/>
            <w:vAlign w:val="center"/>
          </w:tcPr>
          <w:p w14:paraId="38594FDC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授权（标准发布）日期</w:t>
            </w:r>
          </w:p>
        </w:tc>
        <w:tc>
          <w:tcPr>
            <w:tcW w:w="3119" w:type="dxa"/>
            <w:vAlign w:val="center"/>
          </w:tcPr>
          <w:p w14:paraId="55597B18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权利人（标准规范起草单位）</w:t>
            </w:r>
          </w:p>
        </w:tc>
        <w:tc>
          <w:tcPr>
            <w:tcW w:w="3260" w:type="dxa"/>
            <w:vAlign w:val="center"/>
          </w:tcPr>
          <w:p w14:paraId="64D42F31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发明人（标准规范起草人）</w:t>
            </w:r>
          </w:p>
        </w:tc>
      </w:tr>
      <w:tr w14:paraId="7ACC4B8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1305" w:type="dxa"/>
            <w:vAlign w:val="center"/>
          </w:tcPr>
          <w:p w14:paraId="1CC31A89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发明专利</w:t>
            </w:r>
          </w:p>
        </w:tc>
        <w:tc>
          <w:tcPr>
            <w:tcW w:w="2577" w:type="dxa"/>
            <w:vAlign w:val="center"/>
          </w:tcPr>
          <w:p w14:paraId="03DDBC3C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一种抗菌肽复合水凝胶及其制备方法和应用</w:t>
            </w:r>
          </w:p>
        </w:tc>
        <w:tc>
          <w:tcPr>
            <w:tcW w:w="1655" w:type="dxa"/>
            <w:vAlign w:val="center"/>
          </w:tcPr>
          <w:p w14:paraId="6C8B01B1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ZL 202410418276.5</w:t>
            </w:r>
          </w:p>
        </w:tc>
        <w:tc>
          <w:tcPr>
            <w:tcW w:w="1257" w:type="dxa"/>
            <w:vAlign w:val="center"/>
          </w:tcPr>
          <w:p w14:paraId="2BCCD079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2025.4.8</w:t>
            </w:r>
          </w:p>
        </w:tc>
        <w:tc>
          <w:tcPr>
            <w:tcW w:w="3119" w:type="dxa"/>
            <w:vAlign w:val="center"/>
          </w:tcPr>
          <w:p w14:paraId="6B667E75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宁波大学、宁波市产品食品质量检验研究院（宁波市纤维检验所）</w:t>
            </w:r>
          </w:p>
        </w:tc>
        <w:tc>
          <w:tcPr>
            <w:tcW w:w="3260" w:type="dxa"/>
            <w:vAlign w:val="center"/>
          </w:tcPr>
          <w:p w14:paraId="560E39CD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刘亚楠、斯沙、赵丹、罗小虎、于世娇、桑尚源、张鑫、贾玲玲</w:t>
            </w:r>
          </w:p>
        </w:tc>
      </w:tr>
      <w:tr w14:paraId="2186E6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1305" w:type="dxa"/>
            <w:vAlign w:val="center"/>
          </w:tcPr>
          <w:p w14:paraId="57E9C140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发明专利</w:t>
            </w:r>
          </w:p>
        </w:tc>
        <w:tc>
          <w:tcPr>
            <w:tcW w:w="2577" w:type="dxa"/>
            <w:vAlign w:val="center"/>
          </w:tcPr>
          <w:p w14:paraId="3DA7A04C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一株高效降解亚硝酸盐和高产酸的副干酪乳酪杆菌FMES-1及其应用</w:t>
            </w:r>
          </w:p>
        </w:tc>
        <w:tc>
          <w:tcPr>
            <w:tcW w:w="1655" w:type="dxa"/>
            <w:vAlign w:val="center"/>
          </w:tcPr>
          <w:p w14:paraId="62BD5A99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ZL 202310667880.7</w:t>
            </w:r>
          </w:p>
        </w:tc>
        <w:tc>
          <w:tcPr>
            <w:tcW w:w="1257" w:type="dxa"/>
            <w:vAlign w:val="center"/>
          </w:tcPr>
          <w:p w14:paraId="15499B5E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2024.5.14</w:t>
            </w:r>
          </w:p>
        </w:tc>
        <w:tc>
          <w:tcPr>
            <w:tcW w:w="3119" w:type="dxa"/>
            <w:vAlign w:val="center"/>
          </w:tcPr>
          <w:p w14:paraId="43DA1B52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浙江大学</w:t>
            </w:r>
          </w:p>
        </w:tc>
        <w:tc>
          <w:tcPr>
            <w:tcW w:w="3260" w:type="dxa"/>
            <w:vAlign w:val="center"/>
          </w:tcPr>
          <w:p w14:paraId="2156FF25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史瑛、刘思宇、陈启和、王禹锡、骆佳琪</w:t>
            </w:r>
          </w:p>
        </w:tc>
      </w:tr>
      <w:tr w14:paraId="1D893B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  <w:jc w:val="center"/>
        </w:trPr>
        <w:tc>
          <w:tcPr>
            <w:tcW w:w="1305" w:type="dxa"/>
            <w:vAlign w:val="center"/>
          </w:tcPr>
          <w:p w14:paraId="640A735E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发明专利</w:t>
            </w:r>
          </w:p>
        </w:tc>
        <w:tc>
          <w:tcPr>
            <w:tcW w:w="2577" w:type="dxa"/>
            <w:vAlign w:val="center"/>
          </w:tcPr>
          <w:p w14:paraId="7FF8C78B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配合酱腌菜罐装机的真空包装机</w:t>
            </w:r>
          </w:p>
        </w:tc>
        <w:tc>
          <w:tcPr>
            <w:tcW w:w="1655" w:type="dxa"/>
            <w:vAlign w:val="center"/>
          </w:tcPr>
          <w:p w14:paraId="060C1D01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ZL 201810253057.0</w:t>
            </w:r>
          </w:p>
        </w:tc>
        <w:tc>
          <w:tcPr>
            <w:tcW w:w="1257" w:type="dxa"/>
            <w:vAlign w:val="center"/>
          </w:tcPr>
          <w:p w14:paraId="19C16C6F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2024.6.18</w:t>
            </w:r>
          </w:p>
        </w:tc>
        <w:tc>
          <w:tcPr>
            <w:tcW w:w="3119" w:type="dxa"/>
            <w:vAlign w:val="center"/>
          </w:tcPr>
          <w:p w14:paraId="2C69933A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宁波铜钱桥食品菜业有限公司、余姚市阿姚皇食品有限公司、孙志栋</w:t>
            </w:r>
          </w:p>
        </w:tc>
        <w:tc>
          <w:tcPr>
            <w:tcW w:w="3260" w:type="dxa"/>
            <w:vAlign w:val="center"/>
          </w:tcPr>
          <w:p w14:paraId="6941D4AF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孙志栋、姚建才、李共国、叶兴乾、陈权辉</w:t>
            </w:r>
          </w:p>
        </w:tc>
      </w:tr>
      <w:tr w14:paraId="00041BE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vAlign w:val="center"/>
          </w:tcPr>
          <w:p w14:paraId="4F47FE06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发明专利</w:t>
            </w:r>
          </w:p>
        </w:tc>
        <w:tc>
          <w:tcPr>
            <w:tcW w:w="2577" w:type="dxa"/>
            <w:vAlign w:val="center"/>
          </w:tcPr>
          <w:p w14:paraId="17E9129C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一种基于深度学习的食品真空小包装缺陷检测系统</w:t>
            </w:r>
          </w:p>
        </w:tc>
        <w:tc>
          <w:tcPr>
            <w:tcW w:w="1655" w:type="dxa"/>
            <w:vAlign w:val="center"/>
          </w:tcPr>
          <w:p w14:paraId="637BA9C2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ZL 202310196854.0</w:t>
            </w:r>
          </w:p>
        </w:tc>
        <w:tc>
          <w:tcPr>
            <w:tcW w:w="1257" w:type="dxa"/>
            <w:vAlign w:val="center"/>
          </w:tcPr>
          <w:p w14:paraId="1A2C756F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2025.9.12</w:t>
            </w:r>
          </w:p>
        </w:tc>
        <w:tc>
          <w:tcPr>
            <w:tcW w:w="3119" w:type="dxa"/>
            <w:vAlign w:val="center"/>
          </w:tcPr>
          <w:p w14:paraId="36A1E3C3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浙江大学、杭州力超智能科技有限公司</w:t>
            </w:r>
          </w:p>
        </w:tc>
        <w:tc>
          <w:tcPr>
            <w:tcW w:w="3260" w:type="dxa"/>
            <w:vAlign w:val="center"/>
          </w:tcPr>
          <w:p w14:paraId="7BAB91C5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叶宇星、孙志锋、马风力、黄颖</w:t>
            </w:r>
          </w:p>
        </w:tc>
      </w:tr>
      <w:tr w14:paraId="4A09B39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vAlign w:val="center"/>
          </w:tcPr>
          <w:p w14:paraId="1075ABFF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实用新型</w:t>
            </w:r>
          </w:p>
        </w:tc>
        <w:tc>
          <w:tcPr>
            <w:tcW w:w="2577" w:type="dxa"/>
            <w:vAlign w:val="center"/>
          </w:tcPr>
          <w:p w14:paraId="559A0D39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一种榨菜皮筋机械化去除设备</w:t>
            </w:r>
          </w:p>
        </w:tc>
        <w:tc>
          <w:tcPr>
            <w:tcW w:w="1655" w:type="dxa"/>
            <w:vAlign w:val="center"/>
          </w:tcPr>
          <w:p w14:paraId="2ECE95F6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:lang w:val="en-US" w:eastAsia="zh-CN"/>
                <w14:ligatures w14:val="none"/>
              </w:rPr>
              <w:t>ZL</w:t>
            </w:r>
          </w:p>
          <w:p w14:paraId="582EE81E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202421123084.3</w:t>
            </w:r>
          </w:p>
        </w:tc>
        <w:tc>
          <w:tcPr>
            <w:tcW w:w="1257" w:type="dxa"/>
            <w:vAlign w:val="center"/>
          </w:tcPr>
          <w:p w14:paraId="5BA8B680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2025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:lang w:val="en-US" w:eastAsia="zh-CN"/>
                <w14:ligatures w14:val="none"/>
              </w:rPr>
              <w:t>.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:lang w:val="en-US" w:eastAsia="zh-CN"/>
                <w14:ligatures w14:val="none"/>
              </w:rPr>
              <w:t>.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11</w:t>
            </w:r>
          </w:p>
        </w:tc>
        <w:tc>
          <w:tcPr>
            <w:tcW w:w="3119" w:type="dxa"/>
            <w:vAlign w:val="center"/>
          </w:tcPr>
          <w:p w14:paraId="1C669709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西南大学</w:t>
            </w:r>
          </w:p>
        </w:tc>
        <w:tc>
          <w:tcPr>
            <w:tcW w:w="3260" w:type="dxa"/>
            <w:vAlign w:val="center"/>
          </w:tcPr>
          <w:p w14:paraId="2241A161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余永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:lang w:eastAsia="zh-CN"/>
                <w14:ligatures w14:val="none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张宇昊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:lang w:eastAsia="zh-CN"/>
                <w14:ligatures w14:val="none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朱瀚昆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:lang w:eastAsia="zh-CN"/>
                <w14:ligatures w14:val="none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马良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:lang w:eastAsia="zh-CN"/>
                <w14:ligatures w14:val="none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戴宏杰</w:t>
            </w:r>
          </w:p>
        </w:tc>
      </w:tr>
      <w:tr w14:paraId="4DD5280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vAlign w:val="center"/>
          </w:tcPr>
          <w:p w14:paraId="6AA14423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国家行业标准</w:t>
            </w:r>
          </w:p>
        </w:tc>
        <w:tc>
          <w:tcPr>
            <w:tcW w:w="2577" w:type="dxa"/>
            <w:vAlign w:val="center"/>
          </w:tcPr>
          <w:p w14:paraId="47BFD026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榨菜加工生产线</w:t>
            </w:r>
          </w:p>
        </w:tc>
        <w:tc>
          <w:tcPr>
            <w:tcW w:w="1655" w:type="dxa"/>
            <w:vAlign w:val="center"/>
          </w:tcPr>
          <w:p w14:paraId="24A12F0D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JB/T 14902-2025</w:t>
            </w:r>
          </w:p>
        </w:tc>
        <w:tc>
          <w:tcPr>
            <w:tcW w:w="1257" w:type="dxa"/>
            <w:vAlign w:val="center"/>
          </w:tcPr>
          <w:p w14:paraId="5696D91E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2025.4.10</w:t>
            </w:r>
          </w:p>
        </w:tc>
        <w:tc>
          <w:tcPr>
            <w:tcW w:w="3119" w:type="dxa"/>
            <w:vAlign w:val="center"/>
          </w:tcPr>
          <w:p w14:paraId="7414341A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宁波铜钱桥食品菜业有限公司、佛山市顺德区质量技术监督标准与编码所、广东省东莞市质量监督检测中心、西南大学、茂名华检实验科技有限公司、杭州力超智能科技有限公司、艾得客实业（湖北）有限公司</w:t>
            </w:r>
          </w:p>
        </w:tc>
        <w:tc>
          <w:tcPr>
            <w:tcW w:w="3260" w:type="dxa"/>
            <w:vAlign w:val="center"/>
          </w:tcPr>
          <w:p w14:paraId="461FD257">
            <w:pPr>
              <w:spacing w:after="0" w:line="240" w:lineRule="auto"/>
              <w:jc w:val="center"/>
              <w:rPr>
                <w:rFonts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szCs w:val="21"/>
                <w14:ligatures w14:val="none"/>
              </w:rPr>
              <w:t>孙志栋、李春、陈伟权、张宇昊、王广宁、孙志锋、毛皇江、赵丹、王世光、霍达、陈亦贺、周到、朱瀚昆、王焮灏、杨延辰、何亚凯、万丽娜、肖荣华</w:t>
            </w:r>
          </w:p>
        </w:tc>
      </w:tr>
    </w:tbl>
    <w:p w14:paraId="69487FE8">
      <w:pPr>
        <w:jc w:val="center"/>
        <w:rPr>
          <w:rFonts w:hint="eastAsia"/>
          <w:b/>
          <w:bCs/>
        </w:rPr>
      </w:pPr>
    </w:p>
    <w:p w14:paraId="1D5FC7CB">
      <w:pPr>
        <w:jc w:val="center"/>
        <w:rPr>
          <w:rFonts w:hint="eastAsia"/>
          <w:b/>
          <w:bCs/>
        </w:rPr>
      </w:pPr>
    </w:p>
    <w:p w14:paraId="7E80686C">
      <w:pPr>
        <w:jc w:val="center"/>
        <w:rPr>
          <w:rFonts w:hint="eastAsia"/>
          <w:b/>
          <w:bCs/>
        </w:rPr>
      </w:pPr>
    </w:p>
    <w:p w14:paraId="1F32E17C">
      <w:pPr>
        <w:jc w:val="center"/>
        <w:rPr>
          <w:rFonts w:hint="eastAsia"/>
          <w:b/>
          <w:bCs/>
        </w:rPr>
        <w:sectPr>
          <w:pgSz w:w="16838" w:h="11906" w:orient="landscape"/>
          <w:pgMar w:top="1276" w:right="1440" w:bottom="0" w:left="1440" w:header="851" w:footer="992" w:gutter="0"/>
          <w:cols w:space="425" w:num="1"/>
          <w:docGrid w:type="linesAndChars" w:linePitch="312" w:charSpace="0"/>
        </w:sectPr>
      </w:pPr>
    </w:p>
    <w:p w14:paraId="7E011B66">
      <w:pPr>
        <w:spacing w:after="0"/>
        <w:jc w:val="center"/>
        <w:rPr>
          <w:rFonts w:hint="eastAsia" w:eastAsia="仿宋_GB2312"/>
          <w:b/>
          <w:bCs/>
          <w:kern w:val="0"/>
          <w:sz w:val="32"/>
          <w:szCs w:val="32"/>
        </w:rPr>
      </w:pPr>
      <w:r>
        <w:rPr>
          <w:rFonts w:eastAsia="仿宋_GB2312"/>
          <w:b/>
          <w:bCs/>
          <w:kern w:val="0"/>
          <w:sz w:val="32"/>
          <w:szCs w:val="32"/>
        </w:rPr>
        <w:t>代表性论文专著目录</w:t>
      </w:r>
    </w:p>
    <w:tbl>
      <w:tblPr>
        <w:tblStyle w:val="16"/>
        <w:tblW w:w="9772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0"/>
        <w:gridCol w:w="3308"/>
        <w:gridCol w:w="2289"/>
        <w:gridCol w:w="1065"/>
      </w:tblGrid>
      <w:tr w14:paraId="65F44E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10" w:type="dxa"/>
            <w:vAlign w:val="center"/>
          </w:tcPr>
          <w:p w14:paraId="0B851198">
            <w:pPr>
              <w:jc w:val="center"/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所有作者</w:t>
            </w:r>
          </w:p>
        </w:tc>
        <w:tc>
          <w:tcPr>
            <w:tcW w:w="3308" w:type="dxa"/>
            <w:vAlign w:val="center"/>
          </w:tcPr>
          <w:p w14:paraId="0B009950">
            <w:pPr>
              <w:jc w:val="center"/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论文（专著）名称/刊物</w:t>
            </w:r>
          </w:p>
        </w:tc>
        <w:tc>
          <w:tcPr>
            <w:tcW w:w="228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6422B">
            <w:pPr>
              <w:jc w:val="center"/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年卷页码</w:t>
            </w:r>
          </w:p>
        </w:tc>
        <w:tc>
          <w:tcPr>
            <w:tcW w:w="10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536A0">
            <w:pPr>
              <w:jc w:val="center"/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发表时间</w:t>
            </w:r>
          </w:p>
          <w:p w14:paraId="26AD6B26">
            <w:pPr>
              <w:jc w:val="center"/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仿宋_GB2312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（年、月）</w:t>
            </w:r>
          </w:p>
        </w:tc>
      </w:tr>
      <w:tr w14:paraId="284E8B5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10" w:type="dxa"/>
            <w:vAlign w:val="center"/>
          </w:tcPr>
          <w:p w14:paraId="6867BEC1">
            <w:pPr>
              <w:spacing w:after="0" w:line="27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Shuai Li, Shijiao Yu, Dingding Xia, Peifang Weng, Zufang Wu, Yanan Liu</w:t>
            </w:r>
          </w:p>
        </w:tc>
        <w:tc>
          <w:tcPr>
            <w:tcW w:w="3308" w:type="dxa"/>
            <w:vAlign w:val="center"/>
          </w:tcPr>
          <w:p w14:paraId="6F0DEAF8">
            <w:pPr>
              <w:spacing w:after="0" w:line="27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Disparities and correlation of bacterial communities and physicochemical properties in traditional fermented suancai from different regions (Food Science and Human Wellness)</w:t>
            </w:r>
          </w:p>
        </w:tc>
        <w:tc>
          <w:tcPr>
            <w:tcW w:w="2289" w:type="dxa"/>
            <w:vAlign w:val="center"/>
          </w:tcPr>
          <w:p w14:paraId="03FC2BC7">
            <w:pPr>
              <w:spacing w:after="0" w:line="27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2025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14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1-17</w:t>
            </w:r>
          </w:p>
        </w:tc>
        <w:tc>
          <w:tcPr>
            <w:tcW w:w="1065" w:type="dxa"/>
            <w:vAlign w:val="center"/>
          </w:tcPr>
          <w:p w14:paraId="7C28122F">
            <w:pPr>
              <w:spacing w:after="0" w:line="27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2025.10</w:t>
            </w:r>
          </w:p>
        </w:tc>
      </w:tr>
      <w:tr w14:paraId="5DAB75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10" w:type="dxa"/>
            <w:vAlign w:val="center"/>
          </w:tcPr>
          <w:p w14:paraId="23040C3B">
            <w:pPr>
              <w:spacing w:after="0" w:line="279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:lang w:val="de-DE"/>
                <w14:textFill>
                  <w14:solidFill>
                    <w14:schemeClr w14:val="tx1"/>
                  </w14:solidFill>
                </w14:textFill>
              </w:rPr>
              <w:t>Siyu Liu, Jiaqi Luo, Xiayu Liu, Ying Shi, Qihe Chen</w:t>
            </w:r>
          </w:p>
        </w:tc>
        <w:tc>
          <w:tcPr>
            <w:tcW w:w="3308" w:type="dxa"/>
            <w:vAlign w:val="center"/>
          </w:tcPr>
          <w:p w14:paraId="6D55F897">
            <w:pPr>
              <w:spacing w:after="0" w:line="279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Integrative liquid chromatography–tandem mass spectrometry metabolomics and high-throughput sequencing technology reveal physicochemical characteristics and bacterial diversity of traditionally pickled mustard tuber from different regions of China(Food Quality and Safety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)</w:t>
            </w:r>
          </w:p>
        </w:tc>
        <w:tc>
          <w:tcPr>
            <w:tcW w:w="2289" w:type="dxa"/>
            <w:vAlign w:val="center"/>
          </w:tcPr>
          <w:p w14:paraId="162EABCC">
            <w:pPr>
              <w:spacing w:after="0" w:line="279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2024, 8: 815-829</w:t>
            </w:r>
          </w:p>
        </w:tc>
        <w:tc>
          <w:tcPr>
            <w:tcW w:w="1065" w:type="dxa"/>
            <w:vAlign w:val="center"/>
          </w:tcPr>
          <w:p w14:paraId="17817D2A">
            <w:pPr>
              <w:spacing w:after="0" w:line="279" w:lineRule="auto"/>
              <w:jc w:val="center"/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2024.4</w:t>
            </w:r>
          </w:p>
        </w:tc>
      </w:tr>
      <w:tr w14:paraId="0DDEE72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3" w:hRule="atLeast"/>
          <w:jc w:val="center"/>
        </w:trPr>
        <w:tc>
          <w:tcPr>
            <w:tcW w:w="3110" w:type="dxa"/>
            <w:shd w:val="clear" w:color="auto" w:fill="auto"/>
            <w:vAlign w:val="center"/>
          </w:tcPr>
          <w:p w14:paraId="0DD0FF66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 xml:space="preserve">Ziyi Cheng, 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lang w:eastAsia="en-GB"/>
                <w14:ligatures w14:val="none"/>
              </w:rPr>
              <w:t>Zufang Wu, Xiaoli He, Peifang Weng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20F49FB2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ascii="Times New Roman" w:hAnsi="Times New Roman" w:eastAsia="仿宋_GB2312" w:cs="Times New Roman"/>
                <w:color w:val="000000"/>
                <w:sz w:val="24"/>
                <w14:ligatures w14:val="none"/>
              </w:rPr>
              <w:t>Improving the viability of powdered Lactobacillus fermentum Lf01 with complex lyoprotectants by maintaining cell membrane integrity and regulating related genes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（</w:t>
            </w:r>
            <w:r>
              <w:rPr>
                <w:rFonts w:ascii="Times New Roman" w:hAnsi="Times New Roman" w:eastAsia="仿宋_GB2312" w:cs="Times New Roman"/>
                <w:color w:val="000000"/>
                <w:sz w:val="24"/>
                <w14:ligatures w14:val="none"/>
              </w:rPr>
              <w:t>Journal of Food Biochemistry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)</w:t>
            </w:r>
          </w:p>
        </w:tc>
        <w:tc>
          <w:tcPr>
            <w:tcW w:w="2289" w:type="dxa"/>
            <w:shd w:val="clear" w:color="auto" w:fill="auto"/>
            <w:vAlign w:val="center"/>
          </w:tcPr>
          <w:p w14:paraId="1D9E2BAD">
            <w:pPr>
              <w:spacing w:after="0" w:line="279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2022,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46(8)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: e14181</w:t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2ED6BCDC">
            <w:pPr>
              <w:spacing w:after="0" w:line="279" w:lineRule="auto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2022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0D5BF0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3110" w:type="dxa"/>
            <w:vAlign w:val="center"/>
          </w:tcPr>
          <w:p w14:paraId="7BA51F3A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陈淑钧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lang w:val="en-US" w:eastAsia="zh-CN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刘亚楠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lang w:val="en-US" w:eastAsia="zh-CN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翁佩芳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lang w:val="en-US" w:eastAsia="zh-CN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吴祖芳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:lang w:val="en-US" w:eastAsia="zh-CN"/>
                <w14:ligatures w14:val="none"/>
              </w:rPr>
              <w:t xml:space="preserve">, </w:t>
            </w: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刘连亮</w:t>
            </w:r>
          </w:p>
        </w:tc>
        <w:tc>
          <w:tcPr>
            <w:tcW w:w="3308" w:type="dxa"/>
            <w:vAlign w:val="center"/>
          </w:tcPr>
          <w:p w14:paraId="08ABF2B4">
            <w:pPr>
              <w:spacing w:after="0" w:line="240" w:lineRule="auto"/>
              <w:jc w:val="center"/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sz w:val="24"/>
                <w14:ligatures w14:val="none"/>
              </w:rPr>
              <w:t>乳酸菌接种发酵对腌制雪菜挥发性风味的影响（中国食品学报）</w:t>
            </w:r>
          </w:p>
        </w:tc>
        <w:tc>
          <w:tcPr>
            <w:tcW w:w="2289" w:type="dxa"/>
            <w:vAlign w:val="center"/>
          </w:tcPr>
          <w:p w14:paraId="478A95F8">
            <w:pPr>
              <w:spacing w:after="0" w:line="27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2024,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24(11):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310-324</w:t>
            </w:r>
          </w:p>
        </w:tc>
        <w:tc>
          <w:tcPr>
            <w:tcW w:w="1065" w:type="dxa"/>
            <w:vAlign w:val="center"/>
          </w:tcPr>
          <w:p w14:paraId="2AA815E0">
            <w:pPr>
              <w:spacing w:after="0" w:line="279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2024.11</w:t>
            </w:r>
          </w:p>
        </w:tc>
      </w:tr>
    </w:tbl>
    <w:p w14:paraId="2554C570">
      <w:pPr>
        <w:jc w:val="both"/>
        <w:rPr>
          <w:rFonts w:hint="eastAsia"/>
          <w:b/>
          <w:bCs/>
        </w:rPr>
      </w:pPr>
    </w:p>
    <w:sectPr>
      <w:pgSz w:w="11906" w:h="16838"/>
      <w:pgMar w:top="1440" w:right="1276" w:bottom="1440" w:left="1259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A32753-FA26-4803-96F6-A0E89019B5B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20ECE1C-1521-40E3-BE92-8798A8D87F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275FDB2-661C-4A86-87B3-EB51645527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8846BE5-4136-46AF-A2AA-909639621A1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473C190-3B4D-4ACB-9F25-B529B61FAA6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982DA64B-FFC8-4C33-BAE9-CC7490FB7A3D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73BE308F-EF0A-42C1-A21E-589A79EB2E3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F35168"/>
    <w:multiLevelType w:val="multilevel"/>
    <w:tmpl w:val="2BF3516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139"/>
    <w:rsid w:val="00041A53"/>
    <w:rsid w:val="00051B66"/>
    <w:rsid w:val="00063D40"/>
    <w:rsid w:val="00106CCB"/>
    <w:rsid w:val="00116CC3"/>
    <w:rsid w:val="00165AAA"/>
    <w:rsid w:val="002665AE"/>
    <w:rsid w:val="0032091A"/>
    <w:rsid w:val="00340F6B"/>
    <w:rsid w:val="0034486D"/>
    <w:rsid w:val="003F224B"/>
    <w:rsid w:val="003F2B5B"/>
    <w:rsid w:val="004075C5"/>
    <w:rsid w:val="00484BA4"/>
    <w:rsid w:val="00495563"/>
    <w:rsid w:val="004A0060"/>
    <w:rsid w:val="004E3659"/>
    <w:rsid w:val="0059562F"/>
    <w:rsid w:val="005E174E"/>
    <w:rsid w:val="00646139"/>
    <w:rsid w:val="006503B1"/>
    <w:rsid w:val="006E7F83"/>
    <w:rsid w:val="00815490"/>
    <w:rsid w:val="00831FF3"/>
    <w:rsid w:val="0085657D"/>
    <w:rsid w:val="00874DC6"/>
    <w:rsid w:val="008C3C34"/>
    <w:rsid w:val="0092736B"/>
    <w:rsid w:val="00930990"/>
    <w:rsid w:val="0096716F"/>
    <w:rsid w:val="00973E38"/>
    <w:rsid w:val="009F40D7"/>
    <w:rsid w:val="00A05CFE"/>
    <w:rsid w:val="00B06F05"/>
    <w:rsid w:val="00B07339"/>
    <w:rsid w:val="00B9712C"/>
    <w:rsid w:val="00BC02C1"/>
    <w:rsid w:val="00C64D9D"/>
    <w:rsid w:val="00C94F8D"/>
    <w:rsid w:val="00D03CE1"/>
    <w:rsid w:val="00D20E1A"/>
    <w:rsid w:val="00E4524B"/>
    <w:rsid w:val="00F251A9"/>
    <w:rsid w:val="00FA226C"/>
    <w:rsid w:val="03225FC3"/>
    <w:rsid w:val="051A0D14"/>
    <w:rsid w:val="0F96368D"/>
    <w:rsid w:val="13A74307"/>
    <w:rsid w:val="1A9966B3"/>
    <w:rsid w:val="1D4F5860"/>
    <w:rsid w:val="1D73337C"/>
    <w:rsid w:val="1DA153D8"/>
    <w:rsid w:val="2238396A"/>
    <w:rsid w:val="29AC7EAB"/>
    <w:rsid w:val="2E2F6D2F"/>
    <w:rsid w:val="307D0830"/>
    <w:rsid w:val="328C5C4B"/>
    <w:rsid w:val="35D040F2"/>
    <w:rsid w:val="3BD117F8"/>
    <w:rsid w:val="3E614CE2"/>
    <w:rsid w:val="46C660FF"/>
    <w:rsid w:val="47F87268"/>
    <w:rsid w:val="4BCF6BBA"/>
    <w:rsid w:val="51BB4583"/>
    <w:rsid w:val="56A812A9"/>
    <w:rsid w:val="58C31599"/>
    <w:rsid w:val="590252DB"/>
    <w:rsid w:val="5C6B34BB"/>
    <w:rsid w:val="6DA6571D"/>
    <w:rsid w:val="7F9F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footnote text"/>
    <w:basedOn w:val="1"/>
    <w:qFormat/>
    <w:uiPriority w:val="99"/>
    <w:pPr>
      <w:snapToGrid w:val="0"/>
    </w:pPr>
    <w:rPr>
      <w:sz w:val="18"/>
      <w:szCs w:val="18"/>
    </w:rPr>
  </w:style>
  <w:style w:type="paragraph" w:styleId="15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4">
    <w:name w:val="标题 6 字符"/>
    <w:basedOn w:val="17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5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明显强调1"/>
    <w:basedOn w:val="17"/>
    <w:qFormat/>
    <w:uiPriority w:val="21"/>
    <w:rPr>
      <w:i/>
      <w:iCs/>
      <w:color w:val="2F5597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5">
    <w:name w:val="明显引用 字符"/>
    <w:basedOn w:val="17"/>
    <w:link w:val="34"/>
    <w:qFormat/>
    <w:uiPriority w:val="30"/>
    <w:rPr>
      <w:i/>
      <w:iCs/>
      <w:color w:val="2F5597" w:themeColor="accent1" w:themeShade="BF"/>
    </w:rPr>
  </w:style>
  <w:style w:type="character" w:customStyle="1" w:styleId="36">
    <w:name w:val="明显参考1"/>
    <w:basedOn w:val="17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7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8">
    <w:name w:val="页脚 字符"/>
    <w:basedOn w:val="17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1028</Words>
  <Characters>1833</Characters>
  <Lines>14</Lines>
  <Paragraphs>4</Paragraphs>
  <TotalTime>4</TotalTime>
  <ScaleCrop>false</ScaleCrop>
  <LinksUpToDate>false</LinksUpToDate>
  <CharactersWithSpaces>1951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2026-04-17T09:39:00Z</dcterms:created>
  <dc:creator>zhibiao xu</dc:creator>
  <cp:lastModifiedBy>刘亚楠</cp:lastModifiedBy>
  <dcterms:modified xsi:type="dcterms:W3CDTF">2026-04-21T06:11:01Z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eyJoZGlkIjoiMDQ2NjM2NDQzZGM3MmUxNDAwZDFkNzcyNmZmOWZkOTkiLCJ1c2VySWQiOiI3Mjg3NTg0MTUifQ==</vt:lpwstr>
  </property>
  <property fmtid="{D5CDD505-2E9C-101B-9397-08002B2CF9AE}" pid="3" name="KSOProductBuildVer">
    <vt:lpwstr>2052-12.1.0.25865</vt:lpwstr>
  </property>
  <property fmtid="{D5CDD505-2E9C-101B-9397-08002B2CF9AE}" pid="4" name="ICV">
    <vt:lpwstr>ECE6042DCF9345C5BDFC24977009ADC3_13</vt:lpwstr>
  </property>
</Properties>
</file>