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DA57ED9">
      <w:pPr>
        <w:jc w:val="center"/>
        <w:rPr>
          <w:rStyle w:val="38"/>
          <w:rFonts w:eastAsia="方正小标宋简体"/>
          <w:bCs w:val="0"/>
          <w:color w:val="auto"/>
          <w:sz w:val="36"/>
          <w:szCs w:val="36"/>
        </w:rPr>
      </w:pPr>
      <w:bookmarkStart w:id="0" w:name="_GoBack"/>
      <w:bookmarkEnd w:id="0"/>
      <w:r>
        <w:rPr>
          <w:rStyle w:val="38"/>
          <w:rFonts w:eastAsia="方正小标宋简体"/>
          <w:b w:val="0"/>
          <w:color w:val="auto"/>
          <w:sz w:val="36"/>
          <w:szCs w:val="36"/>
        </w:rPr>
        <w:t>浙江省科学技术奖公示信息表</w:t>
      </w:r>
    </w:p>
    <w:p w14:paraId="1077D1C0">
      <w:pPr>
        <w:spacing w:line="440" w:lineRule="exact"/>
        <w:rPr>
          <w:rFonts w:ascii="仿宋_GB2312" w:eastAsia="仿宋_GB2312"/>
          <w:sz w:val="24"/>
          <w:szCs w:val="24"/>
        </w:rPr>
      </w:pPr>
      <w:r>
        <w:rPr>
          <w:rFonts w:hint="eastAsia" w:eastAsia="仿宋_GB2312"/>
          <w:sz w:val="24"/>
          <w:szCs w:val="22"/>
        </w:rPr>
        <w:t>提名奖</w:t>
      </w:r>
      <w:r>
        <w:rPr>
          <w:rFonts w:hint="eastAsia" w:ascii="仿宋_GB2312" w:eastAsia="仿宋_GB2312"/>
          <w:sz w:val="24"/>
          <w:szCs w:val="24"/>
        </w:rPr>
        <w:t>项：技术发明奖</w:t>
      </w:r>
    </w:p>
    <w:tbl>
      <w:tblPr>
        <w:tblStyle w:val="17"/>
        <w:tblW w:w="8506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3"/>
        <w:gridCol w:w="6663"/>
      </w:tblGrid>
      <w:tr w14:paraId="6AD048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4" w:hRule="atLeast"/>
          <w:jc w:val="center"/>
        </w:trPr>
        <w:tc>
          <w:tcPr>
            <w:tcW w:w="1843" w:type="dxa"/>
            <w:vAlign w:val="center"/>
          </w:tcPr>
          <w:p w14:paraId="445F2EF7">
            <w:pPr>
              <w:contextualSpacing/>
              <w:jc w:val="center"/>
              <w:rPr>
                <w:rStyle w:val="38"/>
                <w:rFonts w:hint="eastAsia" w:ascii="黑体" w:hAnsi="黑体" w:eastAsia="黑体"/>
                <w:b w:val="0"/>
                <w:color w:val="auto"/>
              </w:rPr>
            </w:pPr>
            <w:r>
              <w:rPr>
                <w:rStyle w:val="38"/>
                <w:rFonts w:ascii="黑体" w:hAnsi="黑体" w:eastAsia="黑体"/>
                <w:b w:val="0"/>
                <w:bCs w:val="0"/>
                <w:color w:val="auto"/>
              </w:rPr>
              <w:t>成果名称</w:t>
            </w:r>
          </w:p>
        </w:tc>
        <w:tc>
          <w:tcPr>
            <w:tcW w:w="6663" w:type="dxa"/>
            <w:vAlign w:val="center"/>
          </w:tcPr>
          <w:p w14:paraId="6DA0FC85">
            <w:pPr>
              <w:contextualSpacing/>
              <w:jc w:val="center"/>
              <w:rPr>
                <w:rStyle w:val="38"/>
                <w:rFonts w:eastAsia="仿宋_GB2312"/>
                <w:b w:val="0"/>
                <w:color w:val="FF0000"/>
              </w:rPr>
            </w:pPr>
            <w:r>
              <w:rPr>
                <w:rStyle w:val="38"/>
                <w:rFonts w:hint="eastAsia" w:ascii="仿宋" w:hAnsi="仿宋" w:eastAsia="仿宋" w:cs="微软雅黑"/>
                <w:b w:val="0"/>
                <w:color w:val="auto"/>
              </w:rPr>
              <w:t>高压气溶胶解构</w:t>
            </w:r>
            <w:r>
              <w:rPr>
                <w:rStyle w:val="38"/>
                <w:rFonts w:hint="eastAsia" w:ascii="仿宋" w:hAnsi="仿宋" w:eastAsia="仿宋" w:cs="___WRD_EMBED_SUB_46"/>
                <w:b w:val="0"/>
                <w:color w:val="auto"/>
              </w:rPr>
              <w:t>排</w:t>
            </w:r>
            <w:r>
              <w:rPr>
                <w:rStyle w:val="38"/>
                <w:rFonts w:hint="eastAsia" w:ascii="仿宋" w:hAnsi="仿宋" w:eastAsia="仿宋" w:cs="微软雅黑"/>
                <w:b w:val="0"/>
                <w:color w:val="auto"/>
              </w:rPr>
              <w:t>水固结理论</w:t>
            </w:r>
            <w:r>
              <w:rPr>
                <w:rStyle w:val="38"/>
                <w:rFonts w:hint="eastAsia" w:ascii="仿宋" w:hAnsi="仿宋" w:eastAsia="仿宋" w:cs="___WRD_EMBED_SUB_46"/>
                <w:b w:val="0"/>
                <w:color w:val="auto"/>
              </w:rPr>
              <w:t>、</w:t>
            </w:r>
            <w:r>
              <w:rPr>
                <w:rStyle w:val="38"/>
                <w:rFonts w:hint="eastAsia" w:ascii="仿宋" w:hAnsi="仿宋" w:eastAsia="仿宋"/>
                <w:b w:val="0"/>
                <w:color w:val="auto"/>
              </w:rPr>
              <w:t>关</w:t>
            </w:r>
            <w:r>
              <w:rPr>
                <w:rStyle w:val="38"/>
                <w:rFonts w:hint="eastAsia" w:ascii="仿宋" w:hAnsi="仿宋" w:eastAsia="仿宋" w:cs="微软雅黑"/>
                <w:b w:val="0"/>
                <w:color w:val="auto"/>
              </w:rPr>
              <w:t>键</w:t>
            </w:r>
            <w:r>
              <w:rPr>
                <w:rStyle w:val="38"/>
                <w:rFonts w:hint="eastAsia" w:ascii="仿宋" w:hAnsi="仿宋" w:eastAsia="仿宋"/>
                <w:b w:val="0"/>
                <w:color w:val="auto"/>
              </w:rPr>
              <w:t>技术</w:t>
            </w:r>
            <w:r>
              <w:rPr>
                <w:rStyle w:val="38"/>
                <w:rFonts w:hint="eastAsia" w:ascii="仿宋" w:hAnsi="仿宋" w:eastAsia="仿宋" w:cs="___WRD_EMBED_SUB_46"/>
                <w:b w:val="0"/>
                <w:color w:val="auto"/>
              </w:rPr>
              <w:t>及</w:t>
            </w:r>
            <w:r>
              <w:rPr>
                <w:rStyle w:val="38"/>
                <w:rFonts w:hint="eastAsia" w:ascii="仿宋" w:hAnsi="仿宋" w:eastAsia="仿宋" w:cs="微软雅黑"/>
                <w:b w:val="0"/>
                <w:color w:val="auto"/>
              </w:rPr>
              <w:t>应用</w:t>
            </w:r>
          </w:p>
        </w:tc>
      </w:tr>
      <w:tr w14:paraId="443309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1843" w:type="dxa"/>
            <w:vAlign w:val="center"/>
          </w:tcPr>
          <w:p w14:paraId="55B5E22A">
            <w:pPr>
              <w:contextualSpacing/>
              <w:jc w:val="center"/>
              <w:rPr>
                <w:rStyle w:val="38"/>
                <w:rFonts w:hint="eastAsia" w:ascii="黑体" w:hAnsi="黑体" w:eastAsia="黑体"/>
                <w:b w:val="0"/>
                <w:color w:val="auto"/>
              </w:rPr>
            </w:pPr>
            <w:r>
              <w:rPr>
                <w:rStyle w:val="38"/>
                <w:rFonts w:ascii="黑体" w:hAnsi="黑体" w:eastAsia="黑体"/>
                <w:b w:val="0"/>
                <w:bCs w:val="0"/>
                <w:color w:val="auto"/>
              </w:rPr>
              <w:t>提名等级</w:t>
            </w:r>
          </w:p>
        </w:tc>
        <w:tc>
          <w:tcPr>
            <w:tcW w:w="6663" w:type="dxa"/>
            <w:vAlign w:val="center"/>
          </w:tcPr>
          <w:p w14:paraId="7671162A">
            <w:pPr>
              <w:tabs>
                <w:tab w:val="left" w:pos="2138"/>
              </w:tabs>
              <w:contextualSpacing/>
              <w:jc w:val="center"/>
              <w:rPr>
                <w:rStyle w:val="38"/>
                <w:rFonts w:eastAsia="仿宋_GB2312"/>
                <w:b w:val="0"/>
                <w:color w:val="auto"/>
              </w:rPr>
            </w:pPr>
            <w:r>
              <w:rPr>
                <w:rStyle w:val="38"/>
                <w:rFonts w:hint="eastAsia" w:eastAsia="仿宋_GB2312"/>
                <w:b w:val="0"/>
                <w:color w:val="auto"/>
              </w:rPr>
              <w:t>一</w:t>
            </w:r>
            <w:r>
              <w:rPr>
                <w:rStyle w:val="38"/>
                <w:rFonts w:eastAsia="仿宋_GB2312"/>
                <w:b w:val="0"/>
                <w:color w:val="auto"/>
              </w:rPr>
              <w:t>等奖</w:t>
            </w:r>
          </w:p>
        </w:tc>
      </w:tr>
      <w:tr w14:paraId="4E1B90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4" w:hRule="atLeast"/>
          <w:jc w:val="center"/>
        </w:trPr>
        <w:tc>
          <w:tcPr>
            <w:tcW w:w="1843" w:type="dxa"/>
            <w:vAlign w:val="center"/>
          </w:tcPr>
          <w:p w14:paraId="05AE82B9">
            <w:pPr>
              <w:contextualSpacing/>
              <w:jc w:val="center"/>
              <w:rPr>
                <w:rFonts w:hint="eastAsia" w:ascii="黑体" w:hAnsi="黑体" w:eastAsia="黑体"/>
                <w:bCs/>
                <w:sz w:val="24"/>
                <w:szCs w:val="24"/>
              </w:rPr>
            </w:pPr>
            <w:r>
              <w:rPr>
                <w:rFonts w:ascii="黑体" w:hAnsi="黑体" w:eastAsia="黑体"/>
                <w:bCs/>
                <w:sz w:val="24"/>
                <w:szCs w:val="24"/>
              </w:rPr>
              <w:t>提名书</w:t>
            </w:r>
          </w:p>
          <w:p w14:paraId="18D9A146">
            <w:pPr>
              <w:contextualSpacing/>
              <w:jc w:val="center"/>
              <w:rPr>
                <w:rFonts w:hint="eastAsia" w:ascii="黑体" w:hAnsi="黑体" w:eastAsia="黑体"/>
                <w:bCs/>
                <w:sz w:val="24"/>
                <w:szCs w:val="24"/>
              </w:rPr>
            </w:pPr>
            <w:r>
              <w:rPr>
                <w:rFonts w:ascii="黑体" w:hAnsi="黑体" w:eastAsia="黑体"/>
                <w:bCs/>
                <w:sz w:val="24"/>
                <w:szCs w:val="24"/>
              </w:rPr>
              <w:t>相关内容</w:t>
            </w:r>
          </w:p>
        </w:tc>
        <w:tc>
          <w:tcPr>
            <w:tcW w:w="6663" w:type="dxa"/>
            <w:vAlign w:val="center"/>
          </w:tcPr>
          <w:p w14:paraId="6F2FCDE3">
            <w:pPr>
              <w:adjustRightInd w:val="0"/>
              <w:snapToGrid w:val="0"/>
              <w:jc w:val="left"/>
              <w:rPr>
                <w:rFonts w:hint="eastAsia" w:ascii="仿宋_GB2312" w:hAnsi="仿宋" w:eastAsia="仿宋_GB2312"/>
                <w:bCs/>
                <w:sz w:val="24"/>
                <w:szCs w:val="24"/>
              </w:rPr>
            </w:pP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>1.主要知识产权目录：</w:t>
            </w:r>
          </w:p>
          <w:p w14:paraId="6E5666E5">
            <w:pPr>
              <w:spacing w:line="240" w:lineRule="atLeast"/>
              <w:jc w:val="left"/>
              <w:rPr>
                <w:rFonts w:hint="eastAsia" w:ascii="仿宋_GB2312" w:hAnsi="仿宋" w:eastAsia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>（1）发明专利：</w:t>
            </w:r>
            <w:r>
              <w:rPr>
                <w:rFonts w:hint="eastAsia" w:ascii="仿宋_GB2312" w:hAnsi="仿宋" w:eastAsia="仿宋_GB2312"/>
                <w:sz w:val="24"/>
                <w:szCs w:val="24"/>
              </w:rPr>
              <w:t>METHOD EMPLOYING AEROSOL TO PERFORM</w:t>
            </w:r>
          </w:p>
          <w:p w14:paraId="2A4A78E5">
            <w:pPr>
              <w:adjustRightInd w:val="0"/>
              <w:snapToGrid w:val="0"/>
              <w:jc w:val="left"/>
              <w:rPr>
                <w:rFonts w:hint="eastAsia" w:ascii="仿宋_GB2312" w:hAnsi="仿宋" w:eastAsia="仿宋_GB2312"/>
                <w:bCs/>
                <w:sz w:val="24"/>
                <w:szCs w:val="24"/>
              </w:rPr>
            </w:pPr>
            <w:r>
              <w:rPr>
                <w:rFonts w:hint="eastAsia" w:ascii="仿宋_GB2312" w:hAnsi="仿宋" w:eastAsia="仿宋_GB2312"/>
                <w:sz w:val="24"/>
                <w:szCs w:val="24"/>
              </w:rPr>
              <w:t>DISTURBANCE PROCESSING ON SOFT SOIL FOUNDATION</w:t>
            </w: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>，Germany NO.602017052113.2，专利权人：</w:t>
            </w:r>
            <w:r>
              <w:rPr>
                <w:rFonts w:hint="eastAsia" w:ascii="仿宋_GB2312" w:hAnsi="仿宋" w:eastAsia="仿宋_GB2312"/>
                <w:color w:val="000000"/>
                <w:sz w:val="24"/>
                <w:szCs w:val="24"/>
              </w:rPr>
              <w:t>WU,HUIMING</w:t>
            </w: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>，发明人：</w:t>
            </w:r>
            <w:r>
              <w:rPr>
                <w:rFonts w:hint="eastAsia" w:ascii="仿宋_GB2312" w:hAnsi="仿宋" w:eastAsia="仿宋_GB2312"/>
                <w:color w:val="000000"/>
                <w:sz w:val="24"/>
                <w:szCs w:val="24"/>
              </w:rPr>
              <w:t>WU, HUIMING</w:t>
            </w:r>
          </w:p>
          <w:p w14:paraId="79E96989">
            <w:pPr>
              <w:adjustRightInd w:val="0"/>
              <w:snapToGrid w:val="0"/>
              <w:jc w:val="left"/>
              <w:rPr>
                <w:rFonts w:hint="eastAsia" w:ascii="仿宋_GB2312" w:hAnsi="仿宋" w:eastAsia="仿宋_GB2312"/>
                <w:bCs/>
                <w:sz w:val="24"/>
                <w:szCs w:val="24"/>
              </w:rPr>
            </w:pP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>（2）发明专利：</w:t>
            </w:r>
            <w:r>
              <w:rPr>
                <w:rFonts w:hint="eastAsia" w:ascii="仿宋_GB2312" w:hAnsi="仿宋" w:eastAsia="仿宋_GB2312" w:cs="Calibri"/>
                <w:color w:val="000000"/>
                <w:sz w:val="24"/>
                <w:szCs w:val="24"/>
              </w:rPr>
              <w:t>一种应用气溶胶对软土地基进行扰动处理的方法</w:t>
            </w: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ascii="仿宋_GB2312" w:hAnsi="仿宋" w:eastAsia="仿宋_GB2312"/>
                <w:color w:val="000000"/>
                <w:sz w:val="24"/>
                <w:szCs w:val="24"/>
              </w:rPr>
              <w:t>ZL201611224965.4</w:t>
            </w: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>，专利权人：</w:t>
            </w:r>
            <w:r>
              <w:rPr>
                <w:rFonts w:hint="eastAsia" w:ascii="仿宋_GB2312" w:hAnsi="仿宋" w:eastAsia="仿宋_GB2312" w:cs="Calibri"/>
                <w:color w:val="000000"/>
                <w:sz w:val="24"/>
                <w:szCs w:val="24"/>
              </w:rPr>
              <w:t>吴慧明</w:t>
            </w: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>，发明人：</w:t>
            </w:r>
            <w:r>
              <w:rPr>
                <w:rFonts w:hint="eastAsia" w:ascii="仿宋_GB2312" w:hAnsi="仿宋" w:eastAsia="仿宋_GB2312" w:cs="Calibri"/>
                <w:color w:val="000000"/>
                <w:sz w:val="24"/>
                <w:szCs w:val="24"/>
              </w:rPr>
              <w:t>吴慧明</w:t>
            </w:r>
          </w:p>
          <w:p w14:paraId="271E7CEA">
            <w:pPr>
              <w:adjustRightInd w:val="0"/>
              <w:snapToGrid w:val="0"/>
              <w:jc w:val="left"/>
              <w:rPr>
                <w:rFonts w:hint="eastAsia" w:ascii="仿宋_GB2312" w:hAnsi="仿宋" w:eastAsia="仿宋_GB2312"/>
                <w:bCs/>
                <w:sz w:val="24"/>
                <w:szCs w:val="24"/>
              </w:rPr>
            </w:pP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>（3）发明专利：</w:t>
            </w:r>
            <w:r>
              <w:rPr>
                <w:rFonts w:hint="eastAsia" w:ascii="仿宋_GB2312" w:hAnsi="仿宋" w:eastAsia="仿宋_GB2312" w:cs="Calibri"/>
                <w:color w:val="000000"/>
                <w:sz w:val="24"/>
                <w:szCs w:val="24"/>
              </w:rPr>
              <w:t>一种向下排水的建筑泥浆快速固结方法</w:t>
            </w: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ascii="仿宋_GB2312" w:hAnsi="仿宋" w:eastAsia="仿宋_GB2312"/>
                <w:color w:val="000000"/>
                <w:sz w:val="24"/>
                <w:szCs w:val="24"/>
              </w:rPr>
              <w:t>ZL201910123640.4</w:t>
            </w: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>，专利权人：</w:t>
            </w:r>
            <w:r>
              <w:rPr>
                <w:rFonts w:hint="eastAsia" w:ascii="仿宋_GB2312" w:hAnsi="仿宋" w:eastAsia="仿宋_GB2312" w:cs="Calibri"/>
                <w:color w:val="000000"/>
                <w:sz w:val="24"/>
                <w:szCs w:val="24"/>
              </w:rPr>
              <w:t>吴慧明</w:t>
            </w: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>，发明人：</w:t>
            </w:r>
            <w:r>
              <w:rPr>
                <w:rFonts w:hint="eastAsia" w:ascii="仿宋_GB2312" w:hAnsi="仿宋" w:eastAsia="仿宋_GB2312" w:cs="Calibri"/>
                <w:color w:val="000000"/>
                <w:sz w:val="24"/>
                <w:szCs w:val="24"/>
              </w:rPr>
              <w:t>吴慧明</w:t>
            </w:r>
          </w:p>
          <w:p w14:paraId="259D9BBF">
            <w:pPr>
              <w:adjustRightInd w:val="0"/>
              <w:snapToGrid w:val="0"/>
              <w:jc w:val="left"/>
              <w:rPr>
                <w:rFonts w:hint="eastAsia" w:ascii="仿宋_GB2312" w:hAnsi="仿宋" w:eastAsia="仿宋_GB2312"/>
                <w:bCs/>
                <w:sz w:val="24"/>
                <w:szCs w:val="24"/>
              </w:rPr>
            </w:pP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>（4）发明专利：</w:t>
            </w:r>
            <w:r>
              <w:rPr>
                <w:rFonts w:hint="eastAsia" w:ascii="仿宋_GB2312" w:hAnsi="仿宋" w:eastAsia="仿宋_GB2312" w:cs="Calibri"/>
                <w:color w:val="000000"/>
                <w:sz w:val="24"/>
                <w:szCs w:val="24"/>
              </w:rPr>
              <w:t>一种用于软土地基扰动处理工序配套的气溶胶发生装置</w:t>
            </w: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ascii="仿宋_GB2312" w:hAnsi="仿宋" w:eastAsia="仿宋_GB2312"/>
                <w:color w:val="000000"/>
                <w:sz w:val="24"/>
                <w:szCs w:val="24"/>
              </w:rPr>
              <w:t>ZL201710199809.5</w:t>
            </w: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>，专利权人：</w:t>
            </w:r>
            <w:r>
              <w:rPr>
                <w:rFonts w:hint="eastAsia" w:ascii="仿宋_GB2312" w:hAnsi="仿宋" w:eastAsia="仿宋_GB2312" w:cs="Calibri"/>
                <w:color w:val="000000"/>
                <w:sz w:val="24"/>
                <w:szCs w:val="24"/>
              </w:rPr>
              <w:t>吴慧明</w:t>
            </w: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>，发明人：</w:t>
            </w:r>
            <w:r>
              <w:rPr>
                <w:rFonts w:hint="eastAsia" w:ascii="仿宋_GB2312" w:hAnsi="仿宋" w:eastAsia="仿宋_GB2312" w:cs="Calibri"/>
                <w:color w:val="000000"/>
                <w:sz w:val="24"/>
                <w:szCs w:val="24"/>
              </w:rPr>
              <w:t>吴慧明</w:t>
            </w:r>
          </w:p>
          <w:p w14:paraId="7ADB64E2">
            <w:pPr>
              <w:adjustRightInd w:val="0"/>
              <w:snapToGrid w:val="0"/>
              <w:jc w:val="left"/>
              <w:rPr>
                <w:rFonts w:hint="eastAsia" w:ascii="仿宋_GB2312" w:hAnsi="仿宋" w:eastAsia="仿宋_GB2312"/>
                <w:bCs/>
                <w:sz w:val="24"/>
                <w:szCs w:val="24"/>
              </w:rPr>
            </w:pP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>（5）发明专利：</w:t>
            </w:r>
            <w:r>
              <w:rPr>
                <w:rFonts w:hint="eastAsia" w:ascii="仿宋_GB2312" w:hAnsi="仿宋" w:eastAsia="仿宋_GB2312" w:cs="Calibri"/>
                <w:sz w:val="24"/>
                <w:szCs w:val="24"/>
              </w:rPr>
              <w:t>钻头和钻孔设备</w:t>
            </w: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ascii="仿宋_GB2312" w:hAnsi="仿宋" w:eastAsia="仿宋_GB2312" w:cs="Calibri"/>
                <w:sz w:val="24"/>
                <w:szCs w:val="24"/>
              </w:rPr>
              <w:t>ZL201210065128.7</w:t>
            </w: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>，专利权人：</w:t>
            </w:r>
            <w:r>
              <w:rPr>
                <w:rFonts w:hint="eastAsia" w:ascii="仿宋_GB2312" w:hAnsi="仿宋" w:eastAsia="仿宋_GB2312" w:cs="Calibri"/>
                <w:sz w:val="24"/>
                <w:szCs w:val="24"/>
              </w:rPr>
              <w:t>深圳市工勘岩土工程有限公司、深圳市工勘岩土技术股份有限公司、深圳市华兴建安工程有限公司</w:t>
            </w: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>，发明人：</w:t>
            </w:r>
            <w:r>
              <w:rPr>
                <w:rFonts w:hint="eastAsia" w:ascii="仿宋_GB2312" w:hAnsi="仿宋" w:eastAsia="仿宋_GB2312" w:cs="Calibri"/>
                <w:sz w:val="24"/>
                <w:szCs w:val="24"/>
              </w:rPr>
              <w:t>张领帅；高健康；宋明智；洪明坚；左人宇；张炜光；张振涛</w:t>
            </w:r>
          </w:p>
          <w:p w14:paraId="3D9A777D">
            <w:pPr>
              <w:adjustRightInd w:val="0"/>
              <w:snapToGrid w:val="0"/>
              <w:jc w:val="left"/>
              <w:rPr>
                <w:rFonts w:hint="eastAsia" w:ascii="仿宋_GB2312" w:hAnsi="仿宋" w:eastAsia="仿宋_GB2312"/>
                <w:bCs/>
                <w:sz w:val="24"/>
                <w:szCs w:val="24"/>
              </w:rPr>
            </w:pP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>（6）发明专利：</w:t>
            </w:r>
            <w:r>
              <w:rPr>
                <w:rFonts w:hint="eastAsia" w:ascii="仿宋_GB2312" w:hAnsi="仿宋" w:eastAsia="仿宋_GB2312" w:cs="微软雅黑"/>
                <w:bCs/>
                <w:sz w:val="24"/>
                <w:szCs w:val="24"/>
              </w:rPr>
              <w:t>重</w:t>
            </w:r>
            <w:r>
              <w:rPr>
                <w:rFonts w:hint="eastAsia" w:ascii="仿宋_GB2312" w:hAnsi="仿宋" w:eastAsia="仿宋_GB2312" w:cs="___WRD_EMBED_SUB_46"/>
                <w:bCs/>
                <w:sz w:val="24"/>
                <w:szCs w:val="24"/>
              </w:rPr>
              <w:t>量</w:t>
            </w:r>
            <w:r>
              <w:rPr>
                <w:rFonts w:hint="eastAsia" w:ascii="仿宋_GB2312" w:hAnsi="仿宋" w:eastAsia="仿宋_GB2312" w:cs="微软雅黑"/>
                <w:bCs/>
                <w:sz w:val="24"/>
                <w:szCs w:val="24"/>
              </w:rPr>
              <w:t>可调</w:t>
            </w:r>
            <w:r>
              <w:rPr>
                <w:rFonts w:hint="eastAsia" w:ascii="仿宋_GB2312" w:hAnsi="仿宋" w:eastAsia="仿宋_GB2312" w:cs="___WRD_EMBED_SUB_46"/>
                <w:bCs/>
                <w:sz w:val="24"/>
                <w:szCs w:val="24"/>
              </w:rPr>
              <w:t>的</w:t>
            </w:r>
            <w:r>
              <w:rPr>
                <w:rFonts w:hint="eastAsia" w:ascii="仿宋_GB2312" w:hAnsi="仿宋" w:eastAsia="仿宋_GB2312" w:cs="微软雅黑"/>
                <w:bCs/>
                <w:sz w:val="24"/>
                <w:szCs w:val="24"/>
              </w:rPr>
              <w:t>夯锤，ZL201210065158.8，</w:t>
            </w: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>专利权人：</w:t>
            </w:r>
            <w:r>
              <w:rPr>
                <w:rFonts w:hint="eastAsia" w:ascii="仿宋_GB2312" w:hAnsi="仿宋" w:eastAsia="仿宋_GB2312" w:cs="微软雅黑"/>
                <w:bCs/>
                <w:sz w:val="24"/>
                <w:szCs w:val="24"/>
              </w:rPr>
              <w:t>深圳</w:t>
            </w:r>
            <w:r>
              <w:rPr>
                <w:rFonts w:hint="eastAsia" w:ascii="仿宋_GB2312" w:hAnsi="仿宋" w:eastAsia="仿宋_GB2312" w:cs="___WRD_EMBED_SUB_46"/>
                <w:bCs/>
                <w:sz w:val="24"/>
                <w:szCs w:val="24"/>
              </w:rPr>
              <w:t>市</w:t>
            </w:r>
            <w:r>
              <w:rPr>
                <w:rFonts w:hint="eastAsia" w:ascii="仿宋_GB2312" w:hAnsi="仿宋" w:eastAsia="仿宋_GB2312" w:cs="微软雅黑"/>
                <w:bCs/>
                <w:sz w:val="24"/>
                <w:szCs w:val="24"/>
              </w:rPr>
              <w:t>工勘岩土工程</w:t>
            </w:r>
            <w:r>
              <w:rPr>
                <w:rFonts w:hint="eastAsia" w:ascii="仿宋_GB2312" w:hAnsi="仿宋" w:eastAsia="仿宋_GB2312" w:cs="___WRD_EMBED_SUB_46"/>
                <w:bCs/>
                <w:sz w:val="24"/>
                <w:szCs w:val="24"/>
              </w:rPr>
              <w:t>有</w:t>
            </w:r>
            <w:r>
              <w:rPr>
                <w:rFonts w:hint="eastAsia" w:ascii="仿宋_GB2312" w:hAnsi="仿宋" w:eastAsia="仿宋_GB2312" w:cs="微软雅黑"/>
                <w:bCs/>
                <w:sz w:val="24"/>
                <w:szCs w:val="24"/>
              </w:rPr>
              <w:t>限公司、深圳</w:t>
            </w:r>
            <w:r>
              <w:rPr>
                <w:rFonts w:hint="eastAsia" w:ascii="仿宋_GB2312" w:hAnsi="仿宋" w:eastAsia="仿宋_GB2312" w:cs="___WRD_EMBED_SUB_46"/>
                <w:bCs/>
                <w:sz w:val="24"/>
                <w:szCs w:val="24"/>
              </w:rPr>
              <w:t>市</w:t>
            </w:r>
            <w:r>
              <w:rPr>
                <w:rFonts w:hint="eastAsia" w:ascii="仿宋_GB2312" w:hAnsi="仿宋" w:eastAsia="仿宋_GB2312" w:cs="微软雅黑"/>
                <w:bCs/>
                <w:sz w:val="24"/>
                <w:szCs w:val="24"/>
              </w:rPr>
              <w:t>工勘岩土</w:t>
            </w:r>
            <w:r>
              <w:rPr>
                <w:rFonts w:hint="eastAsia" w:ascii="仿宋_GB2312" w:hAnsi="仿宋" w:eastAsia="仿宋_GB2312" w:cs="___WRD_EMBED_SUB_46"/>
                <w:bCs/>
                <w:sz w:val="24"/>
                <w:szCs w:val="24"/>
              </w:rPr>
              <w:t>技术</w:t>
            </w:r>
            <w:r>
              <w:rPr>
                <w:rFonts w:hint="eastAsia" w:ascii="仿宋_GB2312" w:hAnsi="仿宋" w:eastAsia="仿宋_GB2312" w:cs="微软雅黑"/>
                <w:bCs/>
                <w:sz w:val="24"/>
                <w:szCs w:val="24"/>
              </w:rPr>
              <w:t>股份</w:t>
            </w:r>
            <w:r>
              <w:rPr>
                <w:rFonts w:hint="eastAsia" w:ascii="仿宋_GB2312" w:hAnsi="仿宋" w:eastAsia="仿宋_GB2312" w:cs="___WRD_EMBED_SUB_46"/>
                <w:bCs/>
                <w:sz w:val="24"/>
                <w:szCs w:val="24"/>
              </w:rPr>
              <w:t>有</w:t>
            </w:r>
            <w:r>
              <w:rPr>
                <w:rFonts w:hint="eastAsia" w:ascii="仿宋_GB2312" w:hAnsi="仿宋" w:eastAsia="仿宋_GB2312" w:cs="微软雅黑"/>
                <w:bCs/>
                <w:sz w:val="24"/>
                <w:szCs w:val="24"/>
              </w:rPr>
              <w:t>限公司、深圳</w:t>
            </w:r>
            <w:r>
              <w:rPr>
                <w:rFonts w:hint="eastAsia" w:ascii="仿宋_GB2312" w:hAnsi="仿宋" w:eastAsia="仿宋_GB2312" w:cs="___WRD_EMBED_SUB_46"/>
                <w:bCs/>
                <w:sz w:val="24"/>
                <w:szCs w:val="24"/>
              </w:rPr>
              <w:t>市</w:t>
            </w:r>
            <w:r>
              <w:rPr>
                <w:rFonts w:hint="eastAsia" w:ascii="仿宋_GB2312" w:hAnsi="仿宋" w:eastAsia="仿宋_GB2312" w:cs="微软雅黑"/>
                <w:bCs/>
                <w:sz w:val="24"/>
                <w:szCs w:val="24"/>
              </w:rPr>
              <w:t>华兴建安工程</w:t>
            </w:r>
            <w:r>
              <w:rPr>
                <w:rFonts w:hint="eastAsia" w:ascii="仿宋_GB2312" w:hAnsi="仿宋" w:eastAsia="仿宋_GB2312" w:cs="___WRD_EMBED_SUB_46"/>
                <w:bCs/>
                <w:sz w:val="24"/>
                <w:szCs w:val="24"/>
              </w:rPr>
              <w:t>有</w:t>
            </w:r>
            <w:r>
              <w:rPr>
                <w:rFonts w:hint="eastAsia" w:ascii="仿宋_GB2312" w:hAnsi="仿宋" w:eastAsia="仿宋_GB2312" w:cs="微软雅黑"/>
                <w:bCs/>
                <w:sz w:val="24"/>
                <w:szCs w:val="24"/>
              </w:rPr>
              <w:t>限公司，</w:t>
            </w: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>发明人：</w:t>
            </w:r>
            <w:r>
              <w:rPr>
                <w:rFonts w:hint="eastAsia" w:ascii="仿宋_GB2312" w:hAnsi="仿宋" w:eastAsia="仿宋_GB2312" w:cs="微软雅黑"/>
                <w:bCs/>
                <w:sz w:val="24"/>
                <w:szCs w:val="24"/>
              </w:rPr>
              <w:t>张领帅</w:t>
            </w: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>:</w:t>
            </w:r>
            <w:r>
              <w:rPr>
                <w:rFonts w:hint="eastAsia" w:ascii="仿宋_GB2312" w:hAnsi="仿宋" w:eastAsia="仿宋_GB2312" w:cs="微软雅黑"/>
                <w:bCs/>
                <w:sz w:val="24"/>
                <w:szCs w:val="24"/>
              </w:rPr>
              <w:t>高健康</w:t>
            </w: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>;</w:t>
            </w:r>
            <w:r>
              <w:rPr>
                <w:rFonts w:hint="eastAsia" w:ascii="仿宋_GB2312" w:hAnsi="仿宋" w:eastAsia="仿宋_GB2312" w:cs="微软雅黑"/>
                <w:bCs/>
                <w:sz w:val="24"/>
                <w:szCs w:val="24"/>
              </w:rPr>
              <w:t>雷斌</w:t>
            </w: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>;</w:t>
            </w:r>
            <w:r>
              <w:rPr>
                <w:rFonts w:hint="eastAsia" w:ascii="仿宋_GB2312" w:hAnsi="仿宋" w:eastAsia="仿宋_GB2312" w:cs="微软雅黑"/>
                <w:bCs/>
                <w:sz w:val="24"/>
                <w:szCs w:val="24"/>
              </w:rPr>
              <w:t>周逢君</w:t>
            </w: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>;</w:t>
            </w:r>
            <w:r>
              <w:rPr>
                <w:rFonts w:hint="eastAsia" w:ascii="仿宋_GB2312" w:hAnsi="仿宋" w:eastAsia="仿宋_GB2312" w:cs="微软雅黑"/>
                <w:bCs/>
                <w:sz w:val="24"/>
                <w:szCs w:val="24"/>
              </w:rPr>
              <w:t>肖克龙</w:t>
            </w: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>;</w:t>
            </w:r>
            <w:r>
              <w:rPr>
                <w:rFonts w:hint="eastAsia" w:ascii="仿宋_GB2312" w:hAnsi="仿宋" w:eastAsia="仿宋_GB2312" w:cs="微软雅黑"/>
                <w:bCs/>
                <w:sz w:val="24"/>
                <w:szCs w:val="24"/>
              </w:rPr>
              <w:t>童宏纲</w:t>
            </w: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>;</w:t>
            </w:r>
            <w:r>
              <w:rPr>
                <w:rFonts w:hint="eastAsia" w:ascii="仿宋_GB2312" w:hAnsi="仿宋" w:eastAsia="仿宋_GB2312" w:cs="微软雅黑"/>
                <w:bCs/>
                <w:sz w:val="24"/>
                <w:szCs w:val="24"/>
              </w:rPr>
              <w:t>左</w:t>
            </w:r>
            <w:r>
              <w:rPr>
                <w:rFonts w:hint="eastAsia" w:ascii="仿宋_GB2312" w:hAnsi="仿宋" w:eastAsia="仿宋_GB2312" w:cs="___WRD_EMBED_SUB_46"/>
                <w:bCs/>
                <w:sz w:val="24"/>
                <w:szCs w:val="24"/>
              </w:rPr>
              <w:t>人字</w:t>
            </w:r>
          </w:p>
          <w:p w14:paraId="67E792D7">
            <w:pPr>
              <w:adjustRightInd w:val="0"/>
              <w:snapToGrid w:val="0"/>
              <w:jc w:val="left"/>
              <w:rPr>
                <w:rFonts w:hint="eastAsia" w:ascii="仿宋_GB2312" w:hAnsi="仿宋" w:eastAsia="仿宋_GB2312"/>
                <w:bCs/>
                <w:sz w:val="24"/>
                <w:szCs w:val="24"/>
              </w:rPr>
            </w:pP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>（7）发明专利：</w:t>
            </w:r>
            <w:r>
              <w:rPr>
                <w:rFonts w:hint="eastAsia" w:ascii="仿宋_GB2312" w:hAnsi="仿宋" w:eastAsia="仿宋_GB2312" w:cs="Calibri"/>
                <w:sz w:val="24"/>
                <w:szCs w:val="24"/>
              </w:rPr>
              <w:t>一种研究电渗处理的污染土中重金属离子迁移轨迹的装置及方法</w:t>
            </w: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>：</w:t>
            </w:r>
            <w:r>
              <w:rPr>
                <w:rFonts w:hint="eastAsia" w:ascii="仿宋_GB2312" w:hAnsi="仿宋" w:eastAsia="仿宋_GB2312"/>
                <w:color w:val="000000"/>
                <w:sz w:val="24"/>
                <w:szCs w:val="24"/>
              </w:rPr>
              <w:t>ZL20182249007.0</w:t>
            </w: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>，专利权人：</w:t>
            </w:r>
            <w:r>
              <w:rPr>
                <w:rFonts w:hint="eastAsia" w:ascii="仿宋_GB2312" w:hAnsi="仿宋" w:eastAsia="仿宋_GB2312" w:cs="Calibri"/>
                <w:color w:val="000000"/>
                <w:sz w:val="24"/>
                <w:szCs w:val="24"/>
              </w:rPr>
              <w:t>浙江大学</w:t>
            </w: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>，发明人：</w:t>
            </w:r>
            <w:r>
              <w:rPr>
                <w:rFonts w:hint="eastAsia" w:ascii="仿宋_GB2312" w:hAnsi="仿宋" w:eastAsia="仿宋_GB2312" w:cs="Calibri"/>
                <w:sz w:val="24"/>
                <w:szCs w:val="24"/>
              </w:rPr>
              <w:t>周建</w:t>
            </w:r>
            <w:r>
              <w:rPr>
                <w:rFonts w:hint="eastAsia" w:ascii="仿宋_GB2312" w:hAnsi="仿宋" w:eastAsia="仿宋_GB2312"/>
                <w:sz w:val="24"/>
                <w:szCs w:val="24"/>
              </w:rPr>
              <w:t>,</w:t>
            </w:r>
            <w:r>
              <w:rPr>
                <w:rFonts w:hint="eastAsia" w:ascii="仿宋_GB2312" w:hAnsi="仿宋" w:eastAsia="仿宋_GB2312" w:cs="Calibri"/>
                <w:sz w:val="24"/>
                <w:szCs w:val="24"/>
              </w:rPr>
              <w:t>张天骄</w:t>
            </w:r>
            <w:r>
              <w:rPr>
                <w:rFonts w:hint="eastAsia" w:ascii="仿宋_GB2312" w:hAnsi="仿宋" w:eastAsia="仿宋_GB2312"/>
                <w:sz w:val="24"/>
                <w:szCs w:val="24"/>
              </w:rPr>
              <w:t>,</w:t>
            </w:r>
            <w:r>
              <w:rPr>
                <w:rFonts w:hint="eastAsia" w:ascii="仿宋_GB2312" w:hAnsi="仿宋" w:eastAsia="仿宋_GB2312" w:cs="Calibri"/>
                <w:sz w:val="24"/>
                <w:szCs w:val="24"/>
              </w:rPr>
              <w:t>詹芳蕾</w:t>
            </w:r>
            <w:r>
              <w:rPr>
                <w:rFonts w:hint="eastAsia" w:ascii="仿宋_GB2312" w:hAnsi="仿宋" w:eastAsia="仿宋_GB2312"/>
                <w:sz w:val="24"/>
                <w:szCs w:val="24"/>
              </w:rPr>
              <w:t>,</w:t>
            </w:r>
            <w:r>
              <w:rPr>
                <w:rFonts w:hint="eastAsia" w:ascii="仿宋_GB2312" w:hAnsi="仿宋" w:eastAsia="仿宋_GB2312" w:cs="Calibri"/>
                <w:sz w:val="24"/>
                <w:szCs w:val="24"/>
              </w:rPr>
              <w:t>徐杰</w:t>
            </w:r>
            <w:r>
              <w:rPr>
                <w:rFonts w:hint="eastAsia" w:ascii="仿宋_GB2312" w:hAnsi="仿宋" w:eastAsia="仿宋_GB2312"/>
                <w:sz w:val="24"/>
                <w:szCs w:val="24"/>
              </w:rPr>
              <w:t>,</w:t>
            </w:r>
            <w:r>
              <w:rPr>
                <w:rFonts w:hint="eastAsia" w:ascii="仿宋_GB2312" w:hAnsi="仿宋" w:eastAsia="仿宋_GB2312" w:cs="Calibri"/>
                <w:sz w:val="24"/>
                <w:szCs w:val="24"/>
              </w:rPr>
              <w:t>甘淇匀</w:t>
            </w:r>
          </w:p>
          <w:p w14:paraId="3F7746A4">
            <w:pPr>
              <w:adjustRightInd w:val="0"/>
              <w:snapToGrid w:val="0"/>
              <w:jc w:val="left"/>
              <w:rPr>
                <w:rFonts w:hint="eastAsia" w:ascii="仿宋_GB2312" w:hAnsi="仿宋" w:eastAsia="仿宋_GB2312"/>
                <w:bCs/>
                <w:sz w:val="24"/>
                <w:szCs w:val="24"/>
              </w:rPr>
            </w:pP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>（8）发明专利：一</w:t>
            </w:r>
            <w:r>
              <w:rPr>
                <w:rFonts w:hint="eastAsia" w:ascii="仿宋_GB2312" w:hAnsi="仿宋" w:eastAsia="仿宋_GB2312" w:cs="微软雅黑"/>
                <w:bCs/>
                <w:sz w:val="24"/>
                <w:szCs w:val="24"/>
              </w:rPr>
              <w:t>种采用深层气爆与夯击处理软土地区地基</w:t>
            </w:r>
            <w:r>
              <w:rPr>
                <w:rFonts w:hint="eastAsia" w:ascii="仿宋_GB2312" w:hAnsi="仿宋" w:eastAsia="仿宋_GB2312" w:cs="___WRD_EMBED_SUB_46"/>
                <w:bCs/>
                <w:sz w:val="24"/>
                <w:szCs w:val="24"/>
              </w:rPr>
              <w:t>的</w:t>
            </w:r>
            <w:r>
              <w:rPr>
                <w:rFonts w:hint="eastAsia" w:ascii="仿宋_GB2312" w:hAnsi="仿宋" w:eastAsia="仿宋_GB2312" w:cs="微软雅黑"/>
                <w:bCs/>
                <w:sz w:val="24"/>
                <w:szCs w:val="24"/>
              </w:rPr>
              <w:t>方法，</w:t>
            </w:r>
            <w:r>
              <w:rPr>
                <w:rFonts w:hint="eastAsia" w:ascii="仿宋_GB2312" w:hAnsi="仿宋" w:eastAsia="仿宋_GB2312"/>
                <w:color w:val="000000"/>
                <w:sz w:val="24"/>
                <w:szCs w:val="24"/>
              </w:rPr>
              <w:t>ZL</w:t>
            </w:r>
            <w:r>
              <w:rPr>
                <w:rFonts w:hint="eastAsia" w:ascii="仿宋_GB2312" w:hAnsi="仿宋" w:eastAsia="仿宋_GB2312" w:cs="微软雅黑"/>
                <w:bCs/>
                <w:sz w:val="24"/>
                <w:szCs w:val="24"/>
              </w:rPr>
              <w:t>202010569319.1，</w:t>
            </w: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>专利权人：</w:t>
            </w:r>
            <w:r>
              <w:rPr>
                <w:rFonts w:hint="eastAsia" w:ascii="仿宋_GB2312" w:hAnsi="仿宋" w:eastAsia="仿宋_GB2312" w:cs="Calibri"/>
                <w:color w:val="000000"/>
                <w:sz w:val="24"/>
                <w:szCs w:val="24"/>
              </w:rPr>
              <w:t>吴慧明</w:t>
            </w: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>，发明人：</w:t>
            </w:r>
            <w:r>
              <w:rPr>
                <w:rFonts w:hint="eastAsia" w:ascii="仿宋_GB2312" w:hAnsi="仿宋" w:eastAsia="仿宋_GB2312" w:cs="Calibri"/>
                <w:color w:val="000000"/>
                <w:sz w:val="24"/>
                <w:szCs w:val="24"/>
              </w:rPr>
              <w:t>吴慧明</w:t>
            </w:r>
          </w:p>
          <w:p w14:paraId="04CE7C75">
            <w:pPr>
              <w:adjustRightInd w:val="0"/>
              <w:snapToGrid w:val="0"/>
              <w:jc w:val="left"/>
              <w:rPr>
                <w:rFonts w:hint="eastAsia" w:ascii="仿宋_GB2312" w:hAnsi="仿宋" w:eastAsia="仿宋_GB2312"/>
                <w:bCs/>
                <w:sz w:val="24"/>
                <w:szCs w:val="24"/>
              </w:rPr>
            </w:pP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>（9</w:t>
            </w:r>
            <w:r>
              <w:rPr>
                <w:rFonts w:hint="eastAsia" w:ascii="仿宋_GB2312" w:hAnsi="仿宋" w:eastAsia="仿宋_GB2312"/>
                <w:color w:val="000000"/>
                <w:sz w:val="24"/>
                <w:szCs w:val="24"/>
              </w:rPr>
              <w:t>）</w:t>
            </w: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>发明专利：</w:t>
            </w:r>
            <w:r>
              <w:rPr>
                <w:rFonts w:hint="eastAsia" w:ascii="仿宋_GB2312" w:hAnsi="仿宋" w:eastAsia="仿宋_GB2312" w:cs="Calibri"/>
                <w:color w:val="000000"/>
                <w:sz w:val="24"/>
                <w:szCs w:val="24"/>
              </w:rPr>
              <w:t>一种分层排水法联合物联变频振碾处理渣土地基的方法</w:t>
            </w: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ascii="仿宋_GB2312" w:hAnsi="仿宋" w:eastAsia="仿宋_GB2312"/>
                <w:color w:val="000000"/>
                <w:sz w:val="24"/>
                <w:szCs w:val="24"/>
              </w:rPr>
              <w:t>ZL201711233031.1</w:t>
            </w: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>，专利权人：</w:t>
            </w:r>
            <w:r>
              <w:rPr>
                <w:rFonts w:hint="eastAsia" w:ascii="仿宋_GB2312" w:hAnsi="仿宋" w:eastAsia="仿宋_GB2312" w:cs="Calibri"/>
                <w:color w:val="000000"/>
                <w:sz w:val="24"/>
                <w:szCs w:val="24"/>
              </w:rPr>
              <w:t>吴慧明</w:t>
            </w: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>，发明人：</w:t>
            </w:r>
            <w:r>
              <w:rPr>
                <w:rFonts w:hint="eastAsia" w:ascii="仿宋_GB2312" w:hAnsi="仿宋" w:eastAsia="仿宋_GB2312" w:cs="Calibri"/>
                <w:color w:val="000000"/>
                <w:sz w:val="24"/>
                <w:szCs w:val="24"/>
              </w:rPr>
              <w:t>吴慧明</w:t>
            </w:r>
          </w:p>
          <w:p w14:paraId="5D9017CE">
            <w:pPr>
              <w:adjustRightInd w:val="0"/>
              <w:snapToGrid w:val="0"/>
              <w:jc w:val="left"/>
              <w:rPr>
                <w:rFonts w:hint="eastAsia" w:ascii="仿宋_GB2312" w:eastAsia="仿宋_GB2312"/>
                <w:bCs/>
                <w:sz w:val="24"/>
                <w:szCs w:val="24"/>
              </w:rPr>
            </w:pP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>（10）发明专利：</w:t>
            </w:r>
            <w:r>
              <w:rPr>
                <w:rFonts w:hint="eastAsia" w:ascii="仿宋_GB2312" w:hAnsi="仿宋" w:eastAsia="仿宋_GB2312" w:cs="Calibri"/>
                <w:color w:val="000000"/>
                <w:sz w:val="24"/>
                <w:szCs w:val="24"/>
              </w:rPr>
              <w:t>一种局部真空结合高压气溶胶扰动的软土地基处理方法</w:t>
            </w: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ascii="仿宋_GB2312" w:hAnsi="仿宋" w:eastAsia="仿宋_GB2312"/>
                <w:color w:val="000000"/>
                <w:sz w:val="24"/>
                <w:szCs w:val="24"/>
              </w:rPr>
              <w:t>ZL201910051985.3</w:t>
            </w: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>，专利权人：</w:t>
            </w:r>
            <w:r>
              <w:rPr>
                <w:rFonts w:hint="eastAsia" w:ascii="仿宋_GB2312" w:hAnsi="仿宋" w:eastAsia="仿宋_GB2312" w:cs="Calibri"/>
                <w:color w:val="000000"/>
                <w:sz w:val="24"/>
                <w:szCs w:val="24"/>
              </w:rPr>
              <w:t>吴慧明</w:t>
            </w: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>，发明人：</w:t>
            </w:r>
            <w:r>
              <w:rPr>
                <w:rFonts w:hint="eastAsia" w:ascii="仿宋_GB2312" w:hAnsi="仿宋" w:eastAsia="仿宋_GB2312" w:cs="Calibri"/>
                <w:color w:val="000000"/>
                <w:sz w:val="24"/>
                <w:szCs w:val="24"/>
              </w:rPr>
              <w:t>吴慧明</w:t>
            </w:r>
          </w:p>
        </w:tc>
      </w:tr>
      <w:tr w14:paraId="4E1663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15" w:hRule="atLeast"/>
          <w:jc w:val="center"/>
        </w:trPr>
        <w:tc>
          <w:tcPr>
            <w:tcW w:w="1843" w:type="dxa"/>
            <w:tcBorders>
              <w:right w:val="single" w:color="auto" w:sz="4" w:space="0"/>
            </w:tcBorders>
            <w:vAlign w:val="center"/>
          </w:tcPr>
          <w:p w14:paraId="0927CD47">
            <w:pPr>
              <w:contextualSpacing/>
              <w:jc w:val="center"/>
              <w:rPr>
                <w:rFonts w:hint="eastAsia" w:ascii="黑体" w:hAnsi="黑体" w:eastAsia="黑体"/>
                <w:bCs/>
                <w:sz w:val="24"/>
                <w:szCs w:val="24"/>
              </w:rPr>
            </w:pPr>
            <w:r>
              <w:rPr>
                <w:rFonts w:ascii="黑体" w:hAnsi="黑体" w:eastAsia="黑体"/>
                <w:bCs/>
                <w:sz w:val="24"/>
                <w:szCs w:val="24"/>
              </w:rPr>
              <w:t>主要完成人</w:t>
            </w:r>
          </w:p>
        </w:tc>
        <w:tc>
          <w:tcPr>
            <w:tcW w:w="6663" w:type="dxa"/>
            <w:tcBorders>
              <w:left w:val="single" w:color="auto" w:sz="4" w:space="0"/>
            </w:tcBorders>
            <w:vAlign w:val="center"/>
          </w:tcPr>
          <w:p w14:paraId="414E7711">
            <w:pPr>
              <w:tabs>
                <w:tab w:val="center" w:pos="3152"/>
              </w:tabs>
              <w:adjustRightInd w:val="0"/>
              <w:snapToGrid w:val="0"/>
              <w:jc w:val="left"/>
              <w:rPr>
                <w:rFonts w:hint="eastAsia" w:ascii="仿宋_GB2312" w:hAnsi="仿宋" w:eastAsia="仿宋_GB2312"/>
                <w:bCs/>
                <w:sz w:val="24"/>
                <w:szCs w:val="24"/>
              </w:rPr>
            </w:pPr>
            <w:r>
              <w:rPr>
                <w:rFonts w:hint="eastAsia" w:ascii="仿宋_GB2312" w:hAnsi="仿宋" w:eastAsia="仿宋_GB2312" w:cs="微软雅黑"/>
                <w:sz w:val="24"/>
                <w:szCs w:val="24"/>
              </w:rPr>
              <w:t>吴慧</w:t>
            </w:r>
            <w:r>
              <w:rPr>
                <w:rFonts w:hint="eastAsia" w:ascii="仿宋_GB2312" w:hAnsi="仿宋" w:eastAsia="仿宋_GB2312" w:cs="___WRD_EMBED_SUB_46"/>
                <w:sz w:val="24"/>
                <w:szCs w:val="24"/>
              </w:rPr>
              <w:t>明</w:t>
            </w: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>，排名1，</w:t>
            </w:r>
            <w:r>
              <w:rPr>
                <w:rFonts w:hint="eastAsia" w:ascii="仿宋_GB2312" w:hAnsi="仿宋" w:eastAsia="仿宋_GB2312" w:cs="微软雅黑"/>
                <w:bCs/>
                <w:sz w:val="24"/>
                <w:szCs w:val="24"/>
              </w:rPr>
              <w:t>教授级高级工程师</w:t>
            </w: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ascii="仿宋_GB2312" w:hAnsi="仿宋" w:eastAsia="仿宋_GB2312" w:cs="微软雅黑"/>
                <w:bCs/>
                <w:sz w:val="24"/>
                <w:szCs w:val="24"/>
              </w:rPr>
              <w:t>浙江开天工程技术有限公司</w:t>
            </w:r>
          </w:p>
          <w:p w14:paraId="17115716">
            <w:pPr>
              <w:tabs>
                <w:tab w:val="center" w:pos="3152"/>
              </w:tabs>
              <w:adjustRightInd w:val="0"/>
              <w:snapToGrid w:val="0"/>
              <w:jc w:val="left"/>
              <w:rPr>
                <w:rFonts w:hint="eastAsia" w:ascii="仿宋_GB2312" w:hAnsi="仿宋" w:eastAsia="仿宋_GB2312"/>
                <w:bCs/>
                <w:sz w:val="24"/>
                <w:szCs w:val="24"/>
              </w:rPr>
            </w:pPr>
            <w:r>
              <w:rPr>
                <w:rFonts w:hint="eastAsia" w:ascii="仿宋_GB2312" w:hAnsi="仿宋" w:eastAsia="仿宋_GB2312" w:cs="___WRD_EMBED_SUB_46"/>
                <w:bCs/>
                <w:sz w:val="24"/>
                <w:szCs w:val="24"/>
              </w:rPr>
              <w:t>周  建</w:t>
            </w: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>，排名2</w:t>
            </w:r>
            <w:r>
              <w:rPr>
                <w:rFonts w:hint="eastAsia" w:ascii="仿宋_GB2312" w:hAnsi="仿宋" w:eastAsia="仿宋_GB2312" w:cs="微软雅黑"/>
                <w:bCs/>
                <w:sz w:val="24"/>
                <w:szCs w:val="24"/>
              </w:rPr>
              <w:t>，教授，浙江大学</w:t>
            </w:r>
          </w:p>
          <w:p w14:paraId="4ECBCB85">
            <w:pPr>
              <w:tabs>
                <w:tab w:val="center" w:pos="3152"/>
              </w:tabs>
              <w:adjustRightInd w:val="0"/>
              <w:snapToGrid w:val="0"/>
              <w:jc w:val="left"/>
              <w:rPr>
                <w:rFonts w:hint="eastAsia" w:ascii="仿宋_GB2312" w:hAnsi="仿宋" w:eastAsia="仿宋_GB2312"/>
                <w:bCs/>
                <w:sz w:val="24"/>
                <w:szCs w:val="24"/>
              </w:rPr>
            </w:pPr>
            <w:r>
              <w:rPr>
                <w:rFonts w:hint="eastAsia" w:ascii="仿宋_GB2312" w:hAnsi="仿宋" w:eastAsia="仿宋_GB2312" w:cs="微软雅黑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左</w:t>
            </w:r>
            <w:r>
              <w:rPr>
                <w:rFonts w:hint="eastAsia" w:ascii="仿宋_GB2312" w:hAnsi="仿宋" w:eastAsia="仿宋_GB2312" w:cs="___WRD_EMBED_SUB_46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人</w:t>
            </w:r>
            <w:r>
              <w:rPr>
                <w:rFonts w:hint="eastAsia" w:ascii="仿宋_GB2312" w:hAnsi="仿宋" w:eastAsia="仿宋_GB2312" w:cs="微软雅黑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宇</w:t>
            </w: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>，排名3，</w:t>
            </w:r>
            <w:r>
              <w:rPr>
                <w:rFonts w:hint="eastAsia" w:ascii="仿宋_GB2312" w:hAnsi="仿宋" w:eastAsia="仿宋_GB2312" w:cs="微软雅黑"/>
                <w:bCs/>
                <w:sz w:val="24"/>
                <w:szCs w:val="24"/>
              </w:rPr>
              <w:t>教授级高级工程师</w:t>
            </w: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ascii="仿宋_GB2312" w:hAnsi="仿宋" w:eastAsia="仿宋_GB2312" w:cs="微软雅黑"/>
                <w:sz w:val="24"/>
                <w:szCs w:val="24"/>
              </w:rPr>
              <w:t>深圳市工勘岩土集团有限公司</w:t>
            </w:r>
          </w:p>
          <w:p w14:paraId="0356C054">
            <w:pPr>
              <w:tabs>
                <w:tab w:val="center" w:pos="3152"/>
              </w:tabs>
              <w:adjustRightInd w:val="0"/>
              <w:snapToGrid w:val="0"/>
              <w:jc w:val="left"/>
              <w:rPr>
                <w:rFonts w:hint="eastAsia" w:ascii="仿宋_GB2312" w:hAnsi="仿宋" w:eastAsia="仿宋_GB2312"/>
                <w:bCs/>
                <w:sz w:val="24"/>
                <w:szCs w:val="24"/>
              </w:rPr>
            </w:pPr>
            <w:r>
              <w:rPr>
                <w:rFonts w:hint="eastAsia" w:ascii="仿宋_GB2312" w:hAnsi="仿宋" w:eastAsia="仿宋_GB2312" w:cs="微软雅黑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林</w:t>
            </w:r>
            <w:r>
              <w:rPr>
                <w:rFonts w:hint="eastAsia" w:ascii="仿宋_GB2312" w:hAnsi="仿宋" w:eastAsia="仿宋_GB2312" w:cs="___WRD_EMBED_SUB_46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小</w:t>
            </w:r>
            <w:r>
              <w:rPr>
                <w:rFonts w:hint="eastAsia" w:ascii="仿宋_GB2312" w:hAnsi="仿宋" w:eastAsia="仿宋_GB2312" w:cs="微软雅黑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飞</w:t>
            </w: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>，排名4，</w:t>
            </w:r>
            <w:r>
              <w:rPr>
                <w:rFonts w:hint="eastAsia" w:ascii="仿宋_GB2312" w:hAnsi="仿宋" w:eastAsia="仿宋_GB2312" w:cs="微软雅黑"/>
                <w:bCs/>
                <w:sz w:val="24"/>
                <w:szCs w:val="24"/>
              </w:rPr>
              <w:t>高级工程师</w:t>
            </w: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ascii="仿宋_GB2312" w:hAnsi="仿宋" w:eastAsia="仿宋_GB2312" w:cs="微软雅黑"/>
                <w:bCs/>
                <w:sz w:val="24"/>
                <w:szCs w:val="24"/>
              </w:rPr>
              <w:t>浙江开天工程技术有限公司</w:t>
            </w:r>
          </w:p>
          <w:p w14:paraId="086BC74F">
            <w:pPr>
              <w:tabs>
                <w:tab w:val="center" w:pos="3152"/>
              </w:tabs>
              <w:adjustRightInd w:val="0"/>
              <w:snapToGrid w:val="0"/>
              <w:jc w:val="left"/>
              <w:rPr>
                <w:rStyle w:val="38"/>
                <w:rFonts w:hint="eastAsia" w:ascii="仿宋_GB2312" w:hAnsi="仿宋" w:eastAsia="仿宋_GB2312"/>
                <w:b w:val="0"/>
                <w:color w:val="FF0000"/>
              </w:rPr>
            </w:pPr>
            <w:r>
              <w:rPr>
                <w:rFonts w:hint="eastAsia" w:ascii="仿宋_GB2312" w:hAnsi="仿宋" w:eastAsia="仿宋_GB2312" w:cs="微软雅黑"/>
                <w:sz w:val="24"/>
                <w:szCs w:val="24"/>
              </w:rPr>
              <w:t>宋  词</w:t>
            </w: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>，排名5，</w:t>
            </w:r>
            <w:r>
              <w:rPr>
                <w:rFonts w:hint="eastAsia" w:ascii="仿宋_GB2312" w:hAnsi="仿宋" w:eastAsia="仿宋_GB2312" w:cs="微软雅黑"/>
                <w:bCs/>
                <w:sz w:val="24"/>
                <w:szCs w:val="24"/>
              </w:rPr>
              <w:t>工程师</w:t>
            </w: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ascii="仿宋_GB2312" w:hAnsi="仿宋" w:eastAsia="仿宋_GB2312" w:cs="微软雅黑"/>
                <w:bCs/>
                <w:sz w:val="24"/>
                <w:szCs w:val="24"/>
              </w:rPr>
              <w:t>浙江开天工程技术有限公司</w:t>
            </w:r>
          </w:p>
          <w:p w14:paraId="194A4249">
            <w:pPr>
              <w:tabs>
                <w:tab w:val="center" w:pos="3152"/>
              </w:tabs>
              <w:adjustRightInd w:val="0"/>
              <w:snapToGrid w:val="0"/>
              <w:jc w:val="left"/>
              <w:rPr>
                <w:rStyle w:val="38"/>
                <w:rFonts w:hint="eastAsia" w:ascii="仿宋_GB2312" w:eastAsia="仿宋_GB2312"/>
                <w:b w:val="0"/>
                <w:color w:val="auto"/>
              </w:rPr>
            </w:pPr>
            <w:r>
              <w:rPr>
                <w:rFonts w:hint="eastAsia" w:ascii="仿宋_GB2312" w:hAnsi="仿宋" w:eastAsia="仿宋_GB2312" w:cs="微软雅黑"/>
                <w:bCs/>
                <w:sz w:val="24"/>
                <w:szCs w:val="24"/>
              </w:rPr>
              <w:t>何  永</w:t>
            </w: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>，排名6，</w:t>
            </w:r>
            <w:r>
              <w:rPr>
                <w:rFonts w:hint="eastAsia" w:ascii="仿宋_GB2312" w:hAnsi="仿宋" w:eastAsia="仿宋_GB2312" w:cs="微软雅黑"/>
                <w:bCs/>
                <w:sz w:val="24"/>
                <w:szCs w:val="24"/>
              </w:rPr>
              <w:t>工程师</w:t>
            </w: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ascii="仿宋_GB2312" w:hAnsi="仿宋" w:eastAsia="仿宋_GB2312" w:cs="微软雅黑"/>
                <w:bCs/>
                <w:sz w:val="24"/>
                <w:szCs w:val="24"/>
              </w:rPr>
              <w:t>浙江开天工程技术有限公司</w:t>
            </w:r>
          </w:p>
        </w:tc>
      </w:tr>
      <w:tr w14:paraId="237CD1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1843" w:type="dxa"/>
            <w:tcBorders>
              <w:right w:val="single" w:color="auto" w:sz="4" w:space="0"/>
            </w:tcBorders>
            <w:vAlign w:val="center"/>
          </w:tcPr>
          <w:p w14:paraId="0E35E4A7">
            <w:pPr>
              <w:contextualSpacing/>
              <w:jc w:val="center"/>
              <w:rPr>
                <w:rFonts w:hint="eastAsia" w:ascii="黑体" w:hAnsi="黑体" w:eastAsia="黑体"/>
                <w:bCs/>
                <w:sz w:val="24"/>
                <w:szCs w:val="24"/>
              </w:rPr>
            </w:pPr>
            <w:r>
              <w:rPr>
                <w:rFonts w:ascii="黑体" w:hAnsi="黑体" w:eastAsia="黑体"/>
                <w:bCs/>
                <w:sz w:val="24"/>
                <w:szCs w:val="24"/>
              </w:rPr>
              <w:t>主要完成单位</w:t>
            </w:r>
          </w:p>
        </w:tc>
        <w:tc>
          <w:tcPr>
            <w:tcW w:w="6663" w:type="dxa"/>
            <w:tcBorders>
              <w:left w:val="single" w:color="auto" w:sz="4" w:space="0"/>
            </w:tcBorders>
            <w:vAlign w:val="center"/>
          </w:tcPr>
          <w:p w14:paraId="4CC6C09C">
            <w:pPr>
              <w:snapToGrid w:val="0"/>
              <w:jc w:val="left"/>
              <w:rPr>
                <w:rFonts w:hint="eastAsia" w:ascii="仿宋_GB2312" w:hAnsi="仿宋" w:eastAsia="仿宋_GB2312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1.</w:t>
            </w:r>
            <w:r>
              <w:rPr>
                <w:rFonts w:hint="eastAsia" w:ascii="仿宋_GB2312" w:hAnsi="仿宋" w:eastAsia="仿宋_GB2312" w:cs="微软雅黑"/>
                <w:bCs/>
                <w:sz w:val="24"/>
                <w:szCs w:val="24"/>
              </w:rPr>
              <w:t>浙江开天工程技术有限公司</w:t>
            </w:r>
          </w:p>
          <w:p w14:paraId="52472DD5">
            <w:pPr>
              <w:snapToGrid w:val="0"/>
              <w:jc w:val="left"/>
              <w:rPr>
                <w:rFonts w:hint="eastAsia" w:ascii="仿宋_GB2312" w:hAnsi="仿宋" w:eastAsia="仿宋_GB2312" w:cs="微软雅黑"/>
                <w:sz w:val="24"/>
                <w:szCs w:val="24"/>
              </w:rPr>
            </w:pPr>
            <w:r>
              <w:rPr>
                <w:rFonts w:hint="eastAsia" w:ascii="仿宋_GB2312" w:hAnsi="仿宋" w:eastAsia="仿宋_GB2312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2.</w:t>
            </w:r>
            <w:r>
              <w:rPr>
                <w:rFonts w:hint="eastAsia" w:ascii="仿宋_GB2312" w:hAnsi="仿宋" w:eastAsia="仿宋_GB2312" w:cs="微软雅黑"/>
                <w:sz w:val="24"/>
                <w:szCs w:val="24"/>
              </w:rPr>
              <w:t>浙江大学</w:t>
            </w:r>
          </w:p>
          <w:p w14:paraId="4B14C137">
            <w:pPr>
              <w:snapToGrid w:val="0"/>
              <w:jc w:val="left"/>
              <w:rPr>
                <w:rFonts w:hint="eastAsia" w:ascii="仿宋_GB2312" w:eastAsia="仿宋_GB2312"/>
                <w:bCs/>
                <w:sz w:val="24"/>
              </w:rPr>
            </w:pPr>
            <w:r>
              <w:rPr>
                <w:rFonts w:hint="eastAsia" w:ascii="仿宋_GB2312" w:hAnsi="仿宋" w:eastAsia="仿宋_GB2312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3.</w:t>
            </w:r>
            <w:r>
              <w:rPr>
                <w:rFonts w:hint="eastAsia" w:ascii="仿宋_GB2312" w:hAnsi="仿宋" w:eastAsia="仿宋_GB2312" w:cs="微软雅黑"/>
                <w:sz w:val="24"/>
                <w:szCs w:val="24"/>
              </w:rPr>
              <w:t>深圳市工勘岩土集团有限公司</w:t>
            </w:r>
          </w:p>
        </w:tc>
      </w:tr>
      <w:tr w14:paraId="665C69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  <w:jc w:val="center"/>
        </w:trPr>
        <w:tc>
          <w:tcPr>
            <w:tcW w:w="1843" w:type="dxa"/>
            <w:vAlign w:val="center"/>
          </w:tcPr>
          <w:p w14:paraId="78DC402F">
            <w:pPr>
              <w:contextualSpacing/>
              <w:jc w:val="center"/>
              <w:rPr>
                <w:rStyle w:val="38"/>
                <w:rFonts w:hint="eastAsia" w:ascii="黑体" w:hAnsi="黑体" w:eastAsia="黑体"/>
                <w:b w:val="0"/>
                <w:color w:val="auto"/>
              </w:rPr>
            </w:pPr>
            <w:r>
              <w:rPr>
                <w:rStyle w:val="38"/>
                <w:rFonts w:ascii="黑体" w:hAnsi="黑体" w:eastAsia="黑体"/>
                <w:b w:val="0"/>
                <w:color w:val="auto"/>
              </w:rPr>
              <w:t>提名单位</w:t>
            </w:r>
          </w:p>
        </w:tc>
        <w:tc>
          <w:tcPr>
            <w:tcW w:w="6663" w:type="dxa"/>
            <w:vAlign w:val="center"/>
          </w:tcPr>
          <w:p w14:paraId="1A6CBA61">
            <w:pPr>
              <w:contextualSpacing/>
              <w:jc w:val="center"/>
              <w:rPr>
                <w:rStyle w:val="38"/>
                <w:rFonts w:hint="eastAsia" w:ascii="仿宋_GB2312" w:eastAsia="仿宋_GB2312"/>
                <w:b w:val="0"/>
                <w:color w:val="auto"/>
              </w:rPr>
            </w:pPr>
            <w:r>
              <w:rPr>
                <w:rStyle w:val="38"/>
                <w:rFonts w:hint="eastAsia" w:ascii="仿宋_GB2312" w:eastAsia="仿宋_GB2312"/>
                <w:b w:val="0"/>
                <w:color w:val="auto"/>
              </w:rPr>
              <w:t>宁波市人民政府</w:t>
            </w:r>
          </w:p>
        </w:tc>
      </w:tr>
      <w:tr w14:paraId="72778B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39" w:hRule="atLeast"/>
          <w:jc w:val="center"/>
        </w:trPr>
        <w:tc>
          <w:tcPr>
            <w:tcW w:w="1843" w:type="dxa"/>
            <w:vAlign w:val="center"/>
          </w:tcPr>
          <w:p w14:paraId="04EBC9FF">
            <w:pPr>
              <w:contextualSpacing/>
              <w:jc w:val="center"/>
              <w:rPr>
                <w:rStyle w:val="38"/>
                <w:rFonts w:hint="eastAsia" w:ascii="黑体" w:hAnsi="黑体" w:eastAsia="黑体"/>
                <w:b w:val="0"/>
                <w:color w:val="auto"/>
              </w:rPr>
            </w:pPr>
            <w:r>
              <w:rPr>
                <w:rStyle w:val="38"/>
                <w:rFonts w:ascii="黑体" w:hAnsi="黑体" w:eastAsia="黑体"/>
                <w:b w:val="0"/>
                <w:color w:val="auto"/>
              </w:rPr>
              <w:t>提名意见</w:t>
            </w:r>
          </w:p>
        </w:tc>
        <w:tc>
          <w:tcPr>
            <w:tcW w:w="6663" w:type="dxa"/>
            <w:vAlign w:val="center"/>
          </w:tcPr>
          <w:p w14:paraId="51BD5734">
            <w:pPr>
              <w:adjustRightInd w:val="0"/>
              <w:snapToGrid w:val="0"/>
              <w:ind w:firstLine="480" w:firstLineChars="200"/>
              <w:rPr>
                <w:rFonts w:hint="eastAsia" w:ascii="仿宋_GB2312" w:hAnsi="仿宋" w:eastAsia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" w:eastAsia="仿宋_GB2312"/>
                <w:color w:val="000000"/>
                <w:sz w:val="24"/>
                <w:szCs w:val="24"/>
              </w:rPr>
              <w:t>岩土工程是国民经济建设的基础支撑，沿海沿江沿湖软土地区贡献了80%GDP，由于渗透性极低与流变性极高，软土存在难处理、工期长、消耗大等问题；弃土弃渣受限于减水减容技术，难以规模化、资源化处置。聚焦国家重大工程建设与环境治理等多领域的共性难题，经过十余年产学研联合攻关，首创高效低耗的高压气溶胶解构排水固结技术，颠覆传统加压体系及排水体系，突破深度极限，实现快速排水，拓展应用领域，打破应用局限。</w:t>
            </w:r>
          </w:p>
          <w:p w14:paraId="67C74905">
            <w:pPr>
              <w:adjustRightInd w:val="0"/>
              <w:snapToGrid w:val="0"/>
              <w:ind w:firstLine="480" w:firstLineChars="200"/>
              <w:rPr>
                <w:rFonts w:hint="eastAsia" w:ascii="仿宋_GB2312" w:hAnsi="仿宋" w:eastAsia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" w:eastAsia="仿宋_GB2312"/>
                <w:color w:val="000000"/>
                <w:sz w:val="24"/>
                <w:szCs w:val="24"/>
              </w:rPr>
              <w:t>主要发明如下：1、构建了立体增压、立体排水理论，颠覆了传统理论计算体系。2、首创了高压气溶胶土体解构方法及跨领域联合增效应用技术，解决软土及各类特殊土高效排水难题。3、研发了成套装备工艺，建立了全流程工法体系，实现全产业链规模化标准化应用。</w:t>
            </w:r>
          </w:p>
          <w:p w14:paraId="63492A91">
            <w:pPr>
              <w:adjustRightInd w:val="0"/>
              <w:snapToGrid w:val="0"/>
              <w:ind w:firstLine="480" w:firstLineChars="200"/>
              <w:rPr>
                <w:rFonts w:hint="eastAsia" w:ascii="仿宋_GB2312" w:hAnsi="仿宋" w:eastAsia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" w:eastAsia="仿宋_GB2312"/>
                <w:color w:val="000000"/>
                <w:sz w:val="24"/>
                <w:szCs w:val="24"/>
              </w:rPr>
              <w:t>该技术成功应用于机场、高速公路、围海造地、环境修复、农渔业等众多领域，累计处理面积240万m</w:t>
            </w:r>
            <w:r>
              <w:rPr>
                <w:rFonts w:ascii="Calibri" w:hAnsi="Calibri" w:eastAsia="仿宋_GB2312" w:cs="Calibri"/>
                <w:color w:val="000000"/>
                <w:sz w:val="24"/>
                <w:szCs w:val="24"/>
              </w:rPr>
              <w:t>²</w:t>
            </w:r>
            <w:r>
              <w:rPr>
                <w:rFonts w:hint="eastAsia" w:ascii="仿宋_GB2312" w:hAnsi="仿宋" w:eastAsia="仿宋_GB2312"/>
                <w:color w:val="000000"/>
                <w:sz w:val="24"/>
                <w:szCs w:val="24"/>
              </w:rPr>
              <w:t>，</w:t>
            </w:r>
            <w:r>
              <w:rPr>
                <w:rFonts w:hint="eastAsia" w:ascii="仿宋_GB2312" w:hAnsi="仿宋" w:eastAsia="仿宋_GB2312"/>
                <w:sz w:val="24"/>
                <w:szCs w:val="24"/>
              </w:rPr>
              <w:t>消纳弃土/弃浆等800万m</w:t>
            </w:r>
            <w:r>
              <w:rPr>
                <w:rFonts w:ascii="Calibri" w:hAnsi="Calibri" w:eastAsia="仿宋_GB2312" w:cs="Calibri"/>
                <w:sz w:val="24"/>
                <w:szCs w:val="24"/>
              </w:rPr>
              <w:t>³</w:t>
            </w:r>
            <w:r>
              <w:rPr>
                <w:rFonts w:hint="eastAsia" w:ascii="仿宋_GB2312" w:hAnsi="仿宋" w:eastAsia="仿宋_GB2312"/>
                <w:sz w:val="24"/>
                <w:szCs w:val="24"/>
              </w:rPr>
              <w:t>，</w:t>
            </w:r>
            <w:r>
              <w:rPr>
                <w:rFonts w:hint="eastAsia" w:ascii="仿宋_GB2312" w:hAnsi="仿宋" w:eastAsia="仿宋_GB2312"/>
                <w:color w:val="000000"/>
                <w:sz w:val="24"/>
                <w:szCs w:val="24"/>
              </w:rPr>
              <w:t>节省砂石1800万吨，</w:t>
            </w:r>
            <w:r>
              <w:rPr>
                <w:rFonts w:hint="eastAsia" w:ascii="仿宋_GB2312" w:hAnsi="仿宋" w:eastAsia="仿宋_GB2312"/>
                <w:sz w:val="24"/>
                <w:szCs w:val="24"/>
              </w:rPr>
              <w:t>实现资源替代，</w:t>
            </w:r>
            <w:r>
              <w:rPr>
                <w:rFonts w:hint="eastAsia" w:ascii="仿宋_GB2312" w:hAnsi="仿宋" w:eastAsia="仿宋_GB2312"/>
                <w:color w:val="000000"/>
                <w:sz w:val="24"/>
                <w:szCs w:val="24"/>
              </w:rPr>
              <w:t>为保障重大工程建设、推进“无废城市”建设、促进绿色低碳发展提供了强有力科技支撑，</w:t>
            </w:r>
            <w:r>
              <w:rPr>
                <w:rFonts w:hint="eastAsia" w:ascii="仿宋_GB2312" w:hAnsi="仿宋" w:eastAsia="仿宋_GB2312"/>
                <w:sz w:val="24"/>
                <w:szCs w:val="24"/>
              </w:rPr>
              <w:t>经济、社会与生态效应极为显著；技术在美丽河湖建设、河海防淤减淤等领域应用前景十分广阔。</w:t>
            </w:r>
          </w:p>
          <w:p w14:paraId="08F2F025">
            <w:pPr>
              <w:ind w:firstLine="480" w:firstLineChars="200"/>
              <w:rPr>
                <w:rFonts w:hint="eastAsia" w:ascii="仿宋_GB2312" w:hAnsi="仿宋" w:eastAsia="仿宋_GB2312"/>
                <w:sz w:val="24"/>
                <w:szCs w:val="24"/>
              </w:rPr>
            </w:pPr>
            <w:r>
              <w:rPr>
                <w:rFonts w:hint="eastAsia" w:ascii="仿宋_GB2312" w:hAnsi="仿宋" w:eastAsia="仿宋_GB2312"/>
                <w:color w:val="000000"/>
                <w:sz w:val="24"/>
                <w:szCs w:val="24"/>
              </w:rPr>
              <w:t>项目获授权发明专利48件（PCT 15件）、软著3件、省级工法1项、省级及以上奖项4次。项目经钱七虎等院士主持8次鉴定、共计25人次院士参会，技术属于国内外原创，整体达到国际领先水平。</w:t>
            </w:r>
          </w:p>
          <w:p w14:paraId="59AA1118">
            <w:pPr>
              <w:snapToGrid w:val="0"/>
              <w:ind w:firstLine="480" w:firstLineChars="200"/>
              <w:jc w:val="left"/>
              <w:rPr>
                <w:rStyle w:val="38"/>
                <w:rFonts w:hint="eastAsia" w:ascii="仿宋_GB2312" w:eastAsia="仿宋_GB2312"/>
                <w:b w:val="0"/>
                <w:color w:val="auto"/>
              </w:rPr>
            </w:pPr>
            <w:r>
              <w:rPr>
                <w:rStyle w:val="38"/>
                <w:rFonts w:hint="eastAsia" w:ascii="仿宋_GB2312" w:eastAsia="仿宋_GB2312"/>
                <w:b w:val="0"/>
                <w:color w:val="auto"/>
              </w:rPr>
              <w:t>提名2024年度省技术发明奖一等奖。</w:t>
            </w:r>
          </w:p>
        </w:tc>
      </w:tr>
    </w:tbl>
    <w:p w14:paraId="643C431A">
      <w:pPr>
        <w:adjustRightInd w:val="0"/>
        <w:snapToGrid w:val="0"/>
        <w:spacing w:line="560" w:lineRule="exact"/>
        <w:rPr>
          <w:rFonts w:eastAsia="仿宋_GB2312"/>
          <w:sz w:val="32"/>
          <w:szCs w:val="32"/>
        </w:rPr>
      </w:pPr>
    </w:p>
    <w:sectPr>
      <w:headerReference r:id="rId3" w:type="default"/>
      <w:footerReference r:id="rId4" w:type="default"/>
      <w:pgSz w:w="11906" w:h="16838"/>
      <w:pgMar w:top="2098" w:right="1588" w:bottom="2098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8C24565-2016-4C25-85BD-1974DC134C2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DBFA5144-2D58-4F61-AE5C-23D6D8DFC77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AAFD3C88-0D5A-4081-8566-F25F413EE360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D114DACD-A319-46D1-8600-D730C8B5AF0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31B6C696-D752-4C96-893D-94511BAED1A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71F19F97-98EE-441E-B320-AAA0B08C403C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2DB63DF0-5C53-46D2-AF11-E276E7FA23D1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F212C10B-2CF8-4C43-802D-A6745EEEBC04}"/>
  </w:font>
  <w:font w:name="方正仿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9" w:fontKey="{1F6701F2-56DC-45E9-A5E0-669DF7A42C8F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FF4D218A-3F78-4633-B7FB-485155B395F2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11" w:fontKey="{639460AC-0111-44A5-9E86-F0C5F177B48A}"/>
  </w:font>
  <w:font w:name="___WRD_EMBED_SUB_46">
    <w:altName w:val="微软雅黑"/>
    <w:panose1 w:val="00000000000000000000"/>
    <w:charset w:val="86"/>
    <w:family w:val="modern"/>
    <w:pitch w:val="default"/>
    <w:sig w:usb0="00000000" w:usb1="00000000" w:usb2="00000000" w:usb3="00000000" w:csb0="00040000" w:csb1="00000000"/>
    <w:embedRegular r:id="rId12" w:fontKey="{13A2E7EF-312C-4019-9439-3F0B1D0CC4A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F5E827">
    <w:pPr>
      <w:pStyle w:val="10"/>
      <w:jc w:val="center"/>
      <w:rPr>
        <w:sz w:val="21"/>
        <w:szCs w:val="21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CFCB67">
    <w:pPr>
      <w:ind w:left="420" w:hanging="42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1"/>
  <w:bordersDoNotSurroundFooter w:val="1"/>
  <w:hideSpellingErrors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2YyOTIyN2MyNGEwMTc4ZmUxNDRhNjVjNGMwMGI5Y2QifQ=="/>
  </w:docVars>
  <w:rsids>
    <w:rsidRoot w:val="007C28FF"/>
    <w:rsid w:val="00006056"/>
    <w:rsid w:val="00007BBE"/>
    <w:rsid w:val="000117FA"/>
    <w:rsid w:val="000165DC"/>
    <w:rsid w:val="00024AA7"/>
    <w:rsid w:val="00031E44"/>
    <w:rsid w:val="00033288"/>
    <w:rsid w:val="0004004D"/>
    <w:rsid w:val="0004381F"/>
    <w:rsid w:val="00051920"/>
    <w:rsid w:val="00051BE3"/>
    <w:rsid w:val="00053F24"/>
    <w:rsid w:val="000557CF"/>
    <w:rsid w:val="0006546D"/>
    <w:rsid w:val="00066016"/>
    <w:rsid w:val="00067E32"/>
    <w:rsid w:val="00073B46"/>
    <w:rsid w:val="00083906"/>
    <w:rsid w:val="000847FC"/>
    <w:rsid w:val="000929AE"/>
    <w:rsid w:val="000A0FE4"/>
    <w:rsid w:val="000B70B3"/>
    <w:rsid w:val="000C3B47"/>
    <w:rsid w:val="000C632A"/>
    <w:rsid w:val="000F1229"/>
    <w:rsid w:val="000F2CC3"/>
    <w:rsid w:val="000F39E5"/>
    <w:rsid w:val="000F6066"/>
    <w:rsid w:val="000F6517"/>
    <w:rsid w:val="000F6B39"/>
    <w:rsid w:val="000F7732"/>
    <w:rsid w:val="001039E9"/>
    <w:rsid w:val="00104F03"/>
    <w:rsid w:val="0012430D"/>
    <w:rsid w:val="00132631"/>
    <w:rsid w:val="001327BF"/>
    <w:rsid w:val="001348AE"/>
    <w:rsid w:val="001435CC"/>
    <w:rsid w:val="001439BC"/>
    <w:rsid w:val="00153E23"/>
    <w:rsid w:val="00154376"/>
    <w:rsid w:val="001553CE"/>
    <w:rsid w:val="001614FC"/>
    <w:rsid w:val="00165962"/>
    <w:rsid w:val="00171419"/>
    <w:rsid w:val="0017168F"/>
    <w:rsid w:val="00172167"/>
    <w:rsid w:val="001829B2"/>
    <w:rsid w:val="00185449"/>
    <w:rsid w:val="001914CA"/>
    <w:rsid w:val="00192701"/>
    <w:rsid w:val="0019371C"/>
    <w:rsid w:val="001A45A0"/>
    <w:rsid w:val="001A5554"/>
    <w:rsid w:val="001A55E6"/>
    <w:rsid w:val="001A5B4F"/>
    <w:rsid w:val="001B0C22"/>
    <w:rsid w:val="001B14BD"/>
    <w:rsid w:val="001B454D"/>
    <w:rsid w:val="001B52AA"/>
    <w:rsid w:val="001C4D6D"/>
    <w:rsid w:val="001D3908"/>
    <w:rsid w:val="001E02BA"/>
    <w:rsid w:val="001E79C7"/>
    <w:rsid w:val="001F032B"/>
    <w:rsid w:val="001F2C76"/>
    <w:rsid w:val="001F7F40"/>
    <w:rsid w:val="00203A67"/>
    <w:rsid w:val="00210961"/>
    <w:rsid w:val="00212129"/>
    <w:rsid w:val="00213CE9"/>
    <w:rsid w:val="0021734C"/>
    <w:rsid w:val="002242B0"/>
    <w:rsid w:val="002247F4"/>
    <w:rsid w:val="00230FE9"/>
    <w:rsid w:val="0023223F"/>
    <w:rsid w:val="00244749"/>
    <w:rsid w:val="00247A49"/>
    <w:rsid w:val="00251808"/>
    <w:rsid w:val="002579D1"/>
    <w:rsid w:val="002745F8"/>
    <w:rsid w:val="00280086"/>
    <w:rsid w:val="00283031"/>
    <w:rsid w:val="0029509E"/>
    <w:rsid w:val="00296134"/>
    <w:rsid w:val="002A2925"/>
    <w:rsid w:val="002A7955"/>
    <w:rsid w:val="002B3198"/>
    <w:rsid w:val="002C6803"/>
    <w:rsid w:val="002C6E65"/>
    <w:rsid w:val="002D1FA7"/>
    <w:rsid w:val="002D3BA3"/>
    <w:rsid w:val="002E3C77"/>
    <w:rsid w:val="002E42A8"/>
    <w:rsid w:val="002E43DB"/>
    <w:rsid w:val="002E49E7"/>
    <w:rsid w:val="002F1911"/>
    <w:rsid w:val="002F74D2"/>
    <w:rsid w:val="0030543F"/>
    <w:rsid w:val="003063D6"/>
    <w:rsid w:val="00311F89"/>
    <w:rsid w:val="003125EF"/>
    <w:rsid w:val="00326352"/>
    <w:rsid w:val="00330554"/>
    <w:rsid w:val="00331B99"/>
    <w:rsid w:val="00336678"/>
    <w:rsid w:val="00340314"/>
    <w:rsid w:val="00343DF4"/>
    <w:rsid w:val="00347614"/>
    <w:rsid w:val="00350705"/>
    <w:rsid w:val="00356B8A"/>
    <w:rsid w:val="00363C7E"/>
    <w:rsid w:val="00370977"/>
    <w:rsid w:val="00377C1C"/>
    <w:rsid w:val="00382214"/>
    <w:rsid w:val="00382EDD"/>
    <w:rsid w:val="00386D85"/>
    <w:rsid w:val="00390DE9"/>
    <w:rsid w:val="003A026D"/>
    <w:rsid w:val="003A08CF"/>
    <w:rsid w:val="003A343A"/>
    <w:rsid w:val="003A466E"/>
    <w:rsid w:val="003A5D0E"/>
    <w:rsid w:val="003A60A7"/>
    <w:rsid w:val="003B0906"/>
    <w:rsid w:val="003B2A50"/>
    <w:rsid w:val="003B3345"/>
    <w:rsid w:val="003C1234"/>
    <w:rsid w:val="003C4124"/>
    <w:rsid w:val="003E3D0D"/>
    <w:rsid w:val="003E6BFB"/>
    <w:rsid w:val="003F0278"/>
    <w:rsid w:val="003F1E9D"/>
    <w:rsid w:val="003F4AB6"/>
    <w:rsid w:val="003F76A0"/>
    <w:rsid w:val="00401E30"/>
    <w:rsid w:val="004058E3"/>
    <w:rsid w:val="004179C8"/>
    <w:rsid w:val="00427A6E"/>
    <w:rsid w:val="004300EE"/>
    <w:rsid w:val="0043080F"/>
    <w:rsid w:val="00442705"/>
    <w:rsid w:val="00444A55"/>
    <w:rsid w:val="0044700B"/>
    <w:rsid w:val="0044760A"/>
    <w:rsid w:val="00453528"/>
    <w:rsid w:val="00453C0E"/>
    <w:rsid w:val="00461A90"/>
    <w:rsid w:val="004646A9"/>
    <w:rsid w:val="00474616"/>
    <w:rsid w:val="004820BD"/>
    <w:rsid w:val="00484A1D"/>
    <w:rsid w:val="00484D69"/>
    <w:rsid w:val="004929AC"/>
    <w:rsid w:val="00492EAC"/>
    <w:rsid w:val="004958D1"/>
    <w:rsid w:val="004A6419"/>
    <w:rsid w:val="004B33C9"/>
    <w:rsid w:val="004B531C"/>
    <w:rsid w:val="004C2337"/>
    <w:rsid w:val="004D0618"/>
    <w:rsid w:val="004D3106"/>
    <w:rsid w:val="004D55B5"/>
    <w:rsid w:val="004E11C6"/>
    <w:rsid w:val="004E36AB"/>
    <w:rsid w:val="004E5BDC"/>
    <w:rsid w:val="004F503B"/>
    <w:rsid w:val="004F551A"/>
    <w:rsid w:val="005002DF"/>
    <w:rsid w:val="00500B55"/>
    <w:rsid w:val="00500EBD"/>
    <w:rsid w:val="00504232"/>
    <w:rsid w:val="0050638A"/>
    <w:rsid w:val="00510C66"/>
    <w:rsid w:val="00510F35"/>
    <w:rsid w:val="00511F4B"/>
    <w:rsid w:val="0051372C"/>
    <w:rsid w:val="00521ED7"/>
    <w:rsid w:val="00524119"/>
    <w:rsid w:val="00526964"/>
    <w:rsid w:val="00532D5A"/>
    <w:rsid w:val="005354E4"/>
    <w:rsid w:val="00544032"/>
    <w:rsid w:val="00552729"/>
    <w:rsid w:val="005663D6"/>
    <w:rsid w:val="0057056C"/>
    <w:rsid w:val="00570701"/>
    <w:rsid w:val="0057414B"/>
    <w:rsid w:val="0057576E"/>
    <w:rsid w:val="0058367D"/>
    <w:rsid w:val="0058489A"/>
    <w:rsid w:val="00586D66"/>
    <w:rsid w:val="005A0877"/>
    <w:rsid w:val="005A17EC"/>
    <w:rsid w:val="005A1A1D"/>
    <w:rsid w:val="005A485B"/>
    <w:rsid w:val="005A6276"/>
    <w:rsid w:val="005A6B7D"/>
    <w:rsid w:val="005B5550"/>
    <w:rsid w:val="005B65F0"/>
    <w:rsid w:val="005C79FE"/>
    <w:rsid w:val="005D2A14"/>
    <w:rsid w:val="005D36E9"/>
    <w:rsid w:val="005E0059"/>
    <w:rsid w:val="005E261D"/>
    <w:rsid w:val="005E49A6"/>
    <w:rsid w:val="005E6D32"/>
    <w:rsid w:val="005F0DC8"/>
    <w:rsid w:val="00600FA4"/>
    <w:rsid w:val="00601C90"/>
    <w:rsid w:val="00605720"/>
    <w:rsid w:val="00611BDC"/>
    <w:rsid w:val="006177DC"/>
    <w:rsid w:val="00617DE1"/>
    <w:rsid w:val="00623BD2"/>
    <w:rsid w:val="00626265"/>
    <w:rsid w:val="006269F8"/>
    <w:rsid w:val="00642EBC"/>
    <w:rsid w:val="00643B2E"/>
    <w:rsid w:val="00646AD1"/>
    <w:rsid w:val="0065509C"/>
    <w:rsid w:val="00670053"/>
    <w:rsid w:val="00672306"/>
    <w:rsid w:val="00673E71"/>
    <w:rsid w:val="0068168C"/>
    <w:rsid w:val="006823DB"/>
    <w:rsid w:val="00692309"/>
    <w:rsid w:val="00694DDB"/>
    <w:rsid w:val="006A1E31"/>
    <w:rsid w:val="006A390F"/>
    <w:rsid w:val="006A580A"/>
    <w:rsid w:val="006B34CD"/>
    <w:rsid w:val="006C528F"/>
    <w:rsid w:val="006C691E"/>
    <w:rsid w:val="006C6CA7"/>
    <w:rsid w:val="006D10DB"/>
    <w:rsid w:val="006D59C3"/>
    <w:rsid w:val="006E4386"/>
    <w:rsid w:val="006E5310"/>
    <w:rsid w:val="006F0C81"/>
    <w:rsid w:val="006F5EED"/>
    <w:rsid w:val="006F6A7C"/>
    <w:rsid w:val="006F7780"/>
    <w:rsid w:val="007116D0"/>
    <w:rsid w:val="00721ACB"/>
    <w:rsid w:val="00725CE5"/>
    <w:rsid w:val="0073019F"/>
    <w:rsid w:val="00734046"/>
    <w:rsid w:val="00735560"/>
    <w:rsid w:val="00736027"/>
    <w:rsid w:val="007370E0"/>
    <w:rsid w:val="00745D4A"/>
    <w:rsid w:val="007466B8"/>
    <w:rsid w:val="00751448"/>
    <w:rsid w:val="00751A09"/>
    <w:rsid w:val="0075383C"/>
    <w:rsid w:val="00754147"/>
    <w:rsid w:val="00756C08"/>
    <w:rsid w:val="00756D75"/>
    <w:rsid w:val="00760A58"/>
    <w:rsid w:val="00760EA9"/>
    <w:rsid w:val="00763073"/>
    <w:rsid w:val="0076560D"/>
    <w:rsid w:val="00767A99"/>
    <w:rsid w:val="00784D44"/>
    <w:rsid w:val="00793C8C"/>
    <w:rsid w:val="00793E7F"/>
    <w:rsid w:val="007940D2"/>
    <w:rsid w:val="00794B04"/>
    <w:rsid w:val="0079610B"/>
    <w:rsid w:val="00797739"/>
    <w:rsid w:val="007A5E60"/>
    <w:rsid w:val="007B0382"/>
    <w:rsid w:val="007B5ADC"/>
    <w:rsid w:val="007B7CAA"/>
    <w:rsid w:val="007C28FF"/>
    <w:rsid w:val="007C5AC5"/>
    <w:rsid w:val="007D26E7"/>
    <w:rsid w:val="007D58D1"/>
    <w:rsid w:val="007D68D7"/>
    <w:rsid w:val="007E17CF"/>
    <w:rsid w:val="007F5A15"/>
    <w:rsid w:val="0080157D"/>
    <w:rsid w:val="008042D8"/>
    <w:rsid w:val="00812C78"/>
    <w:rsid w:val="00813788"/>
    <w:rsid w:val="0082227E"/>
    <w:rsid w:val="00822B10"/>
    <w:rsid w:val="00823F06"/>
    <w:rsid w:val="00832862"/>
    <w:rsid w:val="00832F6E"/>
    <w:rsid w:val="00832F80"/>
    <w:rsid w:val="00833452"/>
    <w:rsid w:val="00834CE8"/>
    <w:rsid w:val="0083551E"/>
    <w:rsid w:val="00845629"/>
    <w:rsid w:val="00845A89"/>
    <w:rsid w:val="00845F36"/>
    <w:rsid w:val="008527A7"/>
    <w:rsid w:val="00853603"/>
    <w:rsid w:val="008550E7"/>
    <w:rsid w:val="00856D92"/>
    <w:rsid w:val="00866267"/>
    <w:rsid w:val="008666C1"/>
    <w:rsid w:val="00866773"/>
    <w:rsid w:val="008706BC"/>
    <w:rsid w:val="00872CCF"/>
    <w:rsid w:val="00890A44"/>
    <w:rsid w:val="00891DDA"/>
    <w:rsid w:val="00894724"/>
    <w:rsid w:val="00897BC4"/>
    <w:rsid w:val="008A09D1"/>
    <w:rsid w:val="008A37FE"/>
    <w:rsid w:val="008B5F0B"/>
    <w:rsid w:val="008B78AD"/>
    <w:rsid w:val="008C37F3"/>
    <w:rsid w:val="008C5BE5"/>
    <w:rsid w:val="008C7FED"/>
    <w:rsid w:val="008D4B84"/>
    <w:rsid w:val="008D5553"/>
    <w:rsid w:val="00902413"/>
    <w:rsid w:val="0090595F"/>
    <w:rsid w:val="0090670A"/>
    <w:rsid w:val="00906781"/>
    <w:rsid w:val="009211BA"/>
    <w:rsid w:val="00922838"/>
    <w:rsid w:val="009339E2"/>
    <w:rsid w:val="00942CCA"/>
    <w:rsid w:val="00944C6A"/>
    <w:rsid w:val="00945930"/>
    <w:rsid w:val="00947118"/>
    <w:rsid w:val="009529F5"/>
    <w:rsid w:val="00957194"/>
    <w:rsid w:val="009572C9"/>
    <w:rsid w:val="009607CA"/>
    <w:rsid w:val="0096088C"/>
    <w:rsid w:val="009728CB"/>
    <w:rsid w:val="009746A0"/>
    <w:rsid w:val="00975273"/>
    <w:rsid w:val="009764E0"/>
    <w:rsid w:val="0098148B"/>
    <w:rsid w:val="00983F16"/>
    <w:rsid w:val="00984A71"/>
    <w:rsid w:val="00985B39"/>
    <w:rsid w:val="009866EC"/>
    <w:rsid w:val="0099382A"/>
    <w:rsid w:val="00994C12"/>
    <w:rsid w:val="009A3A67"/>
    <w:rsid w:val="009D1070"/>
    <w:rsid w:val="009D2804"/>
    <w:rsid w:val="009D3350"/>
    <w:rsid w:val="009D66DD"/>
    <w:rsid w:val="009E1BBE"/>
    <w:rsid w:val="009F0766"/>
    <w:rsid w:val="009F19B6"/>
    <w:rsid w:val="009F4B40"/>
    <w:rsid w:val="00A03853"/>
    <w:rsid w:val="00A11F99"/>
    <w:rsid w:val="00A1508E"/>
    <w:rsid w:val="00A156D9"/>
    <w:rsid w:val="00A243BC"/>
    <w:rsid w:val="00A244AF"/>
    <w:rsid w:val="00A27943"/>
    <w:rsid w:val="00A31D43"/>
    <w:rsid w:val="00A36061"/>
    <w:rsid w:val="00A402C6"/>
    <w:rsid w:val="00A5008B"/>
    <w:rsid w:val="00A61479"/>
    <w:rsid w:val="00A65CD4"/>
    <w:rsid w:val="00A70F4C"/>
    <w:rsid w:val="00A736E3"/>
    <w:rsid w:val="00A848FF"/>
    <w:rsid w:val="00A86D79"/>
    <w:rsid w:val="00A91D7E"/>
    <w:rsid w:val="00AA6478"/>
    <w:rsid w:val="00AA6A67"/>
    <w:rsid w:val="00AB2670"/>
    <w:rsid w:val="00AB2B0F"/>
    <w:rsid w:val="00AC096E"/>
    <w:rsid w:val="00AC5736"/>
    <w:rsid w:val="00AC69B7"/>
    <w:rsid w:val="00AC7691"/>
    <w:rsid w:val="00AD689E"/>
    <w:rsid w:val="00AD7D6F"/>
    <w:rsid w:val="00AE189B"/>
    <w:rsid w:val="00AE5A16"/>
    <w:rsid w:val="00AF0A71"/>
    <w:rsid w:val="00AF2833"/>
    <w:rsid w:val="00AF2A0E"/>
    <w:rsid w:val="00B03355"/>
    <w:rsid w:val="00B0469B"/>
    <w:rsid w:val="00B127DF"/>
    <w:rsid w:val="00B14566"/>
    <w:rsid w:val="00B237EB"/>
    <w:rsid w:val="00B24D94"/>
    <w:rsid w:val="00B268E1"/>
    <w:rsid w:val="00B269D7"/>
    <w:rsid w:val="00B303C2"/>
    <w:rsid w:val="00B362C3"/>
    <w:rsid w:val="00B43F7F"/>
    <w:rsid w:val="00B63A00"/>
    <w:rsid w:val="00B651CC"/>
    <w:rsid w:val="00B703B2"/>
    <w:rsid w:val="00B73F27"/>
    <w:rsid w:val="00B74C14"/>
    <w:rsid w:val="00B92BAD"/>
    <w:rsid w:val="00B9520A"/>
    <w:rsid w:val="00B979F5"/>
    <w:rsid w:val="00BA07A7"/>
    <w:rsid w:val="00BA3056"/>
    <w:rsid w:val="00BA6D49"/>
    <w:rsid w:val="00BB47F3"/>
    <w:rsid w:val="00BD0ED0"/>
    <w:rsid w:val="00BE6C2E"/>
    <w:rsid w:val="00BE7259"/>
    <w:rsid w:val="00C10571"/>
    <w:rsid w:val="00C142E4"/>
    <w:rsid w:val="00C24E7B"/>
    <w:rsid w:val="00C24EE0"/>
    <w:rsid w:val="00C36E42"/>
    <w:rsid w:val="00C3779F"/>
    <w:rsid w:val="00C51DAF"/>
    <w:rsid w:val="00C52425"/>
    <w:rsid w:val="00C555AC"/>
    <w:rsid w:val="00C56CDE"/>
    <w:rsid w:val="00C5764E"/>
    <w:rsid w:val="00C64274"/>
    <w:rsid w:val="00C65487"/>
    <w:rsid w:val="00C65987"/>
    <w:rsid w:val="00C74F01"/>
    <w:rsid w:val="00C80D82"/>
    <w:rsid w:val="00C83D98"/>
    <w:rsid w:val="00C87EB0"/>
    <w:rsid w:val="00C92139"/>
    <w:rsid w:val="00C94906"/>
    <w:rsid w:val="00CA0830"/>
    <w:rsid w:val="00CA08E7"/>
    <w:rsid w:val="00CA0BB3"/>
    <w:rsid w:val="00CB7617"/>
    <w:rsid w:val="00CC2CF9"/>
    <w:rsid w:val="00CC55CE"/>
    <w:rsid w:val="00CD3458"/>
    <w:rsid w:val="00CE7048"/>
    <w:rsid w:val="00CF0855"/>
    <w:rsid w:val="00CF0ED4"/>
    <w:rsid w:val="00CF10A0"/>
    <w:rsid w:val="00CF171B"/>
    <w:rsid w:val="00D043A5"/>
    <w:rsid w:val="00D06294"/>
    <w:rsid w:val="00D170C8"/>
    <w:rsid w:val="00D20CA5"/>
    <w:rsid w:val="00D22F7F"/>
    <w:rsid w:val="00D23039"/>
    <w:rsid w:val="00D27104"/>
    <w:rsid w:val="00D35DA8"/>
    <w:rsid w:val="00D41A51"/>
    <w:rsid w:val="00D4719D"/>
    <w:rsid w:val="00D47863"/>
    <w:rsid w:val="00D51301"/>
    <w:rsid w:val="00D619CB"/>
    <w:rsid w:val="00D63EBA"/>
    <w:rsid w:val="00D66E92"/>
    <w:rsid w:val="00D75966"/>
    <w:rsid w:val="00D76DA8"/>
    <w:rsid w:val="00D76EB9"/>
    <w:rsid w:val="00D97840"/>
    <w:rsid w:val="00DC0F80"/>
    <w:rsid w:val="00DC1C67"/>
    <w:rsid w:val="00DD7D0E"/>
    <w:rsid w:val="00DF02D4"/>
    <w:rsid w:val="00DF2AD8"/>
    <w:rsid w:val="00DF7FCB"/>
    <w:rsid w:val="00E0025A"/>
    <w:rsid w:val="00E066BD"/>
    <w:rsid w:val="00E1736F"/>
    <w:rsid w:val="00E17FF5"/>
    <w:rsid w:val="00E26009"/>
    <w:rsid w:val="00E3162A"/>
    <w:rsid w:val="00E37C85"/>
    <w:rsid w:val="00E407C9"/>
    <w:rsid w:val="00E448E6"/>
    <w:rsid w:val="00E46BD6"/>
    <w:rsid w:val="00E5280E"/>
    <w:rsid w:val="00E5401A"/>
    <w:rsid w:val="00E55EDB"/>
    <w:rsid w:val="00E56172"/>
    <w:rsid w:val="00E60002"/>
    <w:rsid w:val="00E63C4E"/>
    <w:rsid w:val="00E7054E"/>
    <w:rsid w:val="00E730DF"/>
    <w:rsid w:val="00E74D76"/>
    <w:rsid w:val="00E754A7"/>
    <w:rsid w:val="00E81909"/>
    <w:rsid w:val="00E83D1D"/>
    <w:rsid w:val="00E83D4E"/>
    <w:rsid w:val="00E84A18"/>
    <w:rsid w:val="00E84C25"/>
    <w:rsid w:val="00E84FF9"/>
    <w:rsid w:val="00E86E74"/>
    <w:rsid w:val="00E93BC2"/>
    <w:rsid w:val="00EA7020"/>
    <w:rsid w:val="00EB2FD4"/>
    <w:rsid w:val="00EB7300"/>
    <w:rsid w:val="00EC5664"/>
    <w:rsid w:val="00ED130C"/>
    <w:rsid w:val="00ED31B6"/>
    <w:rsid w:val="00EE0CE1"/>
    <w:rsid w:val="00EE1078"/>
    <w:rsid w:val="00EE7FC6"/>
    <w:rsid w:val="00EF79B0"/>
    <w:rsid w:val="00F024DB"/>
    <w:rsid w:val="00F143B1"/>
    <w:rsid w:val="00F1451E"/>
    <w:rsid w:val="00F23CF0"/>
    <w:rsid w:val="00F27CBB"/>
    <w:rsid w:val="00F3777D"/>
    <w:rsid w:val="00F43A3E"/>
    <w:rsid w:val="00F45942"/>
    <w:rsid w:val="00F45AE1"/>
    <w:rsid w:val="00F5192E"/>
    <w:rsid w:val="00F53F01"/>
    <w:rsid w:val="00F57D63"/>
    <w:rsid w:val="00F640B5"/>
    <w:rsid w:val="00F67176"/>
    <w:rsid w:val="00F711B9"/>
    <w:rsid w:val="00F765BA"/>
    <w:rsid w:val="00F81F40"/>
    <w:rsid w:val="00F90789"/>
    <w:rsid w:val="00F90DFB"/>
    <w:rsid w:val="00F91089"/>
    <w:rsid w:val="00F94DE6"/>
    <w:rsid w:val="00FA33E4"/>
    <w:rsid w:val="00FB0D99"/>
    <w:rsid w:val="00FB523A"/>
    <w:rsid w:val="00FB5471"/>
    <w:rsid w:val="00FB606D"/>
    <w:rsid w:val="00FC18D8"/>
    <w:rsid w:val="00FC5A70"/>
    <w:rsid w:val="00FC7BB3"/>
    <w:rsid w:val="00FC7D4F"/>
    <w:rsid w:val="00FD0CCE"/>
    <w:rsid w:val="00FD3CB2"/>
    <w:rsid w:val="00FD4D9B"/>
    <w:rsid w:val="00FE187C"/>
    <w:rsid w:val="00FE48C9"/>
    <w:rsid w:val="00FE69B2"/>
    <w:rsid w:val="00FF48B9"/>
    <w:rsid w:val="00FF49EB"/>
    <w:rsid w:val="02883661"/>
    <w:rsid w:val="02C848FD"/>
    <w:rsid w:val="042C46C0"/>
    <w:rsid w:val="04854128"/>
    <w:rsid w:val="04A9605B"/>
    <w:rsid w:val="063B5B78"/>
    <w:rsid w:val="07CA76CE"/>
    <w:rsid w:val="08E33793"/>
    <w:rsid w:val="08E91129"/>
    <w:rsid w:val="09434D9D"/>
    <w:rsid w:val="09C556F2"/>
    <w:rsid w:val="09F92B1D"/>
    <w:rsid w:val="0A694752"/>
    <w:rsid w:val="0AB42620"/>
    <w:rsid w:val="0AD10D6A"/>
    <w:rsid w:val="0BB30987"/>
    <w:rsid w:val="0DF07EE3"/>
    <w:rsid w:val="0E643518"/>
    <w:rsid w:val="10344DD0"/>
    <w:rsid w:val="107514F4"/>
    <w:rsid w:val="10DD4EBB"/>
    <w:rsid w:val="12435D4E"/>
    <w:rsid w:val="132C233E"/>
    <w:rsid w:val="15A43ABF"/>
    <w:rsid w:val="15F93F79"/>
    <w:rsid w:val="16287BC3"/>
    <w:rsid w:val="16693DC2"/>
    <w:rsid w:val="16AD7FB9"/>
    <w:rsid w:val="17EDC74B"/>
    <w:rsid w:val="183F1493"/>
    <w:rsid w:val="18D07C10"/>
    <w:rsid w:val="18FC4FBA"/>
    <w:rsid w:val="190768CF"/>
    <w:rsid w:val="19630365"/>
    <w:rsid w:val="19AF3334"/>
    <w:rsid w:val="1A604FC3"/>
    <w:rsid w:val="1AAB4A91"/>
    <w:rsid w:val="1B0E4ACA"/>
    <w:rsid w:val="1B8B48E8"/>
    <w:rsid w:val="1C3E3265"/>
    <w:rsid w:val="1C9808FD"/>
    <w:rsid w:val="1D632E00"/>
    <w:rsid w:val="1D934311"/>
    <w:rsid w:val="1DF52CC8"/>
    <w:rsid w:val="1E065132"/>
    <w:rsid w:val="1E1862E1"/>
    <w:rsid w:val="1F096FB1"/>
    <w:rsid w:val="210838D9"/>
    <w:rsid w:val="217A28E4"/>
    <w:rsid w:val="22873147"/>
    <w:rsid w:val="229233C9"/>
    <w:rsid w:val="23571659"/>
    <w:rsid w:val="23737E65"/>
    <w:rsid w:val="23DA218B"/>
    <w:rsid w:val="254D1128"/>
    <w:rsid w:val="26574DB4"/>
    <w:rsid w:val="27143262"/>
    <w:rsid w:val="275B723E"/>
    <w:rsid w:val="27E50DCB"/>
    <w:rsid w:val="29B429EB"/>
    <w:rsid w:val="29F90ABD"/>
    <w:rsid w:val="2A213392"/>
    <w:rsid w:val="2A465F84"/>
    <w:rsid w:val="2A4F18CC"/>
    <w:rsid w:val="2A5700B2"/>
    <w:rsid w:val="2AC96FF6"/>
    <w:rsid w:val="2B0E5044"/>
    <w:rsid w:val="2B5E7BEB"/>
    <w:rsid w:val="2C5A5D16"/>
    <w:rsid w:val="2D441354"/>
    <w:rsid w:val="2D5304A2"/>
    <w:rsid w:val="2D68079A"/>
    <w:rsid w:val="2DF700D9"/>
    <w:rsid w:val="2E4550FC"/>
    <w:rsid w:val="2E514683"/>
    <w:rsid w:val="2EBACCEC"/>
    <w:rsid w:val="2F276578"/>
    <w:rsid w:val="2F917CA1"/>
    <w:rsid w:val="2FFC7DCE"/>
    <w:rsid w:val="30517CAB"/>
    <w:rsid w:val="30CD711A"/>
    <w:rsid w:val="32C1444F"/>
    <w:rsid w:val="338728D9"/>
    <w:rsid w:val="33D20888"/>
    <w:rsid w:val="35BC17F0"/>
    <w:rsid w:val="35F10F8D"/>
    <w:rsid w:val="374F01EB"/>
    <w:rsid w:val="376D011C"/>
    <w:rsid w:val="38891DB8"/>
    <w:rsid w:val="38A16843"/>
    <w:rsid w:val="398F5D75"/>
    <w:rsid w:val="3ABA7D5B"/>
    <w:rsid w:val="3C4F4F38"/>
    <w:rsid w:val="3CE416AE"/>
    <w:rsid w:val="3E43485C"/>
    <w:rsid w:val="3EAD0C0C"/>
    <w:rsid w:val="3F23643C"/>
    <w:rsid w:val="3F7FF403"/>
    <w:rsid w:val="420D168D"/>
    <w:rsid w:val="436C4015"/>
    <w:rsid w:val="43D025F5"/>
    <w:rsid w:val="459C73B1"/>
    <w:rsid w:val="463068AB"/>
    <w:rsid w:val="472E36B4"/>
    <w:rsid w:val="48B76D8F"/>
    <w:rsid w:val="49A07007"/>
    <w:rsid w:val="49DD2383"/>
    <w:rsid w:val="4A78588E"/>
    <w:rsid w:val="4CA639F1"/>
    <w:rsid w:val="4DD314A2"/>
    <w:rsid w:val="4E3E0B9C"/>
    <w:rsid w:val="4EC76DE4"/>
    <w:rsid w:val="5552317F"/>
    <w:rsid w:val="557E53F1"/>
    <w:rsid w:val="573477B4"/>
    <w:rsid w:val="57E61A10"/>
    <w:rsid w:val="57FF4FBB"/>
    <w:rsid w:val="58BB54C9"/>
    <w:rsid w:val="58D36AC3"/>
    <w:rsid w:val="594E097A"/>
    <w:rsid w:val="59F65C7E"/>
    <w:rsid w:val="5A1D69F6"/>
    <w:rsid w:val="5B1909C7"/>
    <w:rsid w:val="5B64133E"/>
    <w:rsid w:val="5B9A4CA7"/>
    <w:rsid w:val="5D7A3760"/>
    <w:rsid w:val="5D981ABC"/>
    <w:rsid w:val="5DB06C95"/>
    <w:rsid w:val="5EAB238F"/>
    <w:rsid w:val="5F2D2C93"/>
    <w:rsid w:val="5F487ACD"/>
    <w:rsid w:val="5FBF5A6B"/>
    <w:rsid w:val="60E63616"/>
    <w:rsid w:val="60FB2C8B"/>
    <w:rsid w:val="612734A9"/>
    <w:rsid w:val="61907CF7"/>
    <w:rsid w:val="61C548D6"/>
    <w:rsid w:val="63123A52"/>
    <w:rsid w:val="63441F36"/>
    <w:rsid w:val="641941AB"/>
    <w:rsid w:val="64C701D0"/>
    <w:rsid w:val="64FF0C2E"/>
    <w:rsid w:val="657E0B48"/>
    <w:rsid w:val="660F30F2"/>
    <w:rsid w:val="66FD119D"/>
    <w:rsid w:val="67FA3CBD"/>
    <w:rsid w:val="67FF5FF1"/>
    <w:rsid w:val="688D6DBF"/>
    <w:rsid w:val="69BE70C4"/>
    <w:rsid w:val="6A2A1384"/>
    <w:rsid w:val="6AFE3735"/>
    <w:rsid w:val="6AFEE48C"/>
    <w:rsid w:val="6B5E0AAF"/>
    <w:rsid w:val="6BD31768"/>
    <w:rsid w:val="6D103417"/>
    <w:rsid w:val="6D342528"/>
    <w:rsid w:val="6D73A7A8"/>
    <w:rsid w:val="6DED540B"/>
    <w:rsid w:val="6EC205F2"/>
    <w:rsid w:val="6EF51602"/>
    <w:rsid w:val="70A408DB"/>
    <w:rsid w:val="717383BB"/>
    <w:rsid w:val="71EE2967"/>
    <w:rsid w:val="72FB5971"/>
    <w:rsid w:val="7367CFA8"/>
    <w:rsid w:val="7368470D"/>
    <w:rsid w:val="73762533"/>
    <w:rsid w:val="73F6855F"/>
    <w:rsid w:val="74507E06"/>
    <w:rsid w:val="74FD2CB8"/>
    <w:rsid w:val="75FF44DB"/>
    <w:rsid w:val="76413F68"/>
    <w:rsid w:val="765C6DB5"/>
    <w:rsid w:val="77210E87"/>
    <w:rsid w:val="77B1FF77"/>
    <w:rsid w:val="797F503F"/>
    <w:rsid w:val="799A7C87"/>
    <w:rsid w:val="7A6B49A6"/>
    <w:rsid w:val="7B5615BC"/>
    <w:rsid w:val="7B973D59"/>
    <w:rsid w:val="7BAE59D5"/>
    <w:rsid w:val="7BEC7AA8"/>
    <w:rsid w:val="7BFE8EC0"/>
    <w:rsid w:val="7DF77DD2"/>
    <w:rsid w:val="7DFFA53F"/>
    <w:rsid w:val="7EB0669D"/>
    <w:rsid w:val="7F2FE11E"/>
    <w:rsid w:val="7F7BA24F"/>
    <w:rsid w:val="7FAB99E8"/>
    <w:rsid w:val="7FB56661"/>
    <w:rsid w:val="7FB746D5"/>
    <w:rsid w:val="7FDE543C"/>
    <w:rsid w:val="B8F7F9A2"/>
    <w:rsid w:val="CBDF8A08"/>
    <w:rsid w:val="DB7451F2"/>
    <w:rsid w:val="DC9FCBEB"/>
    <w:rsid w:val="E9D78A37"/>
    <w:rsid w:val="EBCD529C"/>
    <w:rsid w:val="EBDFC38F"/>
    <w:rsid w:val="EBE7CAE1"/>
    <w:rsid w:val="F2EFD742"/>
    <w:rsid w:val="F77B9D5A"/>
    <w:rsid w:val="F78CA074"/>
    <w:rsid w:val="F7DED60E"/>
    <w:rsid w:val="FAFD401C"/>
    <w:rsid w:val="FB6B9550"/>
    <w:rsid w:val="FB735437"/>
    <w:rsid w:val="FBFF0F16"/>
    <w:rsid w:val="FD7E2DDA"/>
    <w:rsid w:val="FDEF3302"/>
    <w:rsid w:val="FDF7D648"/>
    <w:rsid w:val="FE4DE1B6"/>
    <w:rsid w:val="FE5391AB"/>
    <w:rsid w:val="FFADF011"/>
    <w:rsid w:val="FFE15F73"/>
    <w:rsid w:val="FFF26CD7"/>
    <w:rsid w:val="FFFB041A"/>
    <w:rsid w:val="FFFF600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25"/>
    <w:qFormat/>
    <w:uiPriority w:val="9"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40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9">
    <w:name w:val="Default Paragraph Font"/>
    <w:semiHidden/>
    <w:unhideWhenUsed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31"/>
    <w:semiHidden/>
    <w:unhideWhenUsed/>
    <w:qFormat/>
    <w:uiPriority w:val="99"/>
    <w:pPr>
      <w:widowControl/>
      <w:jc w:val="left"/>
    </w:pPr>
  </w:style>
  <w:style w:type="paragraph" w:styleId="6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asciiTheme="minorHAnsi" w:hAnsiTheme="minorHAnsi" w:eastAsiaTheme="minorEastAsia"/>
      <w:kern w:val="0"/>
      <w:sz w:val="22"/>
      <w:szCs w:val="22"/>
    </w:rPr>
  </w:style>
  <w:style w:type="paragraph" w:styleId="7">
    <w:name w:val="Plain Text"/>
    <w:basedOn w:val="1"/>
    <w:link w:val="32"/>
    <w:qFormat/>
    <w:uiPriority w:val="0"/>
    <w:pPr>
      <w:spacing w:line="360" w:lineRule="auto"/>
      <w:ind w:firstLine="480" w:firstLineChars="200"/>
    </w:pPr>
    <w:rPr>
      <w:rFonts w:ascii="仿宋_GB2312"/>
      <w:sz w:val="24"/>
    </w:rPr>
  </w:style>
  <w:style w:type="paragraph" w:styleId="8">
    <w:name w:val="Body Text Indent 2"/>
    <w:basedOn w:val="1"/>
    <w:link w:val="35"/>
    <w:qFormat/>
    <w:uiPriority w:val="0"/>
    <w:pPr>
      <w:widowControl/>
      <w:ind w:firstLine="562" w:firstLineChars="200"/>
      <w:jc w:val="left"/>
    </w:pPr>
    <w:rPr>
      <w:b/>
      <w:bCs/>
      <w:sz w:val="28"/>
      <w:szCs w:val="24"/>
    </w:rPr>
  </w:style>
  <w:style w:type="paragraph" w:styleId="9">
    <w:name w:val="Balloon Text"/>
    <w:basedOn w:val="1"/>
    <w:link w:val="30"/>
    <w:semiHidden/>
    <w:unhideWhenUsed/>
    <w:qFormat/>
    <w:uiPriority w:val="99"/>
    <w:rPr>
      <w:sz w:val="18"/>
      <w:szCs w:val="18"/>
    </w:rPr>
  </w:style>
  <w:style w:type="paragraph" w:styleId="10">
    <w:name w:val="footer"/>
    <w:basedOn w:val="1"/>
    <w:link w:val="2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7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unhideWhenUsed/>
    <w:qFormat/>
    <w:uiPriority w:val="39"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hAnsi="宋体" w:eastAsia="仿宋_GB2312"/>
      <w:b/>
      <w:bCs/>
      <w:kern w:val="0"/>
      <w:sz w:val="32"/>
      <w:szCs w:val="32"/>
    </w:rPr>
  </w:style>
  <w:style w:type="paragraph" w:styleId="13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4">
    <w:name w:val="Normal (Web)"/>
    <w:basedOn w:val="1"/>
    <w:semiHidden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15">
    <w:name w:val="Title"/>
    <w:basedOn w:val="1"/>
    <w:next w:val="1"/>
    <w:link w:val="36"/>
    <w:qFormat/>
    <w:uiPriority w:val="0"/>
    <w:pPr>
      <w:widowControl/>
      <w:spacing w:before="240" w:after="60"/>
      <w:jc w:val="center"/>
      <w:outlineLvl w:val="0"/>
    </w:pPr>
    <w:rPr>
      <w:rFonts w:ascii="Cambria" w:hAnsi="Cambria" w:eastAsia="黑体"/>
      <w:b/>
      <w:bCs/>
      <w:sz w:val="52"/>
      <w:szCs w:val="32"/>
    </w:rPr>
  </w:style>
  <w:style w:type="paragraph" w:styleId="16">
    <w:name w:val="annotation subject"/>
    <w:basedOn w:val="5"/>
    <w:next w:val="5"/>
    <w:link w:val="37"/>
    <w:semiHidden/>
    <w:unhideWhenUsed/>
    <w:qFormat/>
    <w:uiPriority w:val="99"/>
    <w:rPr>
      <w:b/>
      <w:bCs/>
    </w:rPr>
  </w:style>
  <w:style w:type="table" w:styleId="18">
    <w:name w:val="Table Grid"/>
    <w:basedOn w:val="1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0">
    <w:name w:val="Strong"/>
    <w:basedOn w:val="19"/>
    <w:qFormat/>
    <w:uiPriority w:val="0"/>
    <w:rPr>
      <w:b/>
      <w:bCs/>
    </w:rPr>
  </w:style>
  <w:style w:type="character" w:styleId="21">
    <w:name w:val="page number"/>
    <w:basedOn w:val="19"/>
    <w:qFormat/>
    <w:uiPriority w:val="0"/>
  </w:style>
  <w:style w:type="character" w:styleId="22">
    <w:name w:val="Emphasis"/>
    <w:basedOn w:val="19"/>
    <w:qFormat/>
    <w:uiPriority w:val="20"/>
    <w:rPr>
      <w:i/>
      <w:iCs/>
    </w:rPr>
  </w:style>
  <w:style w:type="character" w:styleId="23">
    <w:name w:val="Hyperlink"/>
    <w:qFormat/>
    <w:uiPriority w:val="99"/>
    <w:rPr>
      <w:color w:val="0000FF"/>
      <w:u w:val="single"/>
    </w:rPr>
  </w:style>
  <w:style w:type="character" w:styleId="24">
    <w:name w:val="annotation reference"/>
    <w:basedOn w:val="19"/>
    <w:semiHidden/>
    <w:unhideWhenUsed/>
    <w:qFormat/>
    <w:uiPriority w:val="99"/>
    <w:rPr>
      <w:sz w:val="21"/>
      <w:szCs w:val="21"/>
    </w:rPr>
  </w:style>
  <w:style w:type="character" w:customStyle="1" w:styleId="25">
    <w:name w:val="标题 1 字符"/>
    <w:basedOn w:val="19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6">
    <w:name w:val="标题 2 字符"/>
    <w:basedOn w:val="19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7">
    <w:name w:val="页眉 字符"/>
    <w:basedOn w:val="19"/>
    <w:link w:val="11"/>
    <w:qFormat/>
    <w:uiPriority w:val="0"/>
    <w:rPr>
      <w:sz w:val="18"/>
      <w:szCs w:val="18"/>
    </w:rPr>
  </w:style>
  <w:style w:type="character" w:customStyle="1" w:styleId="28">
    <w:name w:val="页脚 字符"/>
    <w:basedOn w:val="19"/>
    <w:link w:val="10"/>
    <w:qFormat/>
    <w:uiPriority w:val="99"/>
    <w:rPr>
      <w:sz w:val="18"/>
      <w:szCs w:val="18"/>
    </w:rPr>
  </w:style>
  <w:style w:type="paragraph" w:customStyle="1" w:styleId="29">
    <w:name w:val="样式1"/>
    <w:basedOn w:val="1"/>
    <w:qFormat/>
    <w:uiPriority w:val="0"/>
    <w:pPr>
      <w:spacing w:line="600" w:lineRule="exact"/>
      <w:ind w:firstLine="200" w:firstLineChars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30">
    <w:name w:val="批注框文本 字符"/>
    <w:basedOn w:val="19"/>
    <w:link w:val="9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31">
    <w:name w:val="批注文字 字符"/>
    <w:basedOn w:val="19"/>
    <w:link w:val="5"/>
    <w:semiHidden/>
    <w:qFormat/>
    <w:uiPriority w:val="99"/>
    <w:rPr>
      <w:rFonts w:ascii="Times New Roman" w:hAnsi="Times New Roman" w:eastAsia="宋体" w:cs="Times New Roman"/>
      <w:szCs w:val="20"/>
    </w:rPr>
  </w:style>
  <w:style w:type="character" w:customStyle="1" w:styleId="32">
    <w:name w:val="纯文本 字符"/>
    <w:basedOn w:val="19"/>
    <w:link w:val="7"/>
    <w:qFormat/>
    <w:uiPriority w:val="0"/>
    <w:rPr>
      <w:rFonts w:ascii="仿宋_GB2312" w:hAnsi="Times New Roman" w:eastAsia="宋体" w:cs="Times New Roman"/>
      <w:sz w:val="24"/>
      <w:szCs w:val="20"/>
    </w:rPr>
  </w:style>
  <w:style w:type="paragraph" w:customStyle="1" w:styleId="33">
    <w:name w:val="_Style 8"/>
    <w:basedOn w:val="1"/>
    <w:next w:val="1"/>
    <w:qFormat/>
    <w:uiPriority w:val="0"/>
    <w:pPr>
      <w:spacing w:line="360" w:lineRule="auto"/>
      <w:ind w:firstLine="480" w:firstLineChars="200"/>
    </w:pPr>
    <w:rPr>
      <w:rFonts w:ascii="仿宋_GB2312"/>
      <w:sz w:val="24"/>
    </w:rPr>
  </w:style>
  <w:style w:type="paragraph" w:styleId="34">
    <w:name w:val="List Paragraph"/>
    <w:basedOn w:val="1"/>
    <w:qFormat/>
    <w:uiPriority w:val="34"/>
    <w:pPr>
      <w:ind w:firstLine="420" w:firstLineChars="200"/>
    </w:pPr>
    <w:rPr>
      <w:rFonts w:ascii="仿宋_GB2312" w:eastAsia="仿宋_GB2312"/>
      <w:spacing w:val="-4"/>
      <w:sz w:val="32"/>
    </w:rPr>
  </w:style>
  <w:style w:type="character" w:customStyle="1" w:styleId="35">
    <w:name w:val="正文文本缩进 2 字符"/>
    <w:basedOn w:val="19"/>
    <w:link w:val="8"/>
    <w:qFormat/>
    <w:uiPriority w:val="0"/>
    <w:rPr>
      <w:rFonts w:ascii="Times New Roman" w:hAnsi="Times New Roman" w:eastAsia="宋体" w:cs="Times New Roman"/>
      <w:b/>
      <w:bCs/>
      <w:sz w:val="28"/>
      <w:szCs w:val="24"/>
    </w:rPr>
  </w:style>
  <w:style w:type="character" w:customStyle="1" w:styleId="36">
    <w:name w:val="标题 字符"/>
    <w:basedOn w:val="19"/>
    <w:link w:val="15"/>
    <w:qFormat/>
    <w:uiPriority w:val="0"/>
    <w:rPr>
      <w:rFonts w:ascii="Cambria" w:hAnsi="Cambria" w:eastAsia="黑体" w:cs="Times New Roman"/>
      <w:b/>
      <w:bCs/>
      <w:sz w:val="52"/>
      <w:szCs w:val="32"/>
    </w:rPr>
  </w:style>
  <w:style w:type="character" w:customStyle="1" w:styleId="37">
    <w:name w:val="批注主题 字符"/>
    <w:basedOn w:val="31"/>
    <w:link w:val="16"/>
    <w:semiHidden/>
    <w:qFormat/>
    <w:uiPriority w:val="99"/>
    <w:rPr>
      <w:rFonts w:ascii="Times New Roman" w:hAnsi="Times New Roman" w:eastAsia="宋体" w:cs="Times New Roman"/>
      <w:b/>
      <w:bCs/>
      <w:szCs w:val="20"/>
    </w:rPr>
  </w:style>
  <w:style w:type="character" w:customStyle="1" w:styleId="38">
    <w:name w:val="title1"/>
    <w:qFormat/>
    <w:uiPriority w:val="0"/>
    <w:rPr>
      <w:b/>
      <w:bCs/>
      <w:color w:val="999900"/>
      <w:sz w:val="24"/>
      <w:szCs w:val="24"/>
    </w:rPr>
  </w:style>
  <w:style w:type="paragraph" w:customStyle="1" w:styleId="39">
    <w:name w:val="TOC 标题1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character" w:customStyle="1" w:styleId="40">
    <w:name w:val="标题 3 字符"/>
    <w:basedOn w:val="19"/>
    <w:link w:val="4"/>
    <w:semiHidden/>
    <w:qFormat/>
    <w:uiPriority w:val="9"/>
    <w:rPr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C31EAB-BCFC-45A1-A4FD-B2BEF873DFE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1438</Words>
  <Characters>1699</Characters>
  <Lines>12</Lines>
  <Paragraphs>3</Paragraphs>
  <TotalTime>1</TotalTime>
  <ScaleCrop>false</ScaleCrop>
  <LinksUpToDate>false</LinksUpToDate>
  <CharactersWithSpaces>1717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2025-09-11T03:30:00Z</dcterms:created>
  <dc:creator>Administrator</dc:creator>
  <cp:lastModifiedBy>葛格</cp:lastModifiedBy>
  <cp:lastPrinted>2022-01-25T09:53:00Z</cp:lastPrinted>
  <dcterms:modified xsi:type="dcterms:W3CDTF">2025-09-11T08:02:49Z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BF1383D2D024473B83A0F0EEAFF8EF89_13</vt:lpwstr>
  </property>
  <property fmtid="{D5CDD505-2E9C-101B-9397-08002B2CF9AE}" pid="4" name="KSOTemplateDocerSaveRecord">
    <vt:lpwstr>eyJoZGlkIjoiM2YyOTIyN2MyNGEwMTc4ZmUxNDRhNjVjNGMwMGI5Y2QiLCJ1c2VySWQiOiI0NTc0OTM0MDcifQ==</vt:lpwstr>
  </property>
</Properties>
</file>