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0695F1">
      <w:pPr>
        <w:widowControl/>
        <w:jc w:val="center"/>
        <w:rPr>
          <w:rStyle w:val="38"/>
          <w:rFonts w:eastAsia="方正小标宋简体"/>
          <w:bCs w:val="0"/>
          <w:color w:val="auto"/>
          <w:sz w:val="36"/>
          <w:szCs w:val="36"/>
        </w:rPr>
      </w:pPr>
      <w:r>
        <w:rPr>
          <w:rStyle w:val="38"/>
          <w:rFonts w:eastAsia="方正小标宋简体"/>
          <w:b w:val="0"/>
          <w:color w:val="auto"/>
          <w:sz w:val="36"/>
          <w:szCs w:val="36"/>
        </w:rPr>
        <w:t>浙江省科学技术奖公示信息表</w:t>
      </w:r>
      <w:r>
        <w:rPr>
          <w:rStyle w:val="38"/>
          <w:rFonts w:eastAsia="仿宋_GB2312"/>
          <w:b w:val="0"/>
          <w:color w:val="auto"/>
          <w:sz w:val="32"/>
          <w:szCs w:val="32"/>
        </w:rPr>
        <w:t>（单位提名）</w:t>
      </w:r>
    </w:p>
    <w:p w14:paraId="70674EC3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提名奖项：（科学技术进步奖）</w:t>
      </w:r>
    </w:p>
    <w:tbl>
      <w:tblPr>
        <w:tblStyle w:val="18"/>
        <w:tblW w:w="8506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0"/>
        <w:gridCol w:w="6746"/>
      </w:tblGrid>
      <w:tr w14:paraId="6C991E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1760" w:type="dxa"/>
            <w:vAlign w:val="center"/>
          </w:tcPr>
          <w:p w14:paraId="459AE82D">
            <w:pPr>
              <w:jc w:val="center"/>
              <w:rPr>
                <w:rStyle w:val="38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8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746" w:type="dxa"/>
            <w:vAlign w:val="center"/>
          </w:tcPr>
          <w:p w14:paraId="79CE5F2B">
            <w:pPr>
              <w:jc w:val="center"/>
              <w:rPr>
                <w:rStyle w:val="38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8"/>
                <w:rFonts w:hint="eastAsia" w:eastAsia="仿宋_GB2312"/>
                <w:b w:val="0"/>
                <w:color w:val="auto"/>
                <w:sz w:val="28"/>
              </w:rPr>
              <w:t>多功能森林全周期经营关键技术</w:t>
            </w:r>
          </w:p>
        </w:tc>
      </w:tr>
      <w:tr w14:paraId="53AF6B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1760" w:type="dxa"/>
            <w:vAlign w:val="center"/>
          </w:tcPr>
          <w:p w14:paraId="1B329455">
            <w:pPr>
              <w:jc w:val="center"/>
              <w:rPr>
                <w:rStyle w:val="38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8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746" w:type="dxa"/>
            <w:vAlign w:val="center"/>
          </w:tcPr>
          <w:p w14:paraId="3017EED2">
            <w:pPr>
              <w:jc w:val="center"/>
              <w:rPr>
                <w:rStyle w:val="38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8"/>
                <w:rFonts w:hint="eastAsia" w:eastAsia="仿宋_GB2312"/>
                <w:b w:val="0"/>
                <w:color w:val="auto"/>
                <w:sz w:val="28"/>
              </w:rPr>
              <w:t>一等奖</w:t>
            </w:r>
          </w:p>
        </w:tc>
      </w:tr>
      <w:tr w14:paraId="288BA7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1" w:hRule="atLeast"/>
        </w:trPr>
        <w:tc>
          <w:tcPr>
            <w:tcW w:w="1760" w:type="dxa"/>
            <w:vAlign w:val="center"/>
          </w:tcPr>
          <w:p w14:paraId="47615023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45D3BC7D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746" w:type="dxa"/>
            <w:vAlign w:val="center"/>
          </w:tcPr>
          <w:p w14:paraId="4B1F11B1"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leftChars="0"/>
              <w:textAlignment w:val="auto"/>
              <w:outlineLvl w:val="1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bookmarkStart w:id="0" w:name="_Toc533275467"/>
            <w:bookmarkStart w:id="1" w:name="_Toc531547059"/>
            <w:bookmarkStart w:id="2" w:name="_Toc531634301"/>
            <w:bookmarkStart w:id="3" w:name="_Toc13685"/>
            <w:bookmarkStart w:id="4" w:name="_Toc531624962"/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  <w:t>一、标准</w:t>
            </w:r>
            <w:bookmarkEnd w:id="0"/>
            <w:bookmarkEnd w:id="1"/>
            <w:bookmarkEnd w:id="2"/>
            <w:bookmarkEnd w:id="3"/>
            <w:bookmarkEnd w:id="4"/>
          </w:p>
          <w:p w14:paraId="15B04DED">
            <w:pPr>
              <w:pStyle w:val="34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DB33/T 2143-2018森林抚育目标树选择和密度控制技术规程</w:t>
            </w:r>
          </w:p>
          <w:p w14:paraId="7AB28B88">
            <w:pPr>
              <w:pStyle w:val="34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DB33/T 2441-2022常绿阔叶林目标树经营技术规程</w:t>
            </w:r>
          </w:p>
          <w:p w14:paraId="56121ADC"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leftChars="0"/>
              <w:textAlignment w:val="auto"/>
              <w:outlineLvl w:val="1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bookmarkStart w:id="5" w:name="_Toc531547060"/>
            <w:bookmarkStart w:id="6" w:name="_Toc531624963"/>
            <w:bookmarkStart w:id="7" w:name="_Toc9615"/>
            <w:bookmarkStart w:id="8" w:name="_Toc531634302"/>
            <w:bookmarkStart w:id="9" w:name="_Toc533275468"/>
            <w:bookmarkStart w:id="10" w:name="_Toc28521"/>
            <w:bookmarkStart w:id="11" w:name="_Toc17090"/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二</w:t>
            </w: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  <w:t>、发表论文</w:t>
            </w:r>
            <w:bookmarkEnd w:id="5"/>
            <w:bookmarkEnd w:id="6"/>
            <w:bookmarkEnd w:id="7"/>
            <w:bookmarkEnd w:id="8"/>
            <w:bookmarkEnd w:id="9"/>
            <w:bookmarkEnd w:id="10"/>
            <w:bookmarkEnd w:id="11"/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和专著</w:t>
            </w:r>
          </w:p>
          <w:p w14:paraId="00928C1D">
            <w:pPr>
              <w:pStyle w:val="40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Lines="0" w:line="360" w:lineRule="auto"/>
              <w:ind w:left="0" w:leftChars="0" w:firstLine="0" w:firstLineChars="0"/>
              <w:textAlignment w:val="auto"/>
              <w:outlineLvl w:val="9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"/>
              </w:rPr>
              <w:t>Sparse large trees in secondary and planted forests highlight the need to improve forest conservation and management</w:t>
            </w: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i/>
                <w:iCs/>
                <w:kern w:val="2"/>
                <w:sz w:val="24"/>
                <w:szCs w:val="24"/>
                <w:lang w:val="en-US" w:eastAsia="zh-CN" w:bidi="ar"/>
              </w:rPr>
              <w:t>Science of the Total Environment</w:t>
            </w:r>
            <w:r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"/>
              </w:rPr>
              <w:t>, 2024,</w:t>
            </w: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"/>
              </w:rPr>
              <w:t>954</w:t>
            </w: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"/>
              </w:rPr>
              <w:t>:</w:t>
            </w:r>
            <w:r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"/>
              </w:rPr>
              <w:t xml:space="preserve"> 176363.</w:t>
            </w:r>
          </w:p>
          <w:p w14:paraId="299B74DB">
            <w:pPr>
              <w:pStyle w:val="40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Lines="0" w:line="360" w:lineRule="auto"/>
              <w:ind w:left="0" w:leftChars="0" w:firstLine="0" w:firstLineChars="0"/>
              <w:textAlignment w:val="auto"/>
              <w:outlineLvl w:val="9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Cross-scale drivers of plant trait distributions in a fragmented forest landscape. </w:t>
            </w:r>
            <w:r>
              <w:rPr>
                <w:rFonts w:hint="eastAsia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 w:eastAsia="zh-CN"/>
              </w:rPr>
              <w:t>Ecography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, 2020</w:t>
            </w:r>
            <w: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43: 467-479.</w:t>
            </w:r>
            <w:bookmarkStart w:id="12" w:name="_GoBack"/>
            <w:bookmarkEnd w:id="12"/>
          </w:p>
          <w:p w14:paraId="4F13AEAA">
            <w:pPr>
              <w:pStyle w:val="40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Lines="0" w:line="360" w:lineRule="auto"/>
              <w:ind w:left="0" w:leftChars="0" w:firstLine="0" w:firstLineChars="0"/>
              <w:textAlignment w:val="auto"/>
              <w:outlineLvl w:val="9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Island size affects wood decomposition by changing decomposer distribution. </w:t>
            </w:r>
            <w:r>
              <w:rPr>
                <w:rFonts w:hint="eastAsia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 w:eastAsia="zh-CN"/>
              </w:rPr>
              <w:t>Ecography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, 2020</w:t>
            </w:r>
            <w: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44(3): 456-468.</w:t>
            </w:r>
          </w:p>
          <w:p w14:paraId="18D9C321">
            <w:pPr>
              <w:pStyle w:val="40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Lines="0" w:line="360" w:lineRule="auto"/>
              <w:ind w:left="0" w:leftChars="0" w:firstLine="0" w:firstLineChars="0"/>
              <w:textAlignment w:val="auto"/>
              <w:outlineLvl w:val="9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"/>
              </w:rPr>
              <w:t xml:space="preserve">Relationship between size inequality and stand productivity is modified by self-thinning, age, site and planting density in </w:t>
            </w:r>
            <w:r>
              <w:rPr>
                <w:rFonts w:hint="default" w:ascii="Times New Roman" w:hAnsi="Times New Roman" w:eastAsia="仿宋_GB2312" w:cs="Times New Roman"/>
                <w:i/>
                <w:iCs/>
                <w:kern w:val="2"/>
                <w:sz w:val="24"/>
                <w:szCs w:val="24"/>
                <w:lang w:val="en-US" w:eastAsia="zh-CN" w:bidi="ar"/>
              </w:rPr>
              <w:t>Sassafras tzumu</w:t>
            </w:r>
            <w:r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"/>
              </w:rPr>
              <w:t xml:space="preserve"> plantations in central China</w:t>
            </w: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i/>
                <w:iCs/>
                <w:kern w:val="2"/>
                <w:sz w:val="24"/>
                <w:szCs w:val="24"/>
                <w:lang w:val="en-US" w:eastAsia="zh-CN" w:bidi="ar"/>
              </w:rPr>
              <w:t>Forest Ecology and Management</w:t>
            </w: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"/>
              </w:rPr>
              <w:t>, 2018, 422: 199-206.</w:t>
            </w:r>
          </w:p>
          <w:p w14:paraId="37AD1987">
            <w:pPr>
              <w:pStyle w:val="40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Lines="0" w:line="360" w:lineRule="auto"/>
              <w:ind w:left="0" w:leftChars="0" w:firstLine="0" w:firstLineChars="0"/>
              <w:textAlignment w:val="auto"/>
              <w:outlineLvl w:val="9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highlight w:val="none"/>
              </w:rPr>
              <w:t>Estimation of the self-thinning boundary line within even-aged Chinese fir (</w:t>
            </w:r>
            <w:r>
              <w:rPr>
                <w:rFonts w:hint="eastAsia"/>
                <w:i/>
                <w:iCs/>
                <w:sz w:val="24"/>
                <w:szCs w:val="24"/>
                <w:highlight w:val="none"/>
              </w:rPr>
              <w:t>Cunninghamia lanceolata</w:t>
            </w:r>
            <w:r>
              <w:rPr>
                <w:rFonts w:hint="eastAsia"/>
                <w:sz w:val="24"/>
                <w:szCs w:val="24"/>
                <w:highlight w:val="none"/>
              </w:rPr>
              <w:t xml:space="preserve"> (Lamb.) Hook.) stands: Onset of self-thinning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 xml:space="preserve">. </w:t>
            </w:r>
            <w:r>
              <w:rPr>
                <w:rFonts w:hint="eastAsia"/>
                <w:i/>
                <w:iCs/>
                <w:sz w:val="24"/>
                <w:szCs w:val="24"/>
                <w:highlight w:val="none"/>
              </w:rPr>
              <w:t>Forest Ecology and Management</w:t>
            </w:r>
            <w:r>
              <w:rPr>
                <w:rFonts w:hint="eastAsia"/>
                <w:i w:val="0"/>
                <w:iCs w:val="0"/>
                <w:sz w:val="24"/>
                <w:szCs w:val="24"/>
                <w:highlight w:val="none"/>
                <w:lang w:val="en-US" w:eastAsia="zh-CN"/>
              </w:rPr>
              <w:t xml:space="preserve">, </w:t>
            </w:r>
            <w:r>
              <w:rPr>
                <w:rFonts w:hint="eastAsia"/>
                <w:sz w:val="24"/>
                <w:szCs w:val="24"/>
                <w:highlight w:val="none"/>
              </w:rPr>
              <w:t>2011, 261</w:t>
            </w: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"/>
              </w:rPr>
              <w:t>:</w:t>
            </w:r>
            <w:r>
              <w:rPr>
                <w:rFonts w:hint="eastAsia"/>
                <w:sz w:val="24"/>
                <w:szCs w:val="24"/>
                <w:highlight w:val="none"/>
              </w:rPr>
              <w:t xml:space="preserve"> 1010-1015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.</w:t>
            </w:r>
          </w:p>
          <w:p w14:paraId="29831B62">
            <w:pPr>
              <w:pStyle w:val="40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Lines="0" w:line="360" w:lineRule="auto"/>
              <w:ind w:left="0" w:leftChars="0" w:firstLine="0" w:firstLineChars="0"/>
              <w:textAlignment w:val="auto"/>
              <w:outlineLvl w:val="9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1"/>
                <w:lang w:val="en-US" w:eastAsia="zh-CN"/>
              </w:rPr>
              <w:t xml:space="preserve">浙江定海次生林内物种丰富度与生物量和生产力关系的环境依赖性. </w:t>
            </w:r>
            <w:r>
              <w:rPr>
                <w:rFonts w:hint="eastAsia" w:ascii="Times New Roman" w:hAnsi="Times New Roman" w:eastAsia="仿宋_GB2312" w:cs="Times New Roman"/>
                <w:i/>
                <w:iCs/>
                <w:sz w:val="24"/>
                <w:szCs w:val="21"/>
                <w:lang w:val="en-US" w:eastAsia="zh-CN"/>
              </w:rPr>
              <w:t>生物多样性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1"/>
                <w:lang w:val="en-US" w:eastAsia="zh-CN"/>
              </w:rPr>
              <w:t xml:space="preserve">, 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2018</w:t>
            </w:r>
            <w:r>
              <w:rPr>
                <w:rFonts w:hint="eastAsia"/>
                <w:sz w:val="24"/>
                <w:szCs w:val="24"/>
                <w:highlight w:val="none"/>
              </w:rPr>
              <w:t xml:space="preserve">, 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26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 xml:space="preserve">: 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545-553.</w:t>
            </w:r>
          </w:p>
          <w:p w14:paraId="4BB02BD1">
            <w:pPr>
              <w:pStyle w:val="40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Lines="0" w:line="360" w:lineRule="auto"/>
              <w:ind w:left="0" w:leftChars="0" w:firstLine="0" w:firstLineChars="0"/>
              <w:textAlignment w:val="auto"/>
              <w:outlineLvl w:val="9"/>
              <w:rPr>
                <w:rFonts w:hint="eastAsia" w:ascii="Times New Roman" w:hAnsi="Times New Roman" w:eastAsia="仿宋_GB2312" w:cs="Times New Roman"/>
                <w:bCs w:val="0"/>
                <w:sz w:val="24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1"/>
                <w:lang w:val="en-US" w:eastAsia="zh-CN"/>
              </w:rPr>
              <w:t xml:space="preserve">浙江省典型天然次生林主要树种空间分布格局及其关联性. </w:t>
            </w:r>
            <w:r>
              <w:rPr>
                <w:rFonts w:hint="eastAsia" w:ascii="Times New Roman" w:hAnsi="Times New Roman" w:eastAsia="仿宋_GB2312" w:cs="Times New Roman"/>
                <w:i/>
                <w:iCs/>
                <w:sz w:val="24"/>
                <w:szCs w:val="21"/>
                <w:lang w:val="en-US" w:eastAsia="zh-CN"/>
              </w:rPr>
              <w:t>生态学报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1"/>
                <w:lang w:val="en-US" w:eastAsia="zh-CN"/>
              </w:rPr>
              <w:t>, 2018, 38: 537-549.</w:t>
            </w:r>
          </w:p>
          <w:p w14:paraId="3B496DC4">
            <w:pPr>
              <w:pStyle w:val="40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Lines="0" w:line="360" w:lineRule="auto"/>
              <w:ind w:left="0" w:leftChars="0" w:firstLine="0" w:firstLineChars="0"/>
              <w:textAlignment w:val="auto"/>
              <w:outlineLvl w:val="9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1"/>
                <w:lang w:val="en-US" w:eastAsia="zh-CN"/>
              </w:rPr>
              <w:t>《多功能森林全周期经营研究/中国林业出版社》，中国林业出版社，2025</w:t>
            </w:r>
          </w:p>
        </w:tc>
      </w:tr>
      <w:tr w14:paraId="1CA3A7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0" w:hRule="atLeast"/>
        </w:trPr>
        <w:tc>
          <w:tcPr>
            <w:tcW w:w="1760" w:type="dxa"/>
            <w:tcBorders>
              <w:right w:val="single" w:color="auto" w:sz="4" w:space="0"/>
            </w:tcBorders>
            <w:vAlign w:val="center"/>
          </w:tcPr>
          <w:p w14:paraId="500B11D9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主要完成人</w:t>
            </w:r>
          </w:p>
        </w:tc>
        <w:tc>
          <w:tcPr>
            <w:tcW w:w="6746" w:type="dxa"/>
            <w:tcBorders>
              <w:left w:val="single" w:color="auto" w:sz="4" w:space="0"/>
            </w:tcBorders>
            <w:vAlign w:val="center"/>
          </w:tcPr>
          <w:p w14:paraId="6675EEBA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sz w:val="24"/>
                <w:szCs w:val="24"/>
              </w:rPr>
              <w:t>吴初平</w:t>
            </w:r>
            <w:r>
              <w:rPr>
                <w:rFonts w:eastAsia="仿宋_GB2312"/>
                <w:bCs/>
                <w:sz w:val="24"/>
                <w:szCs w:val="24"/>
              </w:rPr>
              <w:t>，排名1，</w:t>
            </w:r>
            <w:r>
              <w:rPr>
                <w:rFonts w:hint="eastAsia" w:eastAsia="仿宋_GB2312"/>
                <w:sz w:val="24"/>
                <w:szCs w:val="24"/>
              </w:rPr>
              <w:t>研究员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sz w:val="24"/>
                <w:szCs w:val="24"/>
              </w:rPr>
              <w:t>浙江省林业科学研究院</w:t>
            </w:r>
          </w:p>
          <w:p w14:paraId="0F3722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sz w:val="24"/>
                <w:szCs w:val="24"/>
              </w:rPr>
              <w:t>孙洪刚</w:t>
            </w:r>
            <w:r>
              <w:rPr>
                <w:rFonts w:eastAsia="仿宋_GB2312"/>
                <w:bCs/>
                <w:sz w:val="24"/>
                <w:szCs w:val="24"/>
              </w:rPr>
              <w:t>，排名2，</w:t>
            </w:r>
            <w:r>
              <w:rPr>
                <w:rFonts w:hint="eastAsia" w:eastAsia="仿宋_GB2312"/>
                <w:sz w:val="24"/>
                <w:szCs w:val="24"/>
              </w:rPr>
              <w:t>研究员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sz w:val="24"/>
                <w:szCs w:val="24"/>
              </w:rPr>
              <w:t>中国林业科学研究院亚热带林业研究所</w:t>
            </w:r>
          </w:p>
          <w:p w14:paraId="69CCC706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sz w:val="24"/>
                <w:szCs w:val="24"/>
              </w:rPr>
              <w:t>江</w:t>
            </w:r>
            <w:r>
              <w:rPr>
                <w:rFonts w:hint="eastAsia" w:eastAsia="仿宋_GB2312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eastAsia="仿宋_GB2312"/>
                <w:sz w:val="24"/>
                <w:szCs w:val="24"/>
              </w:rPr>
              <w:t>波</w:t>
            </w:r>
            <w:r>
              <w:rPr>
                <w:rFonts w:eastAsia="仿宋_GB2312"/>
                <w:bCs/>
                <w:sz w:val="24"/>
                <w:szCs w:val="24"/>
              </w:rPr>
              <w:t>，排名3，</w:t>
            </w:r>
            <w:r>
              <w:rPr>
                <w:rFonts w:hint="eastAsia" w:eastAsia="仿宋_GB2312"/>
                <w:sz w:val="24"/>
                <w:szCs w:val="24"/>
              </w:rPr>
              <w:t>研究员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sz w:val="24"/>
                <w:szCs w:val="24"/>
              </w:rPr>
              <w:t>浙江省林业科学研究院</w:t>
            </w:r>
          </w:p>
          <w:p w14:paraId="1DC23BDB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sz w:val="24"/>
                <w:szCs w:val="24"/>
              </w:rPr>
              <w:t>沈爱华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4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sz w:val="24"/>
                <w:szCs w:val="24"/>
              </w:rPr>
              <w:t>正高级工程师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sz w:val="24"/>
                <w:szCs w:val="24"/>
              </w:rPr>
              <w:t>浙江省林业碳汇管理中心</w:t>
            </w:r>
          </w:p>
          <w:p w14:paraId="12A5A51D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sz w:val="24"/>
                <w:szCs w:val="24"/>
              </w:rPr>
              <w:t>于明坚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5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sz w:val="24"/>
                <w:szCs w:val="24"/>
                <w:lang w:val="en-US" w:eastAsia="zh-CN"/>
              </w:rPr>
              <w:t>教授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sz w:val="24"/>
                <w:szCs w:val="24"/>
              </w:rPr>
              <w:t>浙江</w:t>
            </w:r>
            <w:r>
              <w:rPr>
                <w:rFonts w:hint="eastAsia" w:eastAsia="仿宋_GB2312"/>
                <w:sz w:val="24"/>
                <w:szCs w:val="24"/>
                <w:lang w:val="en-US" w:eastAsia="zh-CN"/>
              </w:rPr>
              <w:t>大学</w:t>
            </w:r>
          </w:p>
          <w:p w14:paraId="39E23595">
            <w:pPr>
              <w:spacing w:line="440" w:lineRule="exact"/>
              <w:rPr>
                <w:rFonts w:hint="eastAsia" w:eastAsia="仿宋_GB2312"/>
                <w:bCs/>
                <w:sz w:val="24"/>
                <w:szCs w:val="24"/>
                <w:lang w:eastAsia="zh-CN"/>
              </w:rPr>
            </w:pPr>
            <w:r>
              <w:rPr>
                <w:rFonts w:hint="eastAsia" w:eastAsia="仿宋_GB2312"/>
                <w:sz w:val="24"/>
                <w:szCs w:val="24"/>
              </w:rPr>
              <w:t>焦洁洁</w:t>
            </w:r>
            <w:r>
              <w:rPr>
                <w:rFonts w:hint="eastAsia" w:eastAsia="仿宋_GB2312"/>
                <w:sz w:val="24"/>
                <w:szCs w:val="24"/>
                <w:lang w:eastAsia="zh-CN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>排名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6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助理</w:t>
            </w:r>
            <w:r>
              <w:rPr>
                <w:rFonts w:hint="eastAsia" w:eastAsia="仿宋_GB2312"/>
                <w:sz w:val="24"/>
                <w:szCs w:val="24"/>
              </w:rPr>
              <w:t>研究员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sz w:val="24"/>
                <w:szCs w:val="24"/>
              </w:rPr>
              <w:t>浙江省林业科学研究院</w:t>
            </w:r>
          </w:p>
          <w:p w14:paraId="613D25FC">
            <w:pPr>
              <w:spacing w:line="440" w:lineRule="exact"/>
              <w:rPr>
                <w:rFonts w:hint="eastAsia" w:eastAsia="仿宋_GB2312"/>
                <w:bCs/>
                <w:sz w:val="24"/>
                <w:szCs w:val="24"/>
                <w:lang w:eastAsia="zh-CN"/>
              </w:rPr>
            </w:pPr>
            <w:r>
              <w:rPr>
                <w:rFonts w:hint="eastAsia" w:eastAsia="仿宋_GB2312"/>
                <w:sz w:val="24"/>
                <w:szCs w:val="24"/>
              </w:rPr>
              <w:t>焦如珍</w:t>
            </w:r>
            <w:r>
              <w:rPr>
                <w:rFonts w:hint="eastAsia" w:eastAsia="仿宋_GB2312"/>
                <w:sz w:val="24"/>
                <w:szCs w:val="24"/>
                <w:lang w:eastAsia="zh-CN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>排名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7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sz w:val="24"/>
                <w:szCs w:val="24"/>
              </w:rPr>
              <w:t>研究员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中国林业科学研究院林业研究所</w:t>
            </w:r>
          </w:p>
          <w:p w14:paraId="3BE98582">
            <w:pPr>
              <w:numPr>
                <w:ilvl w:val="0"/>
                <w:numId w:val="0"/>
              </w:numPr>
              <w:spacing w:line="440" w:lineRule="exact"/>
              <w:jc w:val="left"/>
              <w:rPr>
                <w:rFonts w:hint="eastAsia" w:eastAsia="仿宋_GB2312"/>
                <w:bCs/>
                <w:sz w:val="24"/>
                <w:szCs w:val="24"/>
                <w:lang w:eastAsia="zh-CN"/>
              </w:rPr>
            </w:pPr>
            <w:r>
              <w:rPr>
                <w:rFonts w:hint="eastAsia" w:eastAsia="仿宋_GB2312"/>
                <w:sz w:val="24"/>
                <w:szCs w:val="24"/>
              </w:rPr>
              <w:t>余水生</w:t>
            </w:r>
            <w:r>
              <w:rPr>
                <w:rFonts w:hint="eastAsia" w:eastAsia="仿宋_GB2312"/>
                <w:sz w:val="24"/>
                <w:szCs w:val="24"/>
                <w:lang w:eastAsia="zh-CN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>排名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8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sz w:val="24"/>
                <w:szCs w:val="24"/>
              </w:rPr>
              <w:t>高级工程师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sz w:val="21"/>
                <w:szCs w:val="21"/>
              </w:rPr>
              <w:t>浙江九龙山国家级自然保护区管理中心</w:t>
            </w:r>
          </w:p>
          <w:p w14:paraId="27EAD63D">
            <w:pPr>
              <w:spacing w:line="440" w:lineRule="exact"/>
              <w:rPr>
                <w:rFonts w:hint="eastAsia" w:eastAsia="仿宋_GB2312"/>
                <w:bCs/>
                <w:sz w:val="24"/>
                <w:szCs w:val="24"/>
                <w:lang w:eastAsia="zh-CN"/>
              </w:rPr>
            </w:pPr>
            <w:r>
              <w:rPr>
                <w:rFonts w:hint="eastAsia" w:eastAsia="仿宋_GB2312"/>
                <w:sz w:val="24"/>
                <w:szCs w:val="24"/>
              </w:rPr>
              <w:t>胡</w:t>
            </w:r>
            <w:r>
              <w:rPr>
                <w:rFonts w:hint="eastAsia" w:eastAsia="仿宋_GB2312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eastAsia="仿宋_GB2312"/>
                <w:sz w:val="24"/>
                <w:szCs w:val="24"/>
              </w:rPr>
              <w:t>广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9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sz w:val="24"/>
                <w:szCs w:val="24"/>
                <w:lang w:val="en-US" w:eastAsia="zh-CN"/>
              </w:rPr>
              <w:t>教授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sz w:val="24"/>
                <w:szCs w:val="24"/>
              </w:rPr>
              <w:t>浙江理工大学</w:t>
            </w:r>
          </w:p>
          <w:p w14:paraId="66468F83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sz w:val="24"/>
                <w:szCs w:val="24"/>
              </w:rPr>
              <w:t>刘金亮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10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副</w:t>
            </w:r>
            <w:r>
              <w:rPr>
                <w:rFonts w:hint="eastAsia" w:eastAsia="仿宋_GB2312"/>
                <w:sz w:val="24"/>
                <w:szCs w:val="24"/>
                <w:lang w:val="en-US" w:eastAsia="zh-CN"/>
              </w:rPr>
              <w:t>教授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sz w:val="24"/>
                <w:szCs w:val="24"/>
              </w:rPr>
              <w:t>温州大学</w:t>
            </w:r>
          </w:p>
          <w:p w14:paraId="01AFACFB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sz w:val="24"/>
                <w:szCs w:val="24"/>
              </w:rPr>
              <w:t>董玉红</w:t>
            </w:r>
            <w:r>
              <w:rPr>
                <w:rFonts w:hint="eastAsia" w:eastAsia="仿宋_GB2312"/>
                <w:sz w:val="24"/>
                <w:szCs w:val="24"/>
                <w:lang w:eastAsia="zh-CN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>排名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11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副</w:t>
            </w:r>
            <w:r>
              <w:rPr>
                <w:rFonts w:hint="eastAsia" w:eastAsia="仿宋_GB2312"/>
                <w:sz w:val="24"/>
                <w:szCs w:val="24"/>
              </w:rPr>
              <w:t>研究员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中国林业科学研究院林业研究所</w:t>
            </w:r>
          </w:p>
          <w:p w14:paraId="1615029A">
            <w:pPr>
              <w:spacing w:line="440" w:lineRule="exact"/>
              <w:rPr>
                <w:rFonts w:hint="eastAsia" w:eastAsia="仿宋_GB2312"/>
                <w:bCs/>
                <w:sz w:val="24"/>
                <w:szCs w:val="24"/>
                <w:lang w:eastAsia="zh-CN"/>
              </w:rPr>
            </w:pPr>
            <w:r>
              <w:rPr>
                <w:rFonts w:eastAsia="仿宋_GB2312"/>
                <w:sz w:val="24"/>
                <w:szCs w:val="24"/>
              </w:rPr>
              <w:t>姚良锦</w:t>
            </w:r>
            <w:r>
              <w:rPr>
                <w:rFonts w:hint="eastAsia" w:eastAsia="仿宋_GB2312"/>
                <w:sz w:val="24"/>
                <w:szCs w:val="24"/>
                <w:lang w:eastAsia="zh-CN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>排名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12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助理</w:t>
            </w:r>
            <w:r>
              <w:rPr>
                <w:rFonts w:hint="eastAsia" w:eastAsia="仿宋_GB2312"/>
                <w:sz w:val="24"/>
                <w:szCs w:val="24"/>
              </w:rPr>
              <w:t>研究员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sz w:val="24"/>
                <w:szCs w:val="24"/>
              </w:rPr>
              <w:t>浙江省林业科学研究院</w:t>
            </w:r>
          </w:p>
          <w:p w14:paraId="4D32C6BE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吴大瑜</w:t>
            </w:r>
            <w:r>
              <w:rPr>
                <w:rFonts w:hint="eastAsia" w:eastAsia="仿宋_GB2312"/>
                <w:sz w:val="24"/>
                <w:szCs w:val="24"/>
                <w:lang w:eastAsia="zh-CN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>排名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13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sz w:val="24"/>
                <w:szCs w:val="24"/>
              </w:rPr>
              <w:t>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庆元县生态林业发展中心</w:t>
            </w:r>
          </w:p>
        </w:tc>
      </w:tr>
      <w:tr w14:paraId="2DEB90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0" w:hRule="atLeast"/>
        </w:trPr>
        <w:tc>
          <w:tcPr>
            <w:tcW w:w="1760" w:type="dxa"/>
            <w:tcBorders>
              <w:right w:val="single" w:color="auto" w:sz="4" w:space="0"/>
            </w:tcBorders>
            <w:vAlign w:val="center"/>
          </w:tcPr>
          <w:p w14:paraId="346E28B4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6746" w:type="dxa"/>
            <w:tcBorders>
              <w:left w:val="single" w:color="auto" w:sz="4" w:space="0"/>
            </w:tcBorders>
            <w:vAlign w:val="center"/>
          </w:tcPr>
          <w:p w14:paraId="11258203">
            <w:pPr>
              <w:numPr>
                <w:ilvl w:val="0"/>
                <w:numId w:val="3"/>
              </w:numPr>
              <w:spacing w:line="440" w:lineRule="exact"/>
              <w:jc w:val="left"/>
              <w:rPr>
                <w:rFonts w:hint="eastAsia"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浙江省林业科学研究院</w:t>
            </w:r>
          </w:p>
          <w:p w14:paraId="6131DEDD">
            <w:pPr>
              <w:numPr>
                <w:ilvl w:val="0"/>
                <w:numId w:val="3"/>
              </w:numPr>
              <w:spacing w:line="440" w:lineRule="exact"/>
              <w:jc w:val="left"/>
              <w:rPr>
                <w:rFonts w:hint="eastAsia"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中国林业科学研究院亚热带林业研究所</w:t>
            </w:r>
          </w:p>
          <w:p w14:paraId="3AAB75FD">
            <w:pPr>
              <w:numPr>
                <w:ilvl w:val="0"/>
                <w:numId w:val="3"/>
              </w:numPr>
              <w:spacing w:line="440" w:lineRule="exact"/>
              <w:jc w:val="left"/>
              <w:rPr>
                <w:rFonts w:hint="eastAsia"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浙江大学</w:t>
            </w:r>
          </w:p>
          <w:p w14:paraId="68D2576A">
            <w:pPr>
              <w:numPr>
                <w:ilvl w:val="0"/>
                <w:numId w:val="3"/>
              </w:numPr>
              <w:spacing w:line="440" w:lineRule="exact"/>
              <w:jc w:val="left"/>
              <w:rPr>
                <w:rFonts w:hint="eastAsia"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浙江省林业碳汇管理中心</w:t>
            </w:r>
          </w:p>
          <w:p w14:paraId="7590A384">
            <w:pPr>
              <w:numPr>
                <w:ilvl w:val="0"/>
                <w:numId w:val="3"/>
              </w:numPr>
              <w:spacing w:line="440" w:lineRule="exact"/>
              <w:jc w:val="left"/>
              <w:rPr>
                <w:rFonts w:hint="eastAsia"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中国林业科学研究院林业研究所</w:t>
            </w:r>
          </w:p>
          <w:p w14:paraId="3249E081">
            <w:pPr>
              <w:numPr>
                <w:ilvl w:val="0"/>
                <w:numId w:val="3"/>
              </w:numPr>
              <w:spacing w:line="440" w:lineRule="exact"/>
              <w:jc w:val="left"/>
              <w:rPr>
                <w:rFonts w:hint="eastAsia"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sz w:val="24"/>
                <w:szCs w:val="24"/>
              </w:rPr>
              <w:t>浙江九龙山国家级自然保护区管理中心</w:t>
            </w:r>
          </w:p>
          <w:p w14:paraId="6AAAF5B8">
            <w:pPr>
              <w:numPr>
                <w:ilvl w:val="0"/>
                <w:numId w:val="3"/>
              </w:numPr>
              <w:spacing w:line="440" w:lineRule="exact"/>
              <w:jc w:val="left"/>
              <w:rPr>
                <w:rFonts w:hint="eastAsia"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浙江理工大学</w:t>
            </w:r>
          </w:p>
          <w:p w14:paraId="790EF456">
            <w:pPr>
              <w:numPr>
                <w:ilvl w:val="0"/>
                <w:numId w:val="3"/>
              </w:num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温州大学</w:t>
            </w:r>
          </w:p>
          <w:p w14:paraId="128B8340">
            <w:pPr>
              <w:numPr>
                <w:ilvl w:val="0"/>
                <w:numId w:val="3"/>
              </w:num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庆元县生态林业发展中心</w:t>
            </w:r>
          </w:p>
        </w:tc>
      </w:tr>
      <w:tr w14:paraId="032CF1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1760" w:type="dxa"/>
            <w:vAlign w:val="center"/>
          </w:tcPr>
          <w:p w14:paraId="23BBD292">
            <w:pPr>
              <w:jc w:val="center"/>
              <w:rPr>
                <w:rStyle w:val="38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38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746" w:type="dxa"/>
            <w:vAlign w:val="center"/>
          </w:tcPr>
          <w:p w14:paraId="334FD14C">
            <w:pPr>
              <w:contextualSpacing/>
              <w:jc w:val="center"/>
              <w:rPr>
                <w:rStyle w:val="38"/>
                <w:b w:val="0"/>
                <w:color w:val="auto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浙江省林业局</w:t>
            </w:r>
          </w:p>
        </w:tc>
      </w:tr>
      <w:tr w14:paraId="10AC60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26" w:hRule="atLeast"/>
        </w:trPr>
        <w:tc>
          <w:tcPr>
            <w:tcW w:w="1760" w:type="dxa"/>
            <w:vAlign w:val="center"/>
          </w:tcPr>
          <w:p w14:paraId="40ECAA68">
            <w:pPr>
              <w:jc w:val="center"/>
              <w:rPr>
                <w:rStyle w:val="38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38"/>
                <w:rFonts w:eastAsia="仿宋_GB2312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746" w:type="dxa"/>
            <w:vAlign w:val="center"/>
          </w:tcPr>
          <w:p w14:paraId="350D391B">
            <w:pPr>
              <w:spacing w:line="360" w:lineRule="auto"/>
              <w:ind w:firstLine="480" w:firstLineChars="200"/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</w:rPr>
              <w:t>浙江省地处我国东部沿海生态敏感区，面临生态空间挤压、生境破碎、森林退化等突出问题，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val="en-US" w:eastAsia="zh-CN"/>
              </w:rPr>
              <w:t>如何全面提高森林质量、增强森林生态功能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val="en-US" w:eastAsia="zh-CN"/>
              </w:rPr>
              <w:t>在有限的生态空间发展多功能森林越显迫切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</w:rPr>
              <w:t>省委省政府持续高强度推进美丽浙江、森林浙江和高质量森林建设，构建多功能森林全周期经营技术体系，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val="en-US" w:eastAsia="zh-CN"/>
              </w:rPr>
              <w:t>对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</w:rPr>
              <w:t>践行“绿水青山就是金山银山”理念，推动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val="en-US" w:eastAsia="zh-CN"/>
              </w:rPr>
              <w:t>我省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</w:rPr>
              <w:t>高质量发展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val="en-US" w:eastAsia="zh-CN"/>
              </w:rPr>
              <w:t>具有重要意义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</w:rPr>
              <w:t>。</w:t>
            </w:r>
          </w:p>
          <w:p w14:paraId="4F2F515D">
            <w:pPr>
              <w:spacing w:line="360" w:lineRule="auto"/>
              <w:ind w:firstLine="480" w:firstLineChars="200"/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val="en-US" w:eastAsia="zh-CN"/>
              </w:rPr>
              <w:t>该项目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</w:rPr>
              <w:t>聚焦我省主要森林类型受损机制不明、系统性经营技术缺失等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val="en-US" w:eastAsia="zh-CN"/>
              </w:rPr>
              <w:t>核心难点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</w:rPr>
              <w:t>，历经16年长期定位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val="en-US" w:eastAsia="zh-CN"/>
              </w:rPr>
              <w:t>监测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</w:rPr>
              <w:t>和经营实践，系统阐明了浙江省主要森林群落结构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eastAsia="zh-CN"/>
              </w:rPr>
              <w:t>与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val="en-US" w:eastAsia="zh-CN"/>
              </w:rPr>
              <w:t>功能的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</w:rPr>
              <w:t>动态特征，揭示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val="en-US" w:eastAsia="zh-CN"/>
              </w:rPr>
              <w:t>了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</w:rPr>
              <w:t>生境破碎化和林窗效应驱动“植物-土壤-微生物”协同互作调控植被恢复的生物学机制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</w:rPr>
              <w:t>研发了生态廊道重连、靶向群落设计、树种合理配置、土壤肥力提升、林分空间调控等五大核心技术，确定了不同森林经营阶段目标直径、合理密度、目标树数量等关键参数，创建了多功能森林全周期经营技术体系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val="en-US" w:eastAsia="zh-CN"/>
              </w:rPr>
              <w:t>为全省森林质量提升提供了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</w:rPr>
              <w:t>理论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val="en-US" w:eastAsia="zh-CN"/>
              </w:rPr>
              <w:t>基础、关键技术和系统性解决方案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</w:rPr>
              <w:t>。</w:t>
            </w:r>
          </w:p>
          <w:p w14:paraId="7960B85E">
            <w:pPr>
              <w:spacing w:line="360" w:lineRule="auto"/>
              <w:ind w:firstLine="480" w:firstLineChars="200"/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val="en-US" w:eastAsia="zh-CN"/>
              </w:rPr>
              <w:t>该项目边试验边推广，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</w:rPr>
              <w:t>制定行业标准4项、省级地方标准4项、行业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val="en-US" w:eastAsia="zh-CN"/>
              </w:rPr>
              <w:t>技术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</w:rPr>
              <w:t>规范7项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</w:rPr>
              <w:t>营建试验示范基地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val="en-US" w:eastAsia="zh-CN"/>
              </w:rPr>
              <w:t>8个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val="en-US" w:eastAsia="zh-CN"/>
              </w:rPr>
              <w:t>并多次举办了全国性和国际性研讨会，广泛应用推广于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</w:rPr>
              <w:t>浙江及周边地区。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val="en-US" w:eastAsia="zh-CN"/>
              </w:rPr>
              <w:t>以尹伟伦院士、刘世荣院士领衔的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</w:rPr>
              <w:t>评价委员会认为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val="en-US" w:eastAsia="zh-CN"/>
              </w:rPr>
              <w:t>该成果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</w:rPr>
              <w:t>在理论和技术创新上取得了重要进展，总体达到同类研究国际先进水平，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val="en-US" w:eastAsia="zh-CN"/>
              </w:rPr>
              <w:t>部分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</w:rPr>
              <w:t>达到国际领先水平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eastAsia="zh-CN"/>
              </w:rPr>
              <w:t>。</w:t>
            </w:r>
          </w:p>
          <w:p w14:paraId="53E2CFE1">
            <w:pPr>
              <w:spacing w:line="360" w:lineRule="auto"/>
              <w:ind w:firstLine="480" w:firstLineChars="200"/>
              <w:rPr>
                <w:rStyle w:val="38"/>
                <w:b w:val="0"/>
                <w:color w:val="auto"/>
              </w:rPr>
            </w:pPr>
            <w:r>
              <w:rPr>
                <w:rFonts w:hint="eastAsia" w:eastAsia="仿宋_GB2312"/>
                <w:bCs/>
                <w:color w:val="000000"/>
                <w:sz w:val="24"/>
                <w:szCs w:val="24"/>
              </w:rPr>
              <w:t>提名该项目为省科学技术进步奖</w:t>
            </w:r>
            <w:r>
              <w:rPr>
                <w:rFonts w:hint="eastAsia" w:eastAsia="仿宋_GB2312"/>
                <w:bCs/>
                <w:color w:val="000000"/>
                <w:sz w:val="24"/>
                <w:szCs w:val="24"/>
                <w:u w:val="none"/>
              </w:rPr>
              <w:t xml:space="preserve"> </w:t>
            </w:r>
            <w:r>
              <w:rPr>
                <w:rFonts w:hint="eastAsia" w:eastAsia="仿宋_GB2312"/>
                <w:bCs/>
                <w:color w:val="000000"/>
                <w:sz w:val="24"/>
                <w:szCs w:val="24"/>
                <w:u w:val="none"/>
                <w:lang w:val="en-US" w:eastAsia="zh-CN"/>
              </w:rPr>
              <w:t xml:space="preserve">一 </w:t>
            </w:r>
            <w:r>
              <w:rPr>
                <w:rFonts w:hint="eastAsia" w:eastAsia="仿宋_GB2312"/>
                <w:bCs/>
                <w:color w:val="000000"/>
                <w:sz w:val="24"/>
                <w:szCs w:val="24"/>
              </w:rPr>
              <w:t>等奖。</w:t>
            </w:r>
          </w:p>
        </w:tc>
      </w:tr>
    </w:tbl>
    <w:p w14:paraId="0604FFD3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p w14:paraId="196302A6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cript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9C58D59-A64C-425F-BBF7-F90B7D45B83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D4F76EF-E879-4180-A240-E838B1E02F7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24B21AA-5CBF-44D0-BE2C-68158D29A65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31F20DF-6E91-4AA8-95CB-AB8C42AE439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C473B42-8C41-4665-8B3A-4213A277B39D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99418212-602E-4668-A216-5B2F9F22C76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DB8D6C03-D602-430E-9CF4-90CC8738D564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EE2C1A90-43B6-439D-8C38-E40C61E305C3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9" w:fontKey="{4C77CCA2-67B2-4C54-B02A-52626BE59EF1}"/>
  </w:font>
  <w:font w:name="Songti SC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76286816"/>
    </w:sdtPr>
    <w:sdtEndPr>
      <w:rPr>
        <w:sz w:val="21"/>
        <w:szCs w:val="21"/>
      </w:rPr>
    </w:sdtEndPr>
    <w:sdtContent>
      <w:p w14:paraId="35D843C9">
        <w:pPr>
          <w:pStyle w:val="11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143</w:t>
        </w:r>
        <w:r>
          <w:rPr>
            <w:sz w:val="21"/>
            <w:szCs w:val="21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F86BF0">
    <w:pPr>
      <w:ind w:left="420" w:hanging="4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9BFDAF"/>
    <w:multiLevelType w:val="multilevel"/>
    <w:tmpl w:val="0A9BFDAF"/>
    <w:lvl w:ilvl="0" w:tentative="0">
      <w:start w:val="1"/>
      <w:numFmt w:val="decimal"/>
      <w:lvlText w:val="[%1]"/>
      <w:lvlJc w:val="left"/>
      <w:pPr>
        <w:ind w:left="90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246B5505"/>
    <w:multiLevelType w:val="multilevel"/>
    <w:tmpl w:val="246B5505"/>
    <w:lvl w:ilvl="0" w:tentative="0">
      <w:start w:val="1"/>
      <w:numFmt w:val="decimal"/>
      <w:lvlText w:val="[%1]"/>
      <w:lvlJc w:val="left"/>
      <w:pPr>
        <w:tabs>
          <w:tab w:val="left" w:pos="420"/>
        </w:tabs>
        <w:ind w:left="13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420"/>
        </w:tabs>
        <w:ind w:left="17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420"/>
        </w:tabs>
        <w:ind w:left="2160" w:hanging="420"/>
      </w:pPr>
    </w:lvl>
    <w:lvl w:ilvl="3" w:tentative="0">
      <w:start w:val="1"/>
      <w:numFmt w:val="decimal"/>
      <w:lvlText w:val="%4."/>
      <w:lvlJc w:val="left"/>
      <w:pPr>
        <w:tabs>
          <w:tab w:val="left" w:pos="420"/>
        </w:tabs>
        <w:ind w:left="25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420"/>
        </w:tabs>
        <w:ind w:left="30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420"/>
        </w:tabs>
        <w:ind w:left="3420" w:hanging="420"/>
      </w:pPr>
    </w:lvl>
    <w:lvl w:ilvl="6" w:tentative="0">
      <w:start w:val="1"/>
      <w:numFmt w:val="decimal"/>
      <w:lvlText w:val="%7."/>
      <w:lvlJc w:val="left"/>
      <w:pPr>
        <w:tabs>
          <w:tab w:val="left" w:pos="420"/>
        </w:tabs>
        <w:ind w:left="38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420"/>
        </w:tabs>
        <w:ind w:left="42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20"/>
        </w:tabs>
        <w:ind w:left="4680" w:hanging="420"/>
      </w:pPr>
    </w:lvl>
  </w:abstractNum>
  <w:abstractNum w:abstractNumId="2">
    <w:nsid w:val="3C7A5D43"/>
    <w:multiLevelType w:val="singleLevel"/>
    <w:tmpl w:val="3C7A5D43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hideSpellingErrors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00006056"/>
    <w:rsid w:val="00007BBE"/>
    <w:rsid w:val="000165DC"/>
    <w:rsid w:val="00031E44"/>
    <w:rsid w:val="00033288"/>
    <w:rsid w:val="0004004D"/>
    <w:rsid w:val="00051BE3"/>
    <w:rsid w:val="00053F24"/>
    <w:rsid w:val="0006546D"/>
    <w:rsid w:val="00067E32"/>
    <w:rsid w:val="00083906"/>
    <w:rsid w:val="000847FC"/>
    <w:rsid w:val="000929AE"/>
    <w:rsid w:val="000A0FE4"/>
    <w:rsid w:val="000B2E39"/>
    <w:rsid w:val="000B70B3"/>
    <w:rsid w:val="000C632A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435CC"/>
    <w:rsid w:val="00153E23"/>
    <w:rsid w:val="00154376"/>
    <w:rsid w:val="001553CE"/>
    <w:rsid w:val="001614FC"/>
    <w:rsid w:val="00165962"/>
    <w:rsid w:val="0017168F"/>
    <w:rsid w:val="00172167"/>
    <w:rsid w:val="001806B8"/>
    <w:rsid w:val="001829B2"/>
    <w:rsid w:val="00185449"/>
    <w:rsid w:val="00192701"/>
    <w:rsid w:val="0019371C"/>
    <w:rsid w:val="001A5554"/>
    <w:rsid w:val="001A55E6"/>
    <w:rsid w:val="001B0C22"/>
    <w:rsid w:val="001B454D"/>
    <w:rsid w:val="001C4D6D"/>
    <w:rsid w:val="001D3908"/>
    <w:rsid w:val="001F032B"/>
    <w:rsid w:val="001F2C76"/>
    <w:rsid w:val="001F7F40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745F8"/>
    <w:rsid w:val="0028303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E6BFB"/>
    <w:rsid w:val="003F0278"/>
    <w:rsid w:val="003F1E9D"/>
    <w:rsid w:val="003F76A0"/>
    <w:rsid w:val="00401E30"/>
    <w:rsid w:val="004179C8"/>
    <w:rsid w:val="0042367A"/>
    <w:rsid w:val="00427A6E"/>
    <w:rsid w:val="004300EE"/>
    <w:rsid w:val="00442705"/>
    <w:rsid w:val="00444A55"/>
    <w:rsid w:val="0044700B"/>
    <w:rsid w:val="0044760A"/>
    <w:rsid w:val="00453528"/>
    <w:rsid w:val="00453C0E"/>
    <w:rsid w:val="00461A90"/>
    <w:rsid w:val="004820BD"/>
    <w:rsid w:val="00484A1D"/>
    <w:rsid w:val="00484D69"/>
    <w:rsid w:val="004929AC"/>
    <w:rsid w:val="00492EAC"/>
    <w:rsid w:val="004A6419"/>
    <w:rsid w:val="004B13A5"/>
    <w:rsid w:val="004B531C"/>
    <w:rsid w:val="004C2337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6964"/>
    <w:rsid w:val="00532D5A"/>
    <w:rsid w:val="005354E4"/>
    <w:rsid w:val="00552729"/>
    <w:rsid w:val="005563CE"/>
    <w:rsid w:val="005663D6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11BDC"/>
    <w:rsid w:val="006177DC"/>
    <w:rsid w:val="00623BD2"/>
    <w:rsid w:val="00626265"/>
    <w:rsid w:val="006269F8"/>
    <w:rsid w:val="00642EBC"/>
    <w:rsid w:val="00643B2E"/>
    <w:rsid w:val="00646AD1"/>
    <w:rsid w:val="00670053"/>
    <w:rsid w:val="00673E71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59C3"/>
    <w:rsid w:val="006E4386"/>
    <w:rsid w:val="006E5310"/>
    <w:rsid w:val="006F0C81"/>
    <w:rsid w:val="006F5EED"/>
    <w:rsid w:val="006F7780"/>
    <w:rsid w:val="007116D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7E"/>
    <w:rsid w:val="007C5AC5"/>
    <w:rsid w:val="007D26E7"/>
    <w:rsid w:val="007D58D1"/>
    <w:rsid w:val="007D68D7"/>
    <w:rsid w:val="007E17CF"/>
    <w:rsid w:val="007F026B"/>
    <w:rsid w:val="007F5A15"/>
    <w:rsid w:val="0080157D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A09D1"/>
    <w:rsid w:val="008A37FE"/>
    <w:rsid w:val="008B5F0B"/>
    <w:rsid w:val="008B78AD"/>
    <w:rsid w:val="008C37F3"/>
    <w:rsid w:val="008C5BE5"/>
    <w:rsid w:val="008C7FED"/>
    <w:rsid w:val="0090595F"/>
    <w:rsid w:val="0090670A"/>
    <w:rsid w:val="00906781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D1070"/>
    <w:rsid w:val="009D2804"/>
    <w:rsid w:val="009D3350"/>
    <w:rsid w:val="009D66DD"/>
    <w:rsid w:val="009F0766"/>
    <w:rsid w:val="009F19B6"/>
    <w:rsid w:val="009F4B40"/>
    <w:rsid w:val="00A03853"/>
    <w:rsid w:val="00A11F99"/>
    <w:rsid w:val="00A156D9"/>
    <w:rsid w:val="00A243BC"/>
    <w:rsid w:val="00A27943"/>
    <w:rsid w:val="00A31D43"/>
    <w:rsid w:val="00A36061"/>
    <w:rsid w:val="00A402C6"/>
    <w:rsid w:val="00A5008B"/>
    <w:rsid w:val="00A65CD4"/>
    <w:rsid w:val="00A70F4C"/>
    <w:rsid w:val="00A736E3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63A00"/>
    <w:rsid w:val="00B651CC"/>
    <w:rsid w:val="00B73F27"/>
    <w:rsid w:val="00B74C14"/>
    <w:rsid w:val="00B92BAD"/>
    <w:rsid w:val="00B9520A"/>
    <w:rsid w:val="00B979F5"/>
    <w:rsid w:val="00BA07A7"/>
    <w:rsid w:val="00BA3056"/>
    <w:rsid w:val="00BB47F3"/>
    <w:rsid w:val="00BC0513"/>
    <w:rsid w:val="00BD0ED0"/>
    <w:rsid w:val="00BE7259"/>
    <w:rsid w:val="00C10571"/>
    <w:rsid w:val="00C14B11"/>
    <w:rsid w:val="00C24E7B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3D98"/>
    <w:rsid w:val="00C87EB0"/>
    <w:rsid w:val="00C9140D"/>
    <w:rsid w:val="00C92139"/>
    <w:rsid w:val="00C94906"/>
    <w:rsid w:val="00CA0830"/>
    <w:rsid w:val="00CA08E7"/>
    <w:rsid w:val="00CA0BB3"/>
    <w:rsid w:val="00CB7617"/>
    <w:rsid w:val="00CC2CF9"/>
    <w:rsid w:val="00CC55CE"/>
    <w:rsid w:val="00CD3458"/>
    <w:rsid w:val="00CE7048"/>
    <w:rsid w:val="00CF0ED4"/>
    <w:rsid w:val="00CF10A0"/>
    <w:rsid w:val="00D043A5"/>
    <w:rsid w:val="00D06294"/>
    <w:rsid w:val="00D16C9A"/>
    <w:rsid w:val="00D170C8"/>
    <w:rsid w:val="00D20CA5"/>
    <w:rsid w:val="00D22F7F"/>
    <w:rsid w:val="00D23039"/>
    <w:rsid w:val="00D27104"/>
    <w:rsid w:val="00D349E7"/>
    <w:rsid w:val="00D35DA8"/>
    <w:rsid w:val="00D41A51"/>
    <w:rsid w:val="00D4719D"/>
    <w:rsid w:val="00D47863"/>
    <w:rsid w:val="00D51301"/>
    <w:rsid w:val="00D619CB"/>
    <w:rsid w:val="00D66E92"/>
    <w:rsid w:val="00D75966"/>
    <w:rsid w:val="00D76DA8"/>
    <w:rsid w:val="00D76EB9"/>
    <w:rsid w:val="00D97840"/>
    <w:rsid w:val="00DC0F80"/>
    <w:rsid w:val="00DC1C67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2FD4"/>
    <w:rsid w:val="00EB7300"/>
    <w:rsid w:val="00EC5664"/>
    <w:rsid w:val="00EE0CE1"/>
    <w:rsid w:val="00EE1078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DFB"/>
    <w:rsid w:val="00F91089"/>
    <w:rsid w:val="00F94DE6"/>
    <w:rsid w:val="00FA33E4"/>
    <w:rsid w:val="00FB0D99"/>
    <w:rsid w:val="00FB237A"/>
    <w:rsid w:val="00FB27A0"/>
    <w:rsid w:val="00FB523A"/>
    <w:rsid w:val="00FB5471"/>
    <w:rsid w:val="00FB606D"/>
    <w:rsid w:val="00FC1058"/>
    <w:rsid w:val="00FC18D8"/>
    <w:rsid w:val="00FC7BB3"/>
    <w:rsid w:val="00FC7D4F"/>
    <w:rsid w:val="00FD0CCE"/>
    <w:rsid w:val="00FE48C9"/>
    <w:rsid w:val="00FE69B2"/>
    <w:rsid w:val="00FF48B9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6FF1141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985B17"/>
    <w:rsid w:val="14CB5B87"/>
    <w:rsid w:val="152F6116"/>
    <w:rsid w:val="155C3CBE"/>
    <w:rsid w:val="156B3C26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1F71BC3C"/>
    <w:rsid w:val="20BD1F44"/>
    <w:rsid w:val="214135A7"/>
    <w:rsid w:val="21BF009D"/>
    <w:rsid w:val="22873147"/>
    <w:rsid w:val="229233C9"/>
    <w:rsid w:val="22B90D41"/>
    <w:rsid w:val="22E61855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2C2AD4"/>
    <w:rsid w:val="32C1444F"/>
    <w:rsid w:val="33072028"/>
    <w:rsid w:val="34671B17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A20A57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FD328B"/>
    <w:rsid w:val="462F56C6"/>
    <w:rsid w:val="472E36B4"/>
    <w:rsid w:val="47F15329"/>
    <w:rsid w:val="48B76D8F"/>
    <w:rsid w:val="49DD2383"/>
    <w:rsid w:val="4C1F3EFD"/>
    <w:rsid w:val="4CA639F1"/>
    <w:rsid w:val="4CE34B9C"/>
    <w:rsid w:val="4D38031C"/>
    <w:rsid w:val="4EAD471B"/>
    <w:rsid w:val="50EF43CF"/>
    <w:rsid w:val="535E0F14"/>
    <w:rsid w:val="53D31D87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207154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D103417"/>
    <w:rsid w:val="6D342528"/>
    <w:rsid w:val="6D73A7A8"/>
    <w:rsid w:val="6DED540B"/>
    <w:rsid w:val="6EC024D0"/>
    <w:rsid w:val="6EC205F2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7FD9F4D"/>
    <w:rsid w:val="785A2E96"/>
    <w:rsid w:val="797F503F"/>
    <w:rsid w:val="799A7C87"/>
    <w:rsid w:val="79FA3F36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F2FE11E"/>
    <w:rsid w:val="7F5F1F28"/>
    <w:rsid w:val="7F6E0A32"/>
    <w:rsid w:val="7F7BA24F"/>
    <w:rsid w:val="7FAB99E8"/>
    <w:rsid w:val="7FB746D5"/>
    <w:rsid w:val="7FDE543C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EE7BAC7D"/>
    <w:rsid w:val="F2EFD742"/>
    <w:rsid w:val="F3DECE3F"/>
    <w:rsid w:val="F77B9D5A"/>
    <w:rsid w:val="F78CA074"/>
    <w:rsid w:val="F7DED60E"/>
    <w:rsid w:val="F86E6AB1"/>
    <w:rsid w:val="F9EAE13C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4"/>
    <w:link w:val="2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outlineLvl w:val="2"/>
    </w:pPr>
    <w:rPr>
      <w:b/>
      <w:sz w:val="28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spacing w:after="120"/>
    </w:pPr>
    <w:rPr>
      <w:rFonts w:ascii="Calibri" w:hAnsi="Calibri" w:eastAsia="宋体" w:cs="Times New Roman"/>
      <w:szCs w:val="21"/>
    </w:rPr>
  </w:style>
  <w:style w:type="paragraph" w:styleId="6">
    <w:name w:val="annotation text"/>
    <w:basedOn w:val="1"/>
    <w:link w:val="31"/>
    <w:semiHidden/>
    <w:unhideWhenUsed/>
    <w:qFormat/>
    <w:uiPriority w:val="99"/>
    <w:pPr>
      <w:widowControl/>
      <w:jc w:val="left"/>
    </w:pPr>
  </w:style>
  <w:style w:type="paragraph" w:styleId="7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8">
    <w:name w:val="Plain Text"/>
    <w:basedOn w:val="1"/>
    <w:link w:val="32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9">
    <w:name w:val="Body Text Indent 2"/>
    <w:basedOn w:val="1"/>
    <w:link w:val="35"/>
    <w:qFormat/>
    <w:uiPriority w:val="0"/>
    <w:pPr>
      <w:widowControl/>
      <w:ind w:firstLine="562" w:firstLineChars="200"/>
      <w:jc w:val="left"/>
    </w:pPr>
    <w:rPr>
      <w:b/>
      <w:bCs/>
      <w:sz w:val="28"/>
      <w:szCs w:val="24"/>
    </w:rPr>
  </w:style>
  <w:style w:type="paragraph" w:styleId="10">
    <w:name w:val="Balloon Text"/>
    <w:basedOn w:val="1"/>
    <w:link w:val="30"/>
    <w:semiHidden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7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hAnsi="宋体" w:eastAsia="仿宋_GB2312"/>
      <w:b/>
      <w:bCs/>
      <w:kern w:val="0"/>
      <w:sz w:val="32"/>
      <w:szCs w:val="32"/>
    </w:rPr>
  </w:style>
  <w:style w:type="paragraph" w:styleId="14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5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6">
    <w:name w:val="Title"/>
    <w:basedOn w:val="1"/>
    <w:next w:val="1"/>
    <w:link w:val="36"/>
    <w:qFormat/>
    <w:uiPriority w:val="0"/>
    <w:pPr>
      <w:widowControl/>
      <w:spacing w:before="240" w:after="60"/>
      <w:jc w:val="center"/>
      <w:outlineLvl w:val="0"/>
    </w:pPr>
    <w:rPr>
      <w:rFonts w:ascii="Cambria" w:hAnsi="Cambria" w:eastAsia="黑体"/>
      <w:b/>
      <w:bCs/>
      <w:sz w:val="52"/>
      <w:szCs w:val="32"/>
    </w:rPr>
  </w:style>
  <w:style w:type="paragraph" w:styleId="17">
    <w:name w:val="annotation subject"/>
    <w:basedOn w:val="6"/>
    <w:next w:val="6"/>
    <w:link w:val="37"/>
    <w:semiHidden/>
    <w:unhideWhenUsed/>
    <w:qFormat/>
    <w:uiPriority w:val="99"/>
    <w:rPr>
      <w:b/>
      <w:bCs/>
    </w:rPr>
  </w:style>
  <w:style w:type="table" w:styleId="19">
    <w:name w:val="Table Grid"/>
    <w:basedOn w:val="1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1">
    <w:name w:val="Strong"/>
    <w:basedOn w:val="20"/>
    <w:qFormat/>
    <w:uiPriority w:val="0"/>
    <w:rPr>
      <w:b/>
      <w:bCs/>
    </w:rPr>
  </w:style>
  <w:style w:type="character" w:styleId="22">
    <w:name w:val="page number"/>
    <w:basedOn w:val="20"/>
    <w:qFormat/>
    <w:uiPriority w:val="0"/>
  </w:style>
  <w:style w:type="character" w:styleId="23">
    <w:name w:val="Hyperlink"/>
    <w:qFormat/>
    <w:uiPriority w:val="99"/>
    <w:rPr>
      <w:color w:val="0000FF"/>
      <w:u w:val="single"/>
    </w:rPr>
  </w:style>
  <w:style w:type="character" w:styleId="24">
    <w:name w:val="annotation reference"/>
    <w:basedOn w:val="20"/>
    <w:semiHidden/>
    <w:unhideWhenUsed/>
    <w:qFormat/>
    <w:uiPriority w:val="99"/>
    <w:rPr>
      <w:sz w:val="21"/>
      <w:szCs w:val="21"/>
    </w:rPr>
  </w:style>
  <w:style w:type="character" w:customStyle="1" w:styleId="25">
    <w:name w:val="标题 1 Char"/>
    <w:basedOn w:val="20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6">
    <w:name w:val="标题 2 Char"/>
    <w:basedOn w:val="2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页眉 Char"/>
    <w:basedOn w:val="20"/>
    <w:link w:val="12"/>
    <w:qFormat/>
    <w:uiPriority w:val="0"/>
    <w:rPr>
      <w:sz w:val="18"/>
      <w:szCs w:val="18"/>
    </w:rPr>
  </w:style>
  <w:style w:type="character" w:customStyle="1" w:styleId="28">
    <w:name w:val="页脚 Char"/>
    <w:basedOn w:val="20"/>
    <w:link w:val="11"/>
    <w:qFormat/>
    <w:uiPriority w:val="99"/>
    <w:rPr>
      <w:sz w:val="18"/>
      <w:szCs w:val="18"/>
    </w:rPr>
  </w:style>
  <w:style w:type="paragraph" w:customStyle="1" w:styleId="29">
    <w:name w:val="样式1"/>
    <w:basedOn w:val="1"/>
    <w:qFormat/>
    <w:uiPriority w:val="0"/>
    <w:pPr>
      <w:spacing w:line="600" w:lineRule="exact"/>
      <w:ind w:firstLine="200" w:firstLineChars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30">
    <w:name w:val="批注框文本 Char"/>
    <w:basedOn w:val="20"/>
    <w:link w:val="10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1">
    <w:name w:val="批注文字 Char"/>
    <w:basedOn w:val="20"/>
    <w:link w:val="6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32">
    <w:name w:val="纯文本 Char"/>
    <w:basedOn w:val="20"/>
    <w:link w:val="8"/>
    <w:qFormat/>
    <w:uiPriority w:val="0"/>
    <w:rPr>
      <w:rFonts w:ascii="仿宋_GB2312" w:hAnsi="Times New Roman" w:eastAsia="宋体" w:cs="Times New Roman"/>
      <w:sz w:val="24"/>
      <w:szCs w:val="20"/>
    </w:rPr>
  </w:style>
  <w:style w:type="paragraph" w:customStyle="1" w:styleId="33">
    <w:name w:val="_Style 8"/>
    <w:basedOn w:val="1"/>
    <w:next w:val="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34">
    <w:name w:val="List Paragraph"/>
    <w:basedOn w:val="1"/>
    <w:qFormat/>
    <w:uiPriority w:val="34"/>
    <w:pPr>
      <w:ind w:firstLine="420" w:firstLineChars="200"/>
    </w:pPr>
    <w:rPr>
      <w:rFonts w:ascii="仿宋_GB2312" w:eastAsia="仿宋_GB2312"/>
      <w:spacing w:val="-4"/>
      <w:sz w:val="32"/>
    </w:rPr>
  </w:style>
  <w:style w:type="character" w:customStyle="1" w:styleId="35">
    <w:name w:val="正文文本缩进 2 Char"/>
    <w:basedOn w:val="20"/>
    <w:link w:val="9"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36">
    <w:name w:val="标题 Char"/>
    <w:basedOn w:val="20"/>
    <w:link w:val="16"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37">
    <w:name w:val="批注主题 Char"/>
    <w:basedOn w:val="31"/>
    <w:link w:val="17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38">
    <w:name w:val="title1"/>
    <w:qFormat/>
    <w:uiPriority w:val="0"/>
    <w:rPr>
      <w:b/>
      <w:bCs/>
      <w:color w:val="999900"/>
      <w:sz w:val="24"/>
      <w:szCs w:val="24"/>
    </w:rPr>
  </w:style>
  <w:style w:type="paragraph" w:customStyle="1" w:styleId="39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40">
    <w:name w:val="列出段落1"/>
    <w:basedOn w:val="1"/>
    <w:qFormat/>
    <w:uiPriority w:val="34"/>
    <w:pPr>
      <w:ind w:firstLine="420" w:firstLineChars="200"/>
    </w:pPr>
  </w:style>
  <w:style w:type="paragraph" w:customStyle="1" w:styleId="41">
    <w:name w:val="参考文献"/>
    <w:basedOn w:val="1"/>
    <w:qFormat/>
    <w:uiPriority w:val="0"/>
    <w:pPr>
      <w:widowControl w:val="0"/>
      <w:spacing w:after="0" w:afterLines="0"/>
      <w:ind w:left="150" w:hanging="150" w:hangingChars="150"/>
      <w:contextualSpacing/>
      <w:jc w:val="both"/>
    </w:pPr>
    <w:rPr>
      <w:rFonts w:cs="Times New Roman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1317</Words>
  <Characters>1967</Characters>
  <Lines>366</Lines>
  <Paragraphs>103</Paragraphs>
  <TotalTime>0</TotalTime>
  <ScaleCrop>false</ScaleCrop>
  <LinksUpToDate>false</LinksUpToDate>
  <CharactersWithSpaces>2084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2022-01-26T08:15:00Z</dcterms:created>
  <dc:creator>胡胜链</dc:creator>
  <cp:lastModifiedBy>Pinus densiflora</cp:lastModifiedBy>
  <cp:lastPrinted>2022-01-28T09:53:00Z</cp:lastPrinted>
  <dcterms:modified xsi:type="dcterms:W3CDTF">2025-09-12T08:25:12Z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7415A875B6C34A36A16A6087D0DEB524</vt:lpwstr>
  </property>
  <property fmtid="{D5CDD505-2E9C-101B-9397-08002B2CF9AE}" pid="4" name="KSOTemplateDocerSaveRecord">
    <vt:lpwstr>eyJoZGlkIjoiMDM1NTVkOTcxOWZjYjFkMDYxZTNmMmFkNmYxNDQ4NDMiLCJ1c2VySWQiOiIzNzE1NDAxNzAifQ==</vt:lpwstr>
  </property>
</Properties>
</file>