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EC0A498">
      <w:pPr>
        <w:spacing w:before="0" w:after="0" w:line="439" w:lineRule="exact"/>
        <w:ind w:left="1008"/>
        <w:jc w:val="center"/>
        <w:rPr>
          <w:rFonts w:ascii="宋体" w:hAnsi="宋体" w:eastAsia="宋体"/>
          <w:color w:val="000000"/>
          <w:sz w:val="32"/>
          <w:szCs w:val="24"/>
          <w:lang w:eastAsia="zh-CN"/>
        </w:rPr>
      </w:pPr>
      <w:r>
        <w:rPr>
          <w:rFonts w:ascii="宋体" w:hAnsi="宋体" w:eastAsia="宋体" w:cs="NQAFIU+FZXBSJW--GB1-0"/>
          <w:color w:val="000000"/>
          <w:sz w:val="32"/>
          <w:szCs w:val="24"/>
          <w:lang w:eastAsia="zh-CN"/>
        </w:rPr>
        <w:t>浙江省科学技术奖公示信息表</w:t>
      </w:r>
      <w:r>
        <w:rPr>
          <w:rFonts w:ascii="宋体" w:hAnsi="宋体" w:eastAsia="宋体" w:cs="JCVSTW+FangSong_GB2312"/>
          <w:color w:val="000000"/>
          <w:sz w:val="32"/>
          <w:szCs w:val="24"/>
          <w:lang w:eastAsia="zh-CN"/>
        </w:rPr>
        <w:t>（单位提名）</w:t>
      </w:r>
    </w:p>
    <w:p w14:paraId="2EADCA6B">
      <w:pPr>
        <w:spacing w:before="201" w:line="291" w:lineRule="exact"/>
        <w:jc w:val="left"/>
        <w:rPr>
          <w:rFonts w:ascii="宋体" w:hAnsi="宋体" w:eastAsia="宋体" w:cs="JCVSTW+FangSong_GB2312"/>
          <w:color w:val="000000"/>
          <w:spacing w:val="-5"/>
          <w:sz w:val="32"/>
          <w:szCs w:val="24"/>
          <w:lang w:eastAsia="zh-CN"/>
        </w:rPr>
      </w:pPr>
      <w:r>
        <w:rPr>
          <w:rFonts w:ascii="宋体" w:hAnsi="宋体" w:eastAsia="宋体" w:cs="JCVSTW+FangSong_GB2312"/>
          <w:color w:val="000000"/>
          <w:spacing w:val="-5"/>
          <w:sz w:val="32"/>
          <w:szCs w:val="24"/>
          <w:lang w:eastAsia="zh-CN"/>
        </w:rPr>
        <w:t>提名奖项：科学技术进步奖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6"/>
        <w:gridCol w:w="7513"/>
      </w:tblGrid>
      <w:tr w14:paraId="7B41EF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6" w:type="dxa"/>
            <w:vAlign w:val="center"/>
          </w:tcPr>
          <w:p w14:paraId="5C3B4515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</w:rPr>
              <w:t>成果名称</w:t>
            </w:r>
          </w:p>
        </w:tc>
        <w:tc>
          <w:tcPr>
            <w:tcW w:w="7513" w:type="dxa"/>
            <w:vAlign w:val="center"/>
          </w:tcPr>
          <w:p w14:paraId="68D62B24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复杂化工过程全工况自主优化运行技术及应用</w:t>
            </w:r>
          </w:p>
        </w:tc>
      </w:tr>
      <w:tr w14:paraId="1A6667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6" w:type="dxa"/>
            <w:vAlign w:val="center"/>
          </w:tcPr>
          <w:p w14:paraId="2B83542C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</w:rPr>
              <w:t>提名等级</w:t>
            </w:r>
          </w:p>
        </w:tc>
        <w:tc>
          <w:tcPr>
            <w:tcW w:w="7513" w:type="dxa"/>
            <w:vAlign w:val="center"/>
          </w:tcPr>
          <w:p w14:paraId="6840D634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一等奖</w:t>
            </w:r>
          </w:p>
        </w:tc>
      </w:tr>
      <w:tr w14:paraId="74C994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6" w:type="dxa"/>
            <w:vAlign w:val="center"/>
          </w:tcPr>
          <w:p w14:paraId="65ACC8AE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</w:rPr>
              <w:t>提名书</w:t>
            </w:r>
          </w:p>
          <w:p w14:paraId="309BAB28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</w:rPr>
              <w:t>相关内容</w:t>
            </w:r>
          </w:p>
        </w:tc>
        <w:tc>
          <w:tcPr>
            <w:tcW w:w="7513" w:type="dxa"/>
          </w:tcPr>
          <w:p w14:paraId="08C74546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主要知识产权：</w:t>
            </w:r>
          </w:p>
          <w:p w14:paraId="5FB93EE9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1、ZL202110583376.X，《一种除去无水氟化氢中金属离子的方法》</w:t>
            </w:r>
          </w:p>
          <w:p w14:paraId="60AF4F1E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2、ZL202010875267.0，《一种全氟烷基酰基过氧化</w:t>
            </w:r>
            <w:bookmarkStart w:id="0" w:name="_GoBack"/>
            <w:bookmarkEnd w:id="0"/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物的制备方法》</w:t>
            </w:r>
          </w:p>
          <w:p w14:paraId="407B24B0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3、ZL201910271338.3，《一种氟橡胶生胶的制备方法》</w:t>
            </w:r>
          </w:p>
          <w:p w14:paraId="4F3B5844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4、ZL201510777966.0，《一种氟橡胶洗涤桶及氟橡胶自动洗涤方法》</w:t>
            </w:r>
          </w:p>
          <w:p w14:paraId="32B60ADC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5、ZL202310006536.3，《一种流程工业控制方法、装置、设备及存储介质》</w:t>
            </w:r>
          </w:p>
          <w:p w14:paraId="0CCB71D1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6、ZL202311778792.0，《控制生产装置运行的零手动操作方法、装置、设备及介质》</w:t>
            </w:r>
          </w:p>
          <w:p w14:paraId="73DA14DF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代表性论文：</w:t>
            </w:r>
          </w:p>
          <w:p w14:paraId="105FA6D3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1、《Dual-mode fast DMC algorithm for the control of ORC based waste heat recovery system/</w:t>
            </w:r>
            <w:r>
              <w:rPr>
                <w:rFonts w:ascii="宋体" w:hAnsi="宋体" w:eastAsia="宋体"/>
                <w:b/>
                <w:bCs/>
                <w:color w:val="000000"/>
                <w:sz w:val="21"/>
                <w:szCs w:val="21"/>
                <w:lang w:eastAsia="zh-CN"/>
              </w:rPr>
              <w:t>Energy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》</w:t>
            </w:r>
          </w:p>
          <w:p w14:paraId="408FB136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2、《Integrated forward and reverse logistics network design for a hybrid assembly-recycling system under uncertain return and waste flows: A fuzzy multi-objective programming/</w:t>
            </w:r>
            <w:r>
              <w:rPr>
                <w:rFonts w:ascii="宋体" w:hAnsi="宋体" w:eastAsia="宋体"/>
                <w:b/>
                <w:bCs/>
                <w:color w:val="000000"/>
                <w:sz w:val="21"/>
                <w:szCs w:val="21"/>
                <w:lang w:eastAsia="zh-CN"/>
              </w:rPr>
              <w:t>Journal of Cleaner Production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》</w:t>
            </w:r>
          </w:p>
          <w:p w14:paraId="638E462C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3、《Model predictive control for the receiving-side DC–DC converter of dynamic wireless power transfer/</w:t>
            </w:r>
            <w:r>
              <w:rPr>
                <w:rFonts w:ascii="宋体" w:hAnsi="宋体" w:eastAsia="宋体"/>
                <w:b/>
                <w:bCs/>
                <w:color w:val="000000"/>
                <w:sz w:val="21"/>
                <w:szCs w:val="21"/>
                <w:lang w:eastAsia="zh-CN"/>
              </w:rPr>
              <w:t>IEEE Transactions on Power Electronics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》</w:t>
            </w:r>
          </w:p>
          <w:p w14:paraId="28879771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4、《零手动操作系统在R142b生产装置的应用/</w:t>
            </w:r>
            <w:r>
              <w:rPr>
                <w:rFonts w:ascii="宋体" w:hAnsi="宋体" w:eastAsia="宋体"/>
                <w:b/>
                <w:bCs/>
                <w:color w:val="000000"/>
                <w:sz w:val="21"/>
                <w:szCs w:val="21"/>
                <w:lang w:eastAsia="zh-CN"/>
              </w:rPr>
              <w:t>自动化与仪表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》</w:t>
            </w:r>
          </w:p>
        </w:tc>
      </w:tr>
      <w:tr w14:paraId="63BFA6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6" w:type="dxa"/>
            <w:vAlign w:val="center"/>
          </w:tcPr>
          <w:p w14:paraId="74458EA8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主要完成人</w:t>
            </w:r>
          </w:p>
        </w:tc>
        <w:tc>
          <w:tcPr>
            <w:tcW w:w="7513" w:type="dxa"/>
          </w:tcPr>
          <w:p w14:paraId="6E95DECA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姓名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  排名   技术职称   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工作单位</w:t>
            </w:r>
          </w:p>
          <w:p w14:paraId="0690F097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周黎旸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1     正高级工程师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巨化集团有限公司</w:t>
            </w:r>
          </w:p>
          <w:p w14:paraId="016A8AA1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苏宏业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2     教授        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浙江大学</w:t>
            </w:r>
          </w:p>
          <w:p w14:paraId="6F54F7AF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侯卫锋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3     正高级工程师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浙江中智达科技有限公司</w:t>
            </w:r>
          </w:p>
          <w:p w14:paraId="29AEF36E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汤阳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  4     正高级工程师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巨化集团有限公司</w:t>
            </w:r>
          </w:p>
          <w:p w14:paraId="37BD95E8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谢磊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  5     教授        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浙江大学</w:t>
            </w:r>
          </w:p>
          <w:p w14:paraId="7F2CC20A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孟庆文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6     正高级工程师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浙江巨圣氟化学有限公司</w:t>
            </w:r>
          </w:p>
          <w:p w14:paraId="731CF4E3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张志铭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7     中级工程师  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浙江中智达科技有限公司</w:t>
            </w:r>
          </w:p>
          <w:p w14:paraId="38EBA106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陈伟峰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8     正高级工程师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浙江巨圣氟化学有限公司</w:t>
            </w:r>
          </w:p>
          <w:p w14:paraId="428D470F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叶建位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9 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中级工程师      浙江中智达科技有限公司</w:t>
            </w:r>
          </w:p>
          <w:p w14:paraId="40EBE929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任慧芳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10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高级工程师      巨化集团有限公司</w:t>
            </w:r>
          </w:p>
          <w:p w14:paraId="355C9426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王京辉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11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高级工程师      浙江巨圣氟化学有限公司</w:t>
            </w:r>
          </w:p>
          <w:p w14:paraId="3BAC4FDE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卢振成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12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高级工程师      浙江凯圣氟化学有限公司</w:t>
            </w:r>
          </w:p>
          <w:p w14:paraId="78760C38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徐林强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 13   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 xml:space="preserve"> 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中级工程师      浙江中巨智能科技有限公司</w:t>
            </w:r>
          </w:p>
        </w:tc>
      </w:tr>
      <w:tr w14:paraId="1EDA70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6" w:type="dxa"/>
            <w:vAlign w:val="center"/>
          </w:tcPr>
          <w:p w14:paraId="4A67F95A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主要完成单位</w:t>
            </w:r>
          </w:p>
        </w:tc>
        <w:tc>
          <w:tcPr>
            <w:tcW w:w="7513" w:type="dxa"/>
          </w:tcPr>
          <w:p w14:paraId="2A9D695F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1.巨化集团有限公司</w:t>
            </w:r>
          </w:p>
          <w:p w14:paraId="73E03248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2.浙江大学</w:t>
            </w:r>
          </w:p>
          <w:p w14:paraId="7AF5ED03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3.浙江中智达科技有限公司</w:t>
            </w:r>
          </w:p>
          <w:p w14:paraId="47928BD8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4.浙江巨圣氟化学有限公司</w:t>
            </w:r>
          </w:p>
          <w:p w14:paraId="5C0BABC4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5.浙江凯圣氟化学有限公司</w:t>
            </w:r>
          </w:p>
          <w:p w14:paraId="3BC20F87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6.浙江中巨智能科技有限公司</w:t>
            </w:r>
          </w:p>
        </w:tc>
      </w:tr>
      <w:tr w14:paraId="364613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6" w:type="dxa"/>
            <w:vAlign w:val="center"/>
          </w:tcPr>
          <w:p w14:paraId="3D152362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提名单位</w:t>
            </w:r>
          </w:p>
        </w:tc>
        <w:tc>
          <w:tcPr>
            <w:tcW w:w="7513" w:type="dxa"/>
          </w:tcPr>
          <w:p w14:paraId="6EFB35A6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衢州市人民政府</w:t>
            </w:r>
          </w:p>
        </w:tc>
      </w:tr>
      <w:tr w14:paraId="531510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1" w:hRule="atLeast"/>
        </w:trPr>
        <w:tc>
          <w:tcPr>
            <w:tcW w:w="1526" w:type="dxa"/>
            <w:vAlign w:val="center"/>
          </w:tcPr>
          <w:p w14:paraId="3961027E">
            <w:pPr>
              <w:spacing w:before="201" w:after="0" w:line="291" w:lineRule="exac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提名意见</w:t>
            </w:r>
          </w:p>
        </w:tc>
        <w:tc>
          <w:tcPr>
            <w:tcW w:w="7513" w:type="dxa"/>
          </w:tcPr>
          <w:p w14:paraId="2EFB2E28">
            <w:pPr>
              <w:spacing w:before="201" w:after="0" w:line="291" w:lineRule="exact"/>
              <w:ind w:firstLine="420" w:firstLineChars="200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以氟化工为代表的化工行业是国民经济的支柱产业，其复杂生产过程具有工艺流程超长、连续与批次生产模式混杂、高安全风险、高腐蚀性、高品质要求、牌号切换频繁、多变量强耦合、强非线性等特征，导致高端化工产品生产效率低下，难以满足高端化工产品规模化制造这一国家关键需求，制约了化工行业高质量绿色发展目标的实现。</w:t>
            </w:r>
          </w:p>
          <w:p w14:paraId="75268813">
            <w:pPr>
              <w:spacing w:before="201" w:after="0" w:line="291" w:lineRule="exact"/>
              <w:ind w:firstLine="420" w:firstLineChars="200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该项目在多项国家重点项目支持下，发明了连续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-批次混杂生产工艺下的高端化工产品安全高效制备技术，首创了数据和模型混合驱动的多稳态工况全流程协同优化控制技术，首次提出了基于“调度—控制”双层结构的化工过程全工况“零手动操作”运行技术，攻克了复杂化工过程全工况自主优化运行技术中的“卡脖子”问题。项目获授权发明专利45项，实用新型专利19项，发表学术论文41篇，主导发布国际标准3项和国家标准4项，构筑了覆盖全自动化高效制备、全流程上下游动态协同控制、全工况下零手动操作技术的自主知识产权和应用体系，核心技术成果处于国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际领先水平，实现了高端化工产品大规模、安全、绿色、高效生产。</w:t>
            </w:r>
          </w:p>
          <w:p w14:paraId="623F2F0C">
            <w:pPr>
              <w:spacing w:before="201" w:after="0" w:line="291" w:lineRule="exact"/>
              <w:ind w:firstLine="420" w:firstLineChars="200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该项目成果已成功应用于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100多套氟化工装置和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80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多套其他化工装置，降低能耗2%以上、物耗1.5%以上、操作人员劳动强度90%以上，提高产品产量2%以上、产品优等率10%以上，近三年累计新增经济效益</w:t>
            </w: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60多</w:t>
            </w:r>
            <w:r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  <w:t>亿，经济和社会效益显著。</w:t>
            </w:r>
          </w:p>
          <w:p w14:paraId="59A96859">
            <w:pPr>
              <w:spacing w:before="201" w:after="0" w:line="291" w:lineRule="exact"/>
              <w:jc w:val="left"/>
              <w:rPr>
                <w:rFonts w:ascii="宋体" w:hAnsi="宋体" w:eastAsia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1"/>
                <w:szCs w:val="21"/>
                <w:lang w:eastAsia="zh-CN"/>
              </w:rPr>
              <w:t>综上，提名该成果为省科学技术进步奖一等奖。</w:t>
            </w:r>
          </w:p>
        </w:tc>
      </w:tr>
    </w:tbl>
    <w:p w14:paraId="6A2A977E">
      <w:pPr>
        <w:spacing w:before="201" w:after="0" w:line="291" w:lineRule="exact"/>
        <w:jc w:val="left"/>
        <w:rPr>
          <w:rFonts w:ascii="宋体" w:hAnsi="宋体" w:eastAsia="宋体"/>
          <w:color w:val="000000"/>
          <w:sz w:val="24"/>
          <w:szCs w:val="24"/>
          <w:lang w:eastAsia="zh-CN"/>
        </w:rPr>
      </w:pPr>
    </w:p>
    <w:sectPr>
      <w:pgSz w:w="11907" w:h="16840"/>
      <w:pgMar w:top="1134" w:right="1134" w:bottom="1134" w:left="1134" w:header="720" w:footer="720" w:gutter="0"/>
      <w:pgNumType w:start="1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C7C59AD5-D4E0-48A3-9C1E-702C02123E64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B1046A97-070E-44BE-A084-C4AA1DC1EA1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0FD50075-E5E2-4581-A7DD-865168CBF37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89629305-C5A2-4CE7-95B1-9C512AF4DB32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BFEA80E1-660B-4CFE-8FA7-44D6A9F7A33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83E6FEED-7A4A-4530-9FB2-8441A38E902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160DFE21-4525-49BE-86DC-D424180446F1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NQAFIU+FZXBSJW--GB1-0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8" w:fontKey="{AF3A42D7-5F64-47EF-B565-3DEF24F248DA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9" w:fontKey="{E163BBD2-69F2-47D6-B34D-C65C7B18150B}"/>
  </w:font>
  <w:font w:name="JCVSTW+FangSong_GB2312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10" w:fontKey="{A97B5A59-9BD2-4D8E-89FE-BA87739DD30F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embedSystemFonts/>
  <w:bordersDoNotSurroundHeader w:val="1"/>
  <w:bordersDoNotSurroundFooter w:val="1"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0B3E14"/>
    <w:rsid w:val="0025007B"/>
    <w:rsid w:val="003A6D55"/>
    <w:rsid w:val="00515AC5"/>
    <w:rsid w:val="0066301B"/>
    <w:rsid w:val="00761AA1"/>
    <w:rsid w:val="00816EE1"/>
    <w:rsid w:val="00826189"/>
    <w:rsid w:val="00862A0F"/>
    <w:rsid w:val="009853A4"/>
    <w:rsid w:val="00B06B85"/>
    <w:rsid w:val="00BA5B2D"/>
    <w:rsid w:val="00D6645E"/>
    <w:rsid w:val="00DD31C3"/>
    <w:rsid w:val="00EC2BDD"/>
    <w:rsid w:val="00EE1B2B"/>
    <w:rsid w:val="00F34F10"/>
    <w:rsid w:val="26373147"/>
    <w:rsid w:val="29C62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iPriority="0" w:name="heading 3"/>
    <w:lsdException w:uiPriority="0" w:name="heading 4"/>
    <w:lsdException w:uiPriority="0" w:name="heading 5"/>
    <w:lsdException w:uiPriority="0" w:name="heading 6"/>
    <w:lsdException w:uiPriority="0" w:name="heading 7"/>
    <w:lsdException w:uiPriority="0" w:name="heading 8"/>
    <w:lsdException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uiPriority="0" w:semiHidden="0" w:name="header"/>
    <w:lsdException w:qFormat="1" w:uiPriority="0" w:semiHidden="0" w:name="footer"/>
    <w:lsdException w:uiPriority="0" w:name="index heading"/>
    <w:lsdException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nhideWhenUsed="0" w:uiPriority="0" w:semiHidden="0" w:name="macro"/>
    <w:lsdException w:uiPriority="0" w:name="toa heading"/>
    <w:lsdException w:uiPriority="0" w:name="List"/>
    <w:lsdException w:unhideWhenUsed="0" w:uiPriority="0" w:semiHidden="0" w:name="List Bullet"/>
    <w:lsdException w:unhideWhenUsed="0" w:uiPriority="0" w:semiHidden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unhideWhenUsed="0" w:uiPriority="0" w:semiHidden="0" w:name="Title"/>
    <w:lsdException w:uiPriority="0" w:name="Closing"/>
    <w:lsdException w:uiPriority="0" w:name="Signature"/>
    <w:lsdException w:uiPriority="1" w:name="Default Paragraph Font"/>
    <w:lsdException w:uiPriority="0" w:name="Body Text"/>
    <w:lsdException w:uiPriority="0" w:name="Body Text Indent"/>
    <w:lsdException w:uiPriority="0" w:name="List Continue"/>
    <w:lsdException w:uiPriority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uiPriority="0" w:name="Hyperlink"/>
    <w:lsdException w:uiPriority="0" w:name="FollowedHyperlink"/>
    <w:lsdException w:unhideWhenUsed="0" w:uiPriority="0" w:semiHidden="0" w:name="Strong"/>
    <w:lsdException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before="120" w:after="240"/>
      <w:jc w:val="both"/>
    </w:pPr>
    <w:rPr>
      <w:rFonts w:asciiTheme="minorHAnsi" w:hAnsiTheme="minorHAnsi" w:eastAsiaTheme="minorEastAsia" w:cstheme="minorBidi"/>
      <w:kern w:val="2"/>
      <w:sz w:val="22"/>
      <w:szCs w:val="22"/>
      <w:lang w:val="en-US" w:eastAsia="en-US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unhideWhenUsed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">
    <w:name w:val="Table Normal"/>
    <w:semiHidden/>
    <w:uiPriority w:val="0"/>
    <w:tblPr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8">
    <w:name w:val="无列表1"/>
    <w:semiHidden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customStyle="1" w:styleId="9">
    <w:name w:val="页眉 字符"/>
    <w:basedOn w:val="6"/>
    <w:link w:val="3"/>
    <w:uiPriority w:val="0"/>
    <w:rPr>
      <w:sz w:val="18"/>
      <w:szCs w:val="18"/>
      <w:lang w:eastAsia="en-US"/>
    </w:rPr>
  </w:style>
  <w:style w:type="character" w:customStyle="1" w:styleId="10">
    <w:name w:val="页脚 字符"/>
    <w:basedOn w:val="6"/>
    <w:link w:val="2"/>
    <w:qFormat/>
    <w:uiPriority w:val="0"/>
    <w:rPr>
      <w:sz w:val="18"/>
      <w:szCs w:val="18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2</Pages>
  <Words>1224</Words>
  <Characters>1661</Characters>
  <Lines>13</Lines>
  <Paragraphs>3</Paragraphs>
  <TotalTime>13</TotalTime>
  <ScaleCrop>false</ScaleCrop>
  <LinksUpToDate>false</LinksUpToDate>
  <CharactersWithSpaces>1899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2025-09-10T10:08:00Z</dcterms:created>
  <dc:creator>ThinkPad</dc:creator>
  <cp:lastModifiedBy>耷君</cp:lastModifiedBy>
  <dcterms:modified xsi:type="dcterms:W3CDTF">2025-09-11T09:13:12Z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698D6989C52C4B5F808E9360FC995322_13</vt:lpwstr>
  </property>
  <property fmtid="{D5CDD505-2E9C-101B-9397-08002B2CF9AE}" pid="4" name="KSOTemplateDocerSaveRecord">
    <vt:lpwstr>eyJoZGlkIjoiYjlkMzgzMzQwY2M5YWZiMDU4NTY0ODRjOGFlYjhlNGUiLCJ1c2VySWQiOiIyMDE3MTUwNjIifQ==</vt:lpwstr>
  </property>
</Properties>
</file>