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AAFD43">
      <w:pPr>
        <w:pStyle w:val="6"/>
        <w:widowControl/>
        <w:shd w:val="clear" w:color="auto" w:fill="FFFFFF"/>
        <w:spacing w:beforeAutospacing="0" w:afterAutospacing="0" w:line="500" w:lineRule="exact"/>
        <w:ind w:firstLine="560" w:firstLineChars="200"/>
        <w:jc w:val="right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</w:pPr>
    </w:p>
    <w:p w14:paraId="0515485A">
      <w:pPr>
        <w:pStyle w:val="6"/>
        <w:widowControl/>
        <w:shd w:val="clear" w:color="auto" w:fill="FFFFFF"/>
        <w:spacing w:beforeAutospacing="0" w:afterAutospacing="0" w:line="500" w:lineRule="exact"/>
        <w:ind w:firstLine="560" w:firstLineChars="200"/>
        <w:jc w:val="right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</w:pPr>
    </w:p>
    <w:p w14:paraId="5025E4B9">
      <w:pPr>
        <w:jc w:val="center"/>
        <w:rPr>
          <w:rStyle w:val="11"/>
          <w:rFonts w:hint="eastAsia" w:asciiTheme="minorEastAsia" w:hAnsiTheme="minorEastAsia" w:eastAsiaTheme="minorEastAsia" w:cstheme="minorEastAsia"/>
          <w:bCs w:val="0"/>
          <w:color w:val="auto"/>
          <w:sz w:val="36"/>
          <w:szCs w:val="36"/>
        </w:rPr>
      </w:pPr>
      <w:r>
        <w:rPr>
          <w:rStyle w:val="11"/>
          <w:rFonts w:hint="eastAsia" w:asciiTheme="minorEastAsia" w:hAnsiTheme="minorEastAsia" w:eastAsiaTheme="minorEastAsia" w:cstheme="minorEastAsia"/>
          <w:color w:val="auto"/>
          <w:sz w:val="36"/>
          <w:szCs w:val="36"/>
        </w:rPr>
        <w:t>浙江省科学技术奖公示信息表</w:t>
      </w:r>
      <w:r>
        <w:rPr>
          <w:rStyle w:val="11"/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（单位提名）</w:t>
      </w:r>
    </w:p>
    <w:p w14:paraId="29D42B65">
      <w:pPr>
        <w:spacing w:line="440" w:lineRule="exact"/>
        <w:rPr>
          <w:rFonts w:hint="eastAsia" w:asciiTheme="minorEastAsia" w:hAnsiTheme="minorEastAsia" w:eastAsiaTheme="minorEastAsia" w:cstheme="minorEastAsia"/>
          <w:sz w:val="28"/>
          <w:szCs w:val="24"/>
        </w:rPr>
      </w:pPr>
      <w:r>
        <w:rPr>
          <w:rFonts w:hint="eastAsia" w:asciiTheme="minorEastAsia" w:hAnsiTheme="minorEastAsia" w:eastAsiaTheme="minorEastAsia" w:cstheme="minorEastAsia"/>
          <w:sz w:val="28"/>
          <w:szCs w:val="24"/>
        </w:rPr>
        <w:t>提名奖项：科学技术进步奖</w:t>
      </w:r>
    </w:p>
    <w:tbl>
      <w:tblPr>
        <w:tblStyle w:val="7"/>
        <w:tblW w:w="8767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7300"/>
      </w:tblGrid>
      <w:tr w14:paraId="66CE2B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467" w:type="dxa"/>
            <w:vAlign w:val="center"/>
          </w:tcPr>
          <w:p w14:paraId="182CB716">
            <w:pPr>
              <w:jc w:val="center"/>
              <w:rPr>
                <w:rStyle w:val="11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</w:rPr>
            </w:pPr>
            <w:r>
              <w:rPr>
                <w:rStyle w:val="11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</w:rPr>
              <w:t>成果名称</w:t>
            </w:r>
          </w:p>
        </w:tc>
        <w:tc>
          <w:tcPr>
            <w:tcW w:w="7300" w:type="dxa"/>
            <w:vAlign w:val="center"/>
          </w:tcPr>
          <w:p w14:paraId="21D07114">
            <w:pPr>
              <w:jc w:val="center"/>
              <w:rPr>
                <w:rStyle w:val="11"/>
                <w:rFonts w:hint="eastAsia" w:asciiTheme="minorEastAsia" w:hAnsiTheme="minorEastAsia" w:eastAsiaTheme="minorEastAsia" w:cstheme="minorEastAsia"/>
                <w:b w:val="0"/>
                <w:color w:val="auto"/>
                <w:sz w:val="24"/>
                <w:szCs w:val="24"/>
              </w:rPr>
            </w:pPr>
            <w:bookmarkStart w:id="0" w:name="_GoBack"/>
            <w:r>
              <w:rPr>
                <w:rStyle w:val="11"/>
                <w:rFonts w:hint="eastAsia" w:asciiTheme="minorEastAsia" w:hAnsiTheme="minorEastAsia" w:eastAsiaTheme="minorEastAsia" w:cstheme="minorEastAsia"/>
                <w:b w:val="0"/>
                <w:color w:val="auto"/>
                <w:sz w:val="24"/>
                <w:szCs w:val="24"/>
              </w:rPr>
              <w:t>高品质低功耗智慧照明系统关键技术及应用</w:t>
            </w:r>
            <w:bookmarkEnd w:id="0"/>
          </w:p>
        </w:tc>
      </w:tr>
      <w:tr w14:paraId="3CC5B2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67" w:type="dxa"/>
            <w:vAlign w:val="center"/>
          </w:tcPr>
          <w:p w14:paraId="350C6748">
            <w:pPr>
              <w:jc w:val="center"/>
              <w:rPr>
                <w:rStyle w:val="11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</w:rPr>
            </w:pPr>
            <w:r>
              <w:rPr>
                <w:rStyle w:val="11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</w:rPr>
              <w:t>提名等级</w:t>
            </w:r>
          </w:p>
        </w:tc>
        <w:tc>
          <w:tcPr>
            <w:tcW w:w="7300" w:type="dxa"/>
            <w:vAlign w:val="center"/>
          </w:tcPr>
          <w:p w14:paraId="49977723">
            <w:pPr>
              <w:jc w:val="center"/>
              <w:rPr>
                <w:rStyle w:val="11"/>
                <w:rFonts w:hint="eastAsia" w:asciiTheme="minorEastAsia" w:hAnsiTheme="minorEastAsia" w:eastAsiaTheme="minorEastAsia" w:cstheme="minorEastAsia"/>
                <w:b w:val="0"/>
                <w:color w:val="auto"/>
                <w:sz w:val="24"/>
                <w:szCs w:val="24"/>
              </w:rPr>
            </w:pPr>
            <w:r>
              <w:rPr>
                <w:rStyle w:val="11"/>
                <w:rFonts w:hint="eastAsia" w:asciiTheme="minorEastAsia" w:hAnsiTheme="minorEastAsia" w:eastAsiaTheme="minorEastAsia" w:cstheme="minorEastAsia"/>
                <w:b w:val="0"/>
                <w:color w:val="auto"/>
                <w:sz w:val="24"/>
                <w:szCs w:val="24"/>
                <w:highlight w:val="none"/>
              </w:rPr>
              <w:t>二等奖</w:t>
            </w:r>
          </w:p>
        </w:tc>
      </w:tr>
      <w:tr w14:paraId="4DBCAD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467" w:type="dxa"/>
            <w:vAlign w:val="center"/>
          </w:tcPr>
          <w:p w14:paraId="614FD927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提名书</w:t>
            </w:r>
          </w:p>
          <w:p w14:paraId="107BFB78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相关内容</w:t>
            </w:r>
          </w:p>
          <w:p w14:paraId="2D7F0248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（附表）</w:t>
            </w:r>
          </w:p>
        </w:tc>
        <w:tc>
          <w:tcPr>
            <w:tcW w:w="7300" w:type="dxa"/>
            <w:vAlign w:val="center"/>
          </w:tcPr>
          <w:p w14:paraId="7152B6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1、主要知识产权和标准规范目录：</w:t>
            </w:r>
          </w:p>
          <w:p w14:paraId="711E08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（1）发明专利：一种基于亮度优先的多通道智能精准混色调光方法，发明人：</w:t>
            </w:r>
            <w:r>
              <w:rPr>
                <w:rFonts w:hint="eastAsia" w:asciiTheme="minorEastAsia" w:hAnsiTheme="minorEastAsia" w:eastAsiaTheme="minorEastAsia" w:cstheme="minorEastAsia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</w:rPr>
              <w:instrText xml:space="preserve"> HYPERLINK "https://www.innojoy.com/searchresult/default.html" </w:instrText>
            </w:r>
            <w:r>
              <w:rPr>
                <w:rFonts w:hint="eastAsia" w:asciiTheme="minorEastAsia" w:hAnsiTheme="minorEastAsia" w:eastAsiaTheme="minorEastAsia" w:cstheme="minorEastAsia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王忠泉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</w:rPr>
              <w:instrText xml:space="preserve"> HYPERLINK "https://www.innojoy.com/searchresult/default.html" </w:instrText>
            </w:r>
            <w:r>
              <w:rPr>
                <w:rFonts w:hint="eastAsia" w:asciiTheme="minorEastAsia" w:hAnsiTheme="minorEastAsia" w:eastAsiaTheme="minorEastAsia" w:cstheme="minorEastAsia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伍华荣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，发明专利号：ZL202010775560.X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；</w:t>
            </w:r>
          </w:p>
          <w:p w14:paraId="2D1F27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（2）发明专利：调光灯色彩不偏移控制方法及其应用，发明人：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instrText xml:space="preserve"> HYPERLINK "https://www.innojoy.com/searchresult/default.html" </w:instrTex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王忠泉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蓝抱年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，发明专利号：ZL202211231112.9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；</w:t>
            </w:r>
          </w:p>
          <w:p w14:paraId="4C793F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（3）发明专利：LED灯具主波长和纯度的测量方法、装置及电子设备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发明人：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王忠泉、伍华荣、汪文龙、彭解红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涂浩，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发明专利号：ZL202110213340.2；</w:t>
            </w:r>
          </w:p>
          <w:p w14:paraId="68BBC7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）发明专利：恒亮度恒功率调色控制方法和灯具，发明人：王忠泉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蓝抱年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,发明专利号：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ZL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202311578787.5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；</w:t>
            </w:r>
          </w:p>
          <w:p w14:paraId="25B133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）发明专利：一种智能照明系统可靠性评测方法，发明人：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instrText xml:space="preserve"> HYPERLINK "https://www.innojoy.com/searchresult/default.html" </w:instrTex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王忠泉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，发明专利号：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ZL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201911291201.0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；</w:t>
            </w:r>
          </w:p>
          <w:p w14:paraId="20E5F0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）一种智慧灯杆的物联网通讯数据处理方法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发明人：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王忠泉、刘剑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钟淑贞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发明专利号：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ZL202011144749.5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；</w:t>
            </w:r>
          </w:p>
          <w:p w14:paraId="512953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</w:rPr>
              <w:t>）计算机软件著作权：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智慧云控软件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</w:rPr>
              <w:t>[简称：iRo]V2.0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发明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</w:rPr>
              <w:t>人：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王忠泉、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</w:rPr>
              <w:t>马成英、刘剑、陈彪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钟淑贞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</w:rPr>
              <w:t>,登记号：2024SR1042206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。</w:t>
            </w:r>
          </w:p>
          <w:p w14:paraId="0E006B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2、代表性论文专著目录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：</w:t>
            </w:r>
          </w:p>
          <w:p w14:paraId="60A852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</w:rPr>
              <w:t>（1）Biao Chen* (陈彪）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</w:rPr>
              <w:t>Combination of FSO and RF channels by using Ethernet link aggregation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</w:rPr>
              <w:t>Engineering Reports,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</w:rPr>
              <w:t>2023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(12)e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</w:rPr>
              <w:t>12691</w:t>
            </w:r>
          </w:p>
          <w:p w14:paraId="79EE4D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</w:rPr>
              <w:t>（2）Zhou Qirui, Liu Hongyan, Ma Jun, Lu Yang, and Chen Biao* (陈彪), A smooth evolution scheme to remodulated WDM-PON based on PolSK-ASK orthogonal modulation, Microwave and Optical Technology Letters, 2014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</w:rPr>
              <w:t>56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eastAsia="zh-CN"/>
              </w:rPr>
              <w:t>）：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</w:rPr>
              <w:t>2598-2601</w:t>
            </w:r>
          </w:p>
          <w:p w14:paraId="7350C4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（3）马成英,叶名辰,潘玉琴等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基于XML的异构数据信息交换技术分析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电子技术,2024,53(02):44-45</w:t>
            </w:r>
          </w:p>
        </w:tc>
      </w:tr>
      <w:tr w14:paraId="091ED6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1467" w:type="dxa"/>
            <w:tcBorders>
              <w:right w:val="single" w:color="auto" w:sz="4" w:space="0"/>
            </w:tcBorders>
            <w:vAlign w:val="center"/>
          </w:tcPr>
          <w:p w14:paraId="01A58496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4"/>
              </w:rPr>
              <w:t>主要完成人</w:t>
            </w:r>
          </w:p>
        </w:tc>
        <w:tc>
          <w:tcPr>
            <w:tcW w:w="7300" w:type="dxa"/>
            <w:tcBorders>
              <w:left w:val="single" w:color="auto" w:sz="4" w:space="0"/>
            </w:tcBorders>
            <w:vAlign w:val="center"/>
          </w:tcPr>
          <w:p w14:paraId="0FA901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  <w:t>王忠泉，排名1，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  <w:t>一级照明设计师，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  <w:t>杭州罗莱迪思科技股份有限公司</w:t>
            </w:r>
          </w:p>
          <w:p w14:paraId="5F53FB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  <w:t>陈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  <w:t>彪，排名2，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  <w:t>副教授，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  <w:t>浙江大学</w:t>
            </w:r>
          </w:p>
          <w:p w14:paraId="298958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  <w:t>马成英，排名3，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  <w:t>高级工程师，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  <w:t>浙江大学</w:t>
            </w:r>
          </w:p>
          <w:p w14:paraId="1EF1B9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  <w:t>刘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  <w:t>剑，排名4，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  <w:t>高级工程师，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  <w:t>杭州罗莱迪思科技股份有限公司</w:t>
            </w:r>
          </w:p>
          <w:p w14:paraId="051940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  <w:t>钟淑贞，排名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  <w:t>工程师，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  <w:t>杭州罗莱迪思科技股份有限公司</w:t>
            </w:r>
          </w:p>
          <w:p w14:paraId="7180DB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  <w:t>许玛丽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  <w:t>，排名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  <w:t>无，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  <w:t>杭州罗莱迪思科技股份有限公司</w:t>
            </w:r>
          </w:p>
          <w:p w14:paraId="7D53E1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  <w:t>蓝抱年，排名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  <w:t>工程师，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  <w:t>杭州罗莱迪思科技股份有限公司</w:t>
            </w:r>
          </w:p>
          <w:p w14:paraId="77298D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  <w:t>叶名辰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  <w:t>，排名8，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  <w:t>无，浙江大学</w:t>
            </w:r>
          </w:p>
          <w:p w14:paraId="513BDE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  <w:t>阮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  <w:t>桥，排名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  <w:t>工程师，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  <w:t>杭州罗莱迪思科技股份有限公司</w:t>
            </w:r>
          </w:p>
        </w:tc>
      </w:tr>
      <w:tr w14:paraId="542571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467" w:type="dxa"/>
            <w:tcBorders>
              <w:right w:val="single" w:color="auto" w:sz="4" w:space="0"/>
            </w:tcBorders>
            <w:vAlign w:val="center"/>
          </w:tcPr>
          <w:p w14:paraId="01F0D425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4"/>
              </w:rPr>
              <w:t>主要完成单位</w:t>
            </w:r>
          </w:p>
        </w:tc>
        <w:tc>
          <w:tcPr>
            <w:tcW w:w="7300" w:type="dxa"/>
            <w:tcBorders>
              <w:left w:val="single" w:color="auto" w:sz="4" w:space="0"/>
            </w:tcBorders>
            <w:vAlign w:val="center"/>
          </w:tcPr>
          <w:p w14:paraId="334F7E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1.单位名称：杭州罗莱迪思科技股份有限公司</w:t>
            </w:r>
          </w:p>
          <w:p w14:paraId="6DCD8B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2.单位名称：浙江大学</w:t>
            </w:r>
          </w:p>
        </w:tc>
      </w:tr>
      <w:tr w14:paraId="04B38F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467" w:type="dxa"/>
            <w:vAlign w:val="center"/>
          </w:tcPr>
          <w:p w14:paraId="4E2125B1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4"/>
              </w:rPr>
              <w:t>提名单位</w:t>
            </w:r>
          </w:p>
        </w:tc>
        <w:tc>
          <w:tcPr>
            <w:tcW w:w="7300" w:type="dxa"/>
            <w:vAlign w:val="center"/>
          </w:tcPr>
          <w:p w14:paraId="38058A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contextualSpacing/>
              <w:jc w:val="both"/>
              <w:textAlignment w:val="auto"/>
              <w:rPr>
                <w:rStyle w:val="11"/>
                <w:rFonts w:hint="eastAsia" w:asciiTheme="minorEastAsia" w:hAnsiTheme="minorEastAsia" w:eastAsiaTheme="minorEastAsia" w:cstheme="minorEastAsia"/>
                <w:b w:val="0"/>
                <w:color w:val="auto"/>
                <w:lang w:val="en-US" w:eastAsia="zh-CN"/>
              </w:rPr>
            </w:pPr>
            <w:r>
              <w:rPr>
                <w:rStyle w:val="11"/>
                <w:rFonts w:hint="eastAsia" w:asciiTheme="minorEastAsia" w:hAnsiTheme="minorEastAsia" w:eastAsiaTheme="minorEastAsia" w:cstheme="minorEastAsia"/>
                <w:b w:val="0"/>
                <w:color w:val="auto"/>
                <w:lang w:val="en-US" w:eastAsia="zh-CN"/>
              </w:rPr>
              <w:t>杭州市人民政府</w:t>
            </w:r>
          </w:p>
        </w:tc>
      </w:tr>
      <w:tr w14:paraId="30EBE6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3" w:hRule="atLeast"/>
        </w:trPr>
        <w:tc>
          <w:tcPr>
            <w:tcW w:w="1467" w:type="dxa"/>
            <w:vAlign w:val="center"/>
          </w:tcPr>
          <w:p w14:paraId="5D4CECE7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4"/>
              </w:rPr>
              <w:t>提名意见</w:t>
            </w:r>
          </w:p>
        </w:tc>
        <w:tc>
          <w:tcPr>
            <w:tcW w:w="7300" w:type="dxa"/>
            <w:vAlign w:val="center"/>
          </w:tcPr>
          <w:p w14:paraId="50B55594">
            <w:pPr>
              <w:ind w:firstLine="488" w:firstLineChars="200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2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2"/>
                <w:sz w:val="24"/>
                <w:szCs w:val="24"/>
                <w:highlight w:val="none"/>
              </w:rPr>
              <w:t>照明系统是城市基础建设的重要组成部分，‌对城市的交通安全、‌社会治安及‌人民生活等方面发挥重要作用，是城市中密度最大、数量最多的市政设施。我国半导体照明整体上仍处于行业发展的初级阶段，科技基础与发达国家相比差距很大，行业内普遍存在混光不均匀、能源消耗较大、安全可靠性差等严峻问题。</w:t>
            </w:r>
          </w:p>
          <w:p w14:paraId="32045574">
            <w:pPr>
              <w:ind w:firstLine="488" w:firstLineChars="200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2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2"/>
                <w:sz w:val="24"/>
                <w:szCs w:val="24"/>
                <w:highlight w:val="none"/>
              </w:rPr>
              <w:t>罗莱迪思与浙江大学在国家、省部级多个项目支持下，经过十余年攻关，突破智慧照明大规模产业化应用的多项技术瓶颈。项目国内外首次提出亮度优先的多通道智能精准混色调光方法，自主研发多通道协同架构自适应智慧照明系统，创新构建大规模照明系统安全可靠性评价标准体系。研制的LED光源显色指数（Ra）大于90，色容差（SDCM）小于5，功率因数0.95，智慧照明系统终端接入数500万+，相关技术经鉴定达国际先进水平。</w:t>
            </w:r>
          </w:p>
          <w:p w14:paraId="37ACFCC1">
            <w:pPr>
              <w:ind w:firstLine="488" w:firstLineChars="200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2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2"/>
                <w:sz w:val="24"/>
                <w:szCs w:val="24"/>
                <w:highlight w:val="none"/>
              </w:rPr>
              <w:t>累计授权发明32项、发表论文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2"/>
                <w:sz w:val="24"/>
                <w:szCs w:val="24"/>
                <w:highlight w:val="none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2"/>
                <w:sz w:val="24"/>
                <w:szCs w:val="24"/>
                <w:highlight w:val="none"/>
              </w:rPr>
              <w:t>篇、其他知识产权126项，形成整套具有自主知识产权的核心技术体系。相关成果已成功应用于中国空间站、美国波特兰市政厅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2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2"/>
                <w:sz w:val="24"/>
                <w:szCs w:val="24"/>
                <w:highlight w:val="none"/>
              </w:rPr>
              <w:t>意大利米兰世博会、北京冬奥会、中国G20峰会、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2"/>
                <w:sz w:val="24"/>
                <w:szCs w:val="24"/>
                <w:highlight w:val="none"/>
                <w:lang w:val="en-US" w:eastAsia="zh-CN"/>
              </w:rPr>
              <w:t>杭州亚运会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2"/>
                <w:sz w:val="24"/>
                <w:szCs w:val="24"/>
                <w:highlight w:val="none"/>
              </w:rPr>
              <w:t>等国内外重要场景中；获德国红点奖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2"/>
                <w:sz w:val="24"/>
                <w:szCs w:val="24"/>
                <w:highlight w:val="none"/>
                <w:lang w:val="en-US" w:eastAsia="zh-CN"/>
              </w:rPr>
              <w:t>、IF奖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2"/>
                <w:sz w:val="24"/>
                <w:szCs w:val="24"/>
                <w:highlight w:val="none"/>
              </w:rPr>
              <w:t>、华夏建设科学技术奖、中照照明奖、浙江省首台（套）装备等各级奖励荣誉三十余项；近三年累计经济效益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2"/>
                <w:sz w:val="24"/>
                <w:szCs w:val="24"/>
                <w:highlight w:val="none"/>
                <w:lang w:val="en-US" w:eastAsia="zh-CN"/>
              </w:rPr>
              <w:t>逾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2"/>
                <w:sz w:val="24"/>
                <w:szCs w:val="24"/>
                <w:highlight w:val="none"/>
              </w:rPr>
              <w:t>10亿元，助力公司获评国家专精特新小巨人企业、成功上榜准独角兽企业。</w:t>
            </w:r>
          </w:p>
          <w:p w14:paraId="0A902F08">
            <w:pPr>
              <w:ind w:firstLine="488" w:firstLineChars="200"/>
              <w:rPr>
                <w:rStyle w:val="11"/>
                <w:rFonts w:hint="eastAsia" w:asciiTheme="minorEastAsia" w:hAnsiTheme="minorEastAsia" w:eastAsiaTheme="minorEastAsia" w:cstheme="minorEastAsia"/>
                <w:b w:val="0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2"/>
                <w:sz w:val="24"/>
                <w:szCs w:val="24"/>
                <w:highlight w:val="none"/>
              </w:rPr>
              <w:t>该项目技术难度大、创新性强，对深入实施国家“碳达峰碳中和”发展战略、推进照明行业技术进步和能源产业结构优化意义重大。</w:t>
            </w:r>
          </w:p>
        </w:tc>
      </w:tr>
    </w:tbl>
    <w:p w14:paraId="503B2703">
      <w:pPr>
        <w:rPr>
          <w:rFonts w:hint="eastAsia" w:asciiTheme="minorEastAsia" w:hAnsiTheme="minorEastAsia" w:eastAsiaTheme="minorEastAsia" w:cstheme="minorEastAsia"/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4OWI5ZWMwMmNiY2M5ZTUyZWIwNTQ1MTU4YjRhMmQifQ=="/>
  </w:docVars>
  <w:rsids>
    <w:rsidRoot w:val="007A378A"/>
    <w:rsid w:val="00133845"/>
    <w:rsid w:val="00316B75"/>
    <w:rsid w:val="003329D8"/>
    <w:rsid w:val="004732D7"/>
    <w:rsid w:val="004D3794"/>
    <w:rsid w:val="005956FF"/>
    <w:rsid w:val="005D0FFE"/>
    <w:rsid w:val="00653BB3"/>
    <w:rsid w:val="006F5625"/>
    <w:rsid w:val="007403F6"/>
    <w:rsid w:val="007A378A"/>
    <w:rsid w:val="00821DF8"/>
    <w:rsid w:val="00831FDD"/>
    <w:rsid w:val="00860C71"/>
    <w:rsid w:val="008878D4"/>
    <w:rsid w:val="008B76F6"/>
    <w:rsid w:val="008F027B"/>
    <w:rsid w:val="00904D43"/>
    <w:rsid w:val="00910337"/>
    <w:rsid w:val="009A6469"/>
    <w:rsid w:val="00A2366E"/>
    <w:rsid w:val="00B272D7"/>
    <w:rsid w:val="00C03F73"/>
    <w:rsid w:val="00CC64D3"/>
    <w:rsid w:val="00ED121B"/>
    <w:rsid w:val="011D7549"/>
    <w:rsid w:val="023D0B8F"/>
    <w:rsid w:val="0668166F"/>
    <w:rsid w:val="0A6E7881"/>
    <w:rsid w:val="0D8E04F1"/>
    <w:rsid w:val="0E337741"/>
    <w:rsid w:val="14D752FC"/>
    <w:rsid w:val="16F201AD"/>
    <w:rsid w:val="1758223C"/>
    <w:rsid w:val="18F03E0E"/>
    <w:rsid w:val="1CE465EA"/>
    <w:rsid w:val="20430D10"/>
    <w:rsid w:val="204333BD"/>
    <w:rsid w:val="20F63F8C"/>
    <w:rsid w:val="257162D7"/>
    <w:rsid w:val="2C9A359E"/>
    <w:rsid w:val="36A944CF"/>
    <w:rsid w:val="391F1686"/>
    <w:rsid w:val="39205BF2"/>
    <w:rsid w:val="3BAC5E63"/>
    <w:rsid w:val="3DA43295"/>
    <w:rsid w:val="3EE15E23"/>
    <w:rsid w:val="42C84132"/>
    <w:rsid w:val="45150461"/>
    <w:rsid w:val="467B6B5D"/>
    <w:rsid w:val="48BB1A0F"/>
    <w:rsid w:val="49811327"/>
    <w:rsid w:val="4B38501D"/>
    <w:rsid w:val="4CAE5FAC"/>
    <w:rsid w:val="55083122"/>
    <w:rsid w:val="567C4958"/>
    <w:rsid w:val="568C010D"/>
    <w:rsid w:val="581A4428"/>
    <w:rsid w:val="5ADD42F5"/>
    <w:rsid w:val="5BD7618C"/>
    <w:rsid w:val="5DA36C6E"/>
    <w:rsid w:val="5E410F63"/>
    <w:rsid w:val="5E7F7ED1"/>
    <w:rsid w:val="62A32B16"/>
    <w:rsid w:val="62BE39F8"/>
    <w:rsid w:val="64370594"/>
    <w:rsid w:val="652341F0"/>
    <w:rsid w:val="66A1664E"/>
    <w:rsid w:val="69503AC5"/>
    <w:rsid w:val="6BBF2EC5"/>
    <w:rsid w:val="6E1374F8"/>
    <w:rsid w:val="6E8757F0"/>
    <w:rsid w:val="7218518E"/>
    <w:rsid w:val="72C54B39"/>
    <w:rsid w:val="740A314B"/>
    <w:rsid w:val="741713C4"/>
    <w:rsid w:val="74D726C9"/>
    <w:rsid w:val="755D54FC"/>
    <w:rsid w:val="756E6870"/>
    <w:rsid w:val="75CD61DE"/>
    <w:rsid w:val="7B82452D"/>
    <w:rsid w:val="7B8C77D9"/>
    <w:rsid w:val="7FD5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2"/>
    <w:unhideWhenUsed/>
    <w:qFormat/>
    <w:uiPriority w:val="99"/>
    <w:pPr>
      <w:widowControl/>
      <w:jc w:val="left"/>
    </w:p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标题 1 字符"/>
    <w:basedOn w:val="8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1">
    <w:name w:val="title1"/>
    <w:qFormat/>
    <w:uiPriority w:val="0"/>
    <w:rPr>
      <w:b/>
      <w:bCs/>
      <w:color w:val="999900"/>
      <w:sz w:val="24"/>
      <w:szCs w:val="24"/>
    </w:rPr>
  </w:style>
  <w:style w:type="character" w:customStyle="1" w:styleId="12">
    <w:name w:val="批注文字 字符"/>
    <w:basedOn w:val="8"/>
    <w:link w:val="3"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3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ivu-badg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1716</Words>
  <Characters>2129</Characters>
  <Lines>9</Lines>
  <Paragraphs>2</Paragraphs>
  <TotalTime>1</TotalTime>
  <ScaleCrop>false</ScaleCrop>
  <LinksUpToDate>false</LinksUpToDate>
  <CharactersWithSpaces>2241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2024-08-08T07:13:00Z</dcterms:created>
  <dc:creator>ZJU</dc:creator>
  <cp:lastModifiedBy>Dell</cp:lastModifiedBy>
  <dcterms:modified xsi:type="dcterms:W3CDTF">2025-09-10T09:24:58Z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90439A6D9A834670B7295CAFE38E34D6_13</vt:lpwstr>
  </property>
  <property fmtid="{D5CDD505-2E9C-101B-9397-08002B2CF9AE}" pid="4" name="KSOTemplateDocerSaveRecord">
    <vt:lpwstr>eyJoZGlkIjoiMzA1N2FkYjAwMjEzMzYyZGM5Mjc5MzliZjJiMGU4N2QifQ==</vt:lpwstr>
  </property>
</Properties>
</file>