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E3D568">
      <w:pPr>
        <w:jc w:val="center"/>
        <w:rPr>
          <w:rStyle w:val="38"/>
          <w:rFonts w:eastAsia="方正小标宋简体"/>
          <w:bCs w:val="0"/>
          <w:color w:val="auto"/>
          <w:sz w:val="36"/>
          <w:szCs w:val="36"/>
        </w:rPr>
      </w:pPr>
      <w:r>
        <w:rPr>
          <w:rStyle w:val="38"/>
          <w:rFonts w:eastAsia="方正小标宋简体"/>
          <w:b w:val="0"/>
          <w:color w:val="auto"/>
          <w:sz w:val="36"/>
          <w:szCs w:val="36"/>
        </w:rPr>
        <w:t>浙江省科学技术奖公示信息表</w:t>
      </w:r>
    </w:p>
    <w:p w14:paraId="0E4D8115">
      <w:pPr>
        <w:spacing w:line="440" w:lineRule="exact"/>
        <w:rPr>
          <w:rFonts w:ascii="仿宋_GB2312" w:eastAsia="仿宋_GB2312"/>
          <w:sz w:val="24"/>
          <w:szCs w:val="24"/>
        </w:rPr>
      </w:pPr>
      <w:r>
        <w:rPr>
          <w:rFonts w:hint="eastAsia" w:eastAsia="仿宋_GB2312"/>
          <w:sz w:val="24"/>
          <w:szCs w:val="22"/>
        </w:rPr>
        <w:t>提名奖</w:t>
      </w:r>
      <w:r>
        <w:rPr>
          <w:rFonts w:hint="eastAsia" w:ascii="仿宋_GB2312" w:eastAsia="仿宋_GB2312"/>
          <w:sz w:val="24"/>
          <w:szCs w:val="24"/>
        </w:rPr>
        <w:t>项：科学技术</w:t>
      </w:r>
      <w:r>
        <w:rPr>
          <w:rFonts w:hint="eastAsia" w:ascii="仿宋_GB2312" w:eastAsia="仿宋_GB2312"/>
          <w:sz w:val="24"/>
          <w:szCs w:val="24"/>
          <w:lang w:val="en-US" w:eastAsia="zh-CN"/>
        </w:rPr>
        <w:t>发明</w:t>
      </w:r>
      <w:r>
        <w:rPr>
          <w:rFonts w:hint="eastAsia" w:ascii="仿宋_GB2312" w:eastAsia="仿宋_GB2312"/>
          <w:sz w:val="24"/>
          <w:szCs w:val="24"/>
        </w:rPr>
        <w:t>奖</w:t>
      </w:r>
    </w:p>
    <w:tbl>
      <w:tblPr>
        <w:tblStyle w:val="17"/>
        <w:tblW w:w="850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58"/>
        <w:gridCol w:w="7148"/>
      </w:tblGrid>
      <w:tr w14:paraId="38B74F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4" w:hRule="atLeast"/>
          <w:jc w:val="center"/>
        </w:trPr>
        <w:tc>
          <w:tcPr>
            <w:tcW w:w="1358" w:type="dxa"/>
            <w:vAlign w:val="center"/>
          </w:tcPr>
          <w:p w14:paraId="122B4683">
            <w:pPr>
              <w:contextualSpacing/>
              <w:jc w:val="center"/>
              <w:rPr>
                <w:rStyle w:val="38"/>
                <w:rFonts w:ascii="黑体" w:hAnsi="黑体" w:eastAsia="黑体"/>
                <w:b w:val="0"/>
                <w:color w:val="auto"/>
              </w:rPr>
            </w:pPr>
            <w:r>
              <w:rPr>
                <w:rStyle w:val="38"/>
                <w:rFonts w:ascii="黑体" w:hAnsi="黑体" w:eastAsia="黑体"/>
                <w:b w:val="0"/>
                <w:bCs w:val="0"/>
                <w:color w:val="auto"/>
              </w:rPr>
              <w:t>成果名称</w:t>
            </w:r>
          </w:p>
        </w:tc>
        <w:tc>
          <w:tcPr>
            <w:tcW w:w="7148" w:type="dxa"/>
            <w:vAlign w:val="center"/>
          </w:tcPr>
          <w:p w14:paraId="2EC2A256">
            <w:pPr>
              <w:contextualSpacing/>
              <w:jc w:val="center"/>
              <w:rPr>
                <w:rStyle w:val="38"/>
                <w:rFonts w:eastAsia="仿宋_GB2312"/>
                <w:b w:val="0"/>
                <w:color w:val="auto"/>
              </w:rPr>
            </w:pPr>
            <w:r>
              <w:rPr>
                <w:rStyle w:val="38"/>
                <w:rFonts w:hint="eastAsia" w:eastAsia="仿宋_GB2312"/>
                <w:b w:val="0"/>
                <w:color w:val="auto"/>
                <w:lang w:val="en-US" w:eastAsia="zh-CN"/>
              </w:rPr>
              <w:t>复杂敏感环境下绿色非挤土植入预制桩技术与应用</w:t>
            </w:r>
          </w:p>
        </w:tc>
      </w:tr>
      <w:tr w14:paraId="3453EA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4" w:hRule="atLeast"/>
          <w:jc w:val="center"/>
        </w:trPr>
        <w:tc>
          <w:tcPr>
            <w:tcW w:w="1358" w:type="dxa"/>
            <w:vAlign w:val="center"/>
          </w:tcPr>
          <w:p w14:paraId="72E49764">
            <w:pPr>
              <w:contextualSpacing/>
              <w:jc w:val="center"/>
              <w:rPr>
                <w:rStyle w:val="38"/>
                <w:rFonts w:ascii="黑体" w:hAnsi="黑体" w:eastAsia="黑体"/>
                <w:b w:val="0"/>
                <w:color w:val="auto"/>
              </w:rPr>
            </w:pPr>
            <w:r>
              <w:rPr>
                <w:rStyle w:val="38"/>
                <w:rFonts w:ascii="黑体" w:hAnsi="黑体" w:eastAsia="黑体"/>
                <w:b w:val="0"/>
                <w:bCs w:val="0"/>
                <w:color w:val="auto"/>
              </w:rPr>
              <w:t>提名等级</w:t>
            </w:r>
          </w:p>
        </w:tc>
        <w:tc>
          <w:tcPr>
            <w:tcW w:w="7148" w:type="dxa"/>
            <w:vAlign w:val="center"/>
          </w:tcPr>
          <w:p w14:paraId="768E039B">
            <w:pPr>
              <w:tabs>
                <w:tab w:val="left" w:pos="2138"/>
              </w:tabs>
              <w:contextualSpacing/>
              <w:jc w:val="center"/>
              <w:rPr>
                <w:rStyle w:val="38"/>
                <w:rFonts w:eastAsia="仿宋_GB2312"/>
                <w:b w:val="0"/>
                <w:color w:val="auto"/>
              </w:rPr>
            </w:pPr>
            <w:r>
              <w:rPr>
                <w:rStyle w:val="38"/>
                <w:rFonts w:hint="eastAsia" w:eastAsia="仿宋_GB2312"/>
                <w:b w:val="0"/>
                <w:color w:val="auto"/>
                <w:lang w:val="en-US" w:eastAsia="zh-CN"/>
              </w:rPr>
              <w:t>一</w:t>
            </w:r>
            <w:r>
              <w:rPr>
                <w:rStyle w:val="38"/>
                <w:rFonts w:eastAsia="仿宋_GB2312"/>
                <w:b w:val="0"/>
                <w:color w:val="auto"/>
              </w:rPr>
              <w:t>等奖</w:t>
            </w:r>
          </w:p>
        </w:tc>
      </w:tr>
      <w:tr w14:paraId="3C3D57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69" w:hRule="atLeast"/>
          <w:jc w:val="center"/>
        </w:trPr>
        <w:tc>
          <w:tcPr>
            <w:tcW w:w="1358" w:type="dxa"/>
            <w:vAlign w:val="center"/>
          </w:tcPr>
          <w:p w14:paraId="4051BBF6">
            <w:pPr>
              <w:contextualSpacing/>
              <w:jc w:val="center"/>
              <w:rPr>
                <w:rFonts w:ascii="黑体" w:hAnsi="黑体" w:eastAsia="黑体"/>
                <w:bCs/>
                <w:sz w:val="24"/>
                <w:szCs w:val="24"/>
              </w:rPr>
            </w:pPr>
            <w:bookmarkStart w:id="0" w:name="_GoBack" w:colFirst="0" w:colLast="0"/>
            <w:r>
              <w:rPr>
                <w:rFonts w:ascii="黑体" w:hAnsi="黑体" w:eastAsia="黑体"/>
                <w:bCs/>
                <w:sz w:val="24"/>
                <w:szCs w:val="24"/>
              </w:rPr>
              <w:t>提名书</w:t>
            </w:r>
          </w:p>
          <w:p w14:paraId="1D4A2BAB">
            <w:pPr>
              <w:contextualSpacing/>
              <w:jc w:val="center"/>
              <w:rPr>
                <w:rFonts w:ascii="黑体" w:hAnsi="黑体" w:eastAsia="黑体"/>
                <w:bCs/>
                <w:sz w:val="24"/>
                <w:szCs w:val="24"/>
              </w:rPr>
            </w:pPr>
            <w:r>
              <w:rPr>
                <w:rFonts w:ascii="黑体" w:hAnsi="黑体" w:eastAsia="黑体"/>
                <w:bCs/>
                <w:sz w:val="24"/>
                <w:szCs w:val="24"/>
              </w:rPr>
              <w:t>相关内容</w:t>
            </w:r>
          </w:p>
        </w:tc>
        <w:tc>
          <w:tcPr>
            <w:tcW w:w="7148" w:type="dxa"/>
            <w:vAlign w:val="center"/>
          </w:tcPr>
          <w:p w14:paraId="167142ED">
            <w:pPr>
              <w:keepNext w:val="0"/>
              <w:keepLines w:val="0"/>
              <w:pageBreakBefore w:val="0"/>
              <w:widowControl w:val="0"/>
              <w:tabs>
                <w:tab w:val="center" w:pos="3152"/>
              </w:tabs>
              <w:kinsoku/>
              <w:wordWrap/>
              <w:overflowPunct/>
              <w:topLinePunct w:val="0"/>
              <w:autoSpaceDE/>
              <w:autoSpaceDN/>
              <w:bidi w:val="0"/>
              <w:adjustRightInd w:val="0"/>
              <w:snapToGrid w:val="0"/>
              <w:spacing w:before="157" w:beforeLines="50" w:after="157" w:afterLines="50"/>
              <w:jc w:val="left"/>
              <w:textAlignment w:val="auto"/>
              <w:rPr>
                <w:rFonts w:hint="eastAsia" w:ascii="Times New Roman" w:hAnsi="Times New Roman" w:eastAsia="仿宋_GB2312" w:cs="Times New Roman"/>
                <w:b/>
                <w:bCs w:val="0"/>
                <w:sz w:val="24"/>
                <w:szCs w:val="24"/>
                <w:lang w:val="en-US" w:eastAsia="zh-CN"/>
              </w:rPr>
            </w:pPr>
            <w:r>
              <w:rPr>
                <w:rFonts w:hint="eastAsia" w:ascii="Times New Roman" w:hAnsi="Times New Roman" w:eastAsia="仿宋_GB2312" w:cs="Times New Roman"/>
                <w:b/>
                <w:bCs w:val="0"/>
                <w:sz w:val="24"/>
                <w:szCs w:val="24"/>
                <w:lang w:val="en-US" w:eastAsia="zh-CN"/>
              </w:rPr>
              <w:t>1.主要知识产权目录：</w:t>
            </w:r>
          </w:p>
          <w:p w14:paraId="546989B6">
            <w:pPr>
              <w:tabs>
                <w:tab w:val="center" w:pos="3152"/>
              </w:tabs>
              <w:adjustRightInd w:val="0"/>
              <w:snapToGrid w:val="0"/>
              <w:jc w:val="left"/>
              <w:rPr>
                <w:rFonts w:hint="eastAsia" w:ascii="Times New Roman" w:hAnsi="Times New Roman" w:eastAsia="仿宋_GB2312" w:cs="Times New Roman"/>
                <w:bCs/>
                <w:sz w:val="24"/>
                <w:szCs w:val="24"/>
                <w:highlight w:val="none"/>
                <w:lang w:val="en-US" w:eastAsia="zh-CN"/>
              </w:rPr>
            </w:pPr>
            <w:r>
              <w:rPr>
                <w:rFonts w:hint="eastAsia" w:ascii="Times New Roman" w:hAnsi="Times New Roman" w:eastAsia="仿宋_GB2312" w:cs="Times New Roman"/>
                <w:bCs/>
                <w:sz w:val="24"/>
                <w:szCs w:val="24"/>
                <w:lang w:val="en-US" w:eastAsia="zh-CN"/>
              </w:rPr>
              <w:t>（1）</w:t>
            </w:r>
            <w:r>
              <w:rPr>
                <w:rFonts w:hint="eastAsia" w:ascii="Times New Roman" w:hAnsi="Times New Roman" w:eastAsia="仿宋_GB2312" w:cs="Times New Roman"/>
                <w:b/>
                <w:bCs w:val="0"/>
                <w:sz w:val="24"/>
                <w:szCs w:val="24"/>
                <w:highlight w:val="none"/>
                <w:lang w:val="en-US" w:eastAsia="zh-CN"/>
              </w:rPr>
              <w:t>发明专利</w:t>
            </w:r>
            <w:r>
              <w:rPr>
                <w:rFonts w:hint="eastAsia" w:ascii="Times New Roman" w:hAnsi="Times New Roman" w:eastAsia="仿宋_GB2312" w:cs="Times New Roman"/>
                <w:bCs/>
                <w:sz w:val="24"/>
                <w:szCs w:val="24"/>
                <w:highlight w:val="none"/>
                <w:lang w:val="en-US" w:eastAsia="zh-CN"/>
              </w:rPr>
              <w:t>：一种测试静钻根植桩桩端扩大头承载性能的试验装置和试验方法，ZL201910586254.9，专利权人：浙江大学，发明人：周佳锦;龚晓南;黄晟。</w:t>
            </w:r>
          </w:p>
          <w:p w14:paraId="6E466F61">
            <w:pPr>
              <w:tabs>
                <w:tab w:val="center" w:pos="3152"/>
              </w:tabs>
              <w:adjustRightInd w:val="0"/>
              <w:snapToGrid w:val="0"/>
              <w:jc w:val="left"/>
              <w:rPr>
                <w:rFonts w:hint="eastAsia" w:ascii="Times New Roman" w:hAnsi="Times New Roman" w:eastAsia="仿宋_GB2312" w:cs="Times New Roman"/>
                <w:bCs/>
                <w:sz w:val="24"/>
                <w:szCs w:val="24"/>
                <w:highlight w:val="none"/>
                <w:lang w:val="en-US" w:eastAsia="zh-CN"/>
              </w:rPr>
            </w:pPr>
            <w:r>
              <w:rPr>
                <w:rFonts w:hint="eastAsia" w:ascii="Times New Roman" w:hAnsi="Times New Roman" w:eastAsia="仿宋_GB2312" w:cs="Times New Roman"/>
                <w:bCs/>
                <w:sz w:val="24"/>
                <w:szCs w:val="24"/>
                <w:highlight w:val="none"/>
                <w:lang w:val="en-US" w:eastAsia="zh-CN"/>
              </w:rPr>
              <w:t>（2）</w:t>
            </w:r>
            <w:r>
              <w:rPr>
                <w:rFonts w:hint="eastAsia" w:ascii="Times New Roman" w:hAnsi="Times New Roman" w:eastAsia="仿宋_GB2312" w:cs="Times New Roman"/>
                <w:b/>
                <w:bCs w:val="0"/>
                <w:sz w:val="24"/>
                <w:szCs w:val="24"/>
                <w:highlight w:val="none"/>
                <w:lang w:val="en-US" w:eastAsia="zh-CN"/>
              </w:rPr>
              <w:t>发明专利</w:t>
            </w:r>
            <w:r>
              <w:rPr>
                <w:rFonts w:hint="eastAsia" w:ascii="Times New Roman" w:hAnsi="Times New Roman" w:eastAsia="仿宋_GB2312" w:cs="Times New Roman"/>
                <w:bCs/>
                <w:sz w:val="24"/>
                <w:szCs w:val="24"/>
                <w:highlight w:val="none"/>
                <w:lang w:val="en-US" w:eastAsia="zh-CN"/>
              </w:rPr>
              <w:t>：测试静钻根植桩桩土接触面摩擦特性的试验装置及其方法，ZL201910585516.X，专利权人：浙江大学，发明人：周佳锦;龚晓南;黄晟。</w:t>
            </w:r>
          </w:p>
          <w:p w14:paraId="12A0C9CA">
            <w:pPr>
              <w:tabs>
                <w:tab w:val="center" w:pos="3152"/>
              </w:tabs>
              <w:adjustRightInd w:val="0"/>
              <w:snapToGrid w:val="0"/>
              <w:jc w:val="left"/>
              <w:rPr>
                <w:rFonts w:hint="eastAsia" w:ascii="Times New Roman" w:hAnsi="Times New Roman" w:eastAsia="仿宋_GB2312" w:cs="Times New Roman"/>
                <w:bCs/>
                <w:sz w:val="24"/>
                <w:szCs w:val="24"/>
                <w:highlight w:val="none"/>
                <w:lang w:val="en-US" w:eastAsia="zh-CN"/>
              </w:rPr>
            </w:pPr>
            <w:r>
              <w:rPr>
                <w:rFonts w:hint="eastAsia" w:ascii="Times New Roman" w:hAnsi="Times New Roman" w:eastAsia="仿宋_GB2312" w:cs="Times New Roman"/>
                <w:bCs/>
                <w:sz w:val="24"/>
                <w:szCs w:val="24"/>
                <w:highlight w:val="none"/>
                <w:lang w:val="en-US" w:eastAsia="zh-CN"/>
              </w:rPr>
              <w:t>（3）</w:t>
            </w:r>
            <w:r>
              <w:rPr>
                <w:rFonts w:hint="eastAsia" w:ascii="Times New Roman" w:hAnsi="Times New Roman" w:eastAsia="仿宋_GB2312" w:cs="Times New Roman"/>
                <w:b/>
                <w:bCs w:val="0"/>
                <w:sz w:val="24"/>
                <w:szCs w:val="24"/>
                <w:highlight w:val="none"/>
                <w:lang w:val="en-US" w:eastAsia="zh-CN"/>
              </w:rPr>
              <w:t>发明专利</w:t>
            </w:r>
            <w:r>
              <w:rPr>
                <w:rFonts w:hint="eastAsia" w:ascii="Times New Roman" w:hAnsi="Times New Roman" w:eastAsia="仿宋_GB2312" w:cs="Times New Roman"/>
                <w:bCs/>
                <w:sz w:val="24"/>
                <w:szCs w:val="24"/>
                <w:highlight w:val="none"/>
                <w:lang w:val="en-US" w:eastAsia="zh-CN"/>
              </w:rPr>
              <w:t>：杭端に空洞が存在することによる杭基礎の軸受性能への影響をシミュレーションする試験装置及び試験方法，特願2022-504726，专利权人：浙江大学，发明人：周佳锦；俞建霖，龚晓南。</w:t>
            </w:r>
          </w:p>
          <w:p w14:paraId="76375968">
            <w:pPr>
              <w:tabs>
                <w:tab w:val="center" w:pos="3152"/>
              </w:tabs>
              <w:adjustRightInd w:val="0"/>
              <w:snapToGrid w:val="0"/>
              <w:jc w:val="left"/>
              <w:rPr>
                <w:rFonts w:hint="eastAsia" w:ascii="Times New Roman" w:hAnsi="Times New Roman" w:eastAsia="仿宋_GB2312" w:cs="Times New Roman"/>
                <w:bCs/>
                <w:sz w:val="24"/>
                <w:szCs w:val="24"/>
                <w:highlight w:val="none"/>
                <w:lang w:val="en-US" w:eastAsia="zh-CN"/>
              </w:rPr>
            </w:pPr>
            <w:r>
              <w:rPr>
                <w:rFonts w:hint="eastAsia" w:ascii="Times New Roman" w:hAnsi="Times New Roman" w:eastAsia="仿宋_GB2312" w:cs="Times New Roman"/>
                <w:bCs/>
                <w:sz w:val="24"/>
                <w:szCs w:val="24"/>
                <w:highlight w:val="none"/>
                <w:lang w:val="en-US" w:eastAsia="zh-CN"/>
              </w:rPr>
              <w:t>（4）</w:t>
            </w:r>
            <w:r>
              <w:rPr>
                <w:rFonts w:hint="eastAsia" w:ascii="Times New Roman" w:hAnsi="Times New Roman" w:eastAsia="仿宋_GB2312" w:cs="Times New Roman"/>
                <w:b/>
                <w:bCs w:val="0"/>
                <w:sz w:val="24"/>
                <w:szCs w:val="24"/>
                <w:highlight w:val="none"/>
                <w:lang w:val="en-US" w:eastAsia="zh-CN"/>
              </w:rPr>
              <w:t>发明专利</w:t>
            </w:r>
            <w:r>
              <w:rPr>
                <w:rFonts w:hint="eastAsia" w:ascii="Times New Roman" w:hAnsi="Times New Roman" w:eastAsia="仿宋_GB2312" w:cs="Times New Roman"/>
                <w:bCs/>
                <w:sz w:val="24"/>
                <w:szCs w:val="24"/>
                <w:highlight w:val="none"/>
                <w:lang w:val="en-US" w:eastAsia="zh-CN"/>
              </w:rPr>
              <w:t>：基桩施工方法，ZL201110225964.2，专利权人：宁波中淳桩基工程技术有限公司，发明人：邱风雷;张日红;王树峰;陈洪雨。</w:t>
            </w:r>
          </w:p>
          <w:p w14:paraId="29A78BC4">
            <w:pPr>
              <w:tabs>
                <w:tab w:val="center" w:pos="3152"/>
              </w:tabs>
              <w:adjustRightInd w:val="0"/>
              <w:snapToGrid w:val="0"/>
              <w:jc w:val="left"/>
              <w:rPr>
                <w:rFonts w:hint="eastAsia" w:ascii="Times New Roman" w:hAnsi="Times New Roman" w:eastAsia="仿宋_GB2312" w:cs="Times New Roman"/>
                <w:bCs/>
                <w:sz w:val="24"/>
                <w:szCs w:val="24"/>
                <w:highlight w:val="none"/>
                <w:lang w:val="en-US" w:eastAsia="zh-CN"/>
              </w:rPr>
            </w:pPr>
            <w:r>
              <w:rPr>
                <w:rFonts w:hint="eastAsia" w:ascii="Times New Roman" w:hAnsi="Times New Roman" w:eastAsia="仿宋_GB2312" w:cs="Times New Roman"/>
                <w:bCs/>
                <w:sz w:val="24"/>
                <w:szCs w:val="24"/>
                <w:highlight w:val="none"/>
                <w:lang w:val="en-US" w:eastAsia="zh-CN"/>
              </w:rPr>
              <w:t>（5）</w:t>
            </w:r>
            <w:r>
              <w:rPr>
                <w:rFonts w:hint="eastAsia" w:ascii="Times New Roman" w:hAnsi="Times New Roman" w:eastAsia="仿宋_GB2312" w:cs="Times New Roman"/>
                <w:b/>
                <w:bCs w:val="0"/>
                <w:sz w:val="24"/>
                <w:szCs w:val="24"/>
                <w:highlight w:val="none"/>
                <w:lang w:val="en-US" w:eastAsia="zh-CN"/>
              </w:rPr>
              <w:t>发明专利：</w:t>
            </w:r>
            <w:r>
              <w:rPr>
                <w:rFonts w:hint="eastAsia" w:ascii="Times New Roman" w:hAnsi="Times New Roman" w:eastAsia="仿宋_GB2312" w:cs="Times New Roman"/>
                <w:bCs/>
                <w:sz w:val="24"/>
                <w:szCs w:val="24"/>
                <w:highlight w:val="none"/>
                <w:lang w:val="en-US" w:eastAsia="zh-CN"/>
              </w:rPr>
              <w:t>一种扩底桩扩底部位桩端水泥土取样装置及其取样方法，ZL201410653924.1，专利权人：宁波中淳桩基工程技术有限公司，发明人：张日红、吴磊磊、陈洪雨、李伟、张朝妍。</w:t>
            </w:r>
          </w:p>
          <w:p w14:paraId="1B746169">
            <w:pPr>
              <w:tabs>
                <w:tab w:val="center" w:pos="3152"/>
              </w:tabs>
              <w:adjustRightInd w:val="0"/>
              <w:snapToGrid w:val="0"/>
              <w:jc w:val="left"/>
              <w:rPr>
                <w:rFonts w:hint="eastAsia" w:ascii="Times New Roman" w:hAnsi="Times New Roman" w:eastAsia="仿宋_GB2312" w:cs="Times New Roman"/>
                <w:bCs/>
                <w:sz w:val="24"/>
                <w:szCs w:val="24"/>
                <w:highlight w:val="none"/>
                <w:lang w:val="en-US" w:eastAsia="zh-CN"/>
              </w:rPr>
            </w:pPr>
            <w:r>
              <w:rPr>
                <w:rFonts w:hint="eastAsia" w:ascii="Times New Roman" w:hAnsi="Times New Roman" w:eastAsia="仿宋_GB2312" w:cs="Times New Roman"/>
                <w:bCs/>
                <w:sz w:val="24"/>
                <w:szCs w:val="24"/>
                <w:highlight w:val="none"/>
                <w:lang w:val="en-US" w:eastAsia="zh-CN"/>
              </w:rPr>
              <w:t>（6）</w:t>
            </w:r>
            <w:r>
              <w:rPr>
                <w:rFonts w:hint="eastAsia" w:ascii="Times New Roman" w:hAnsi="Times New Roman" w:eastAsia="仿宋_GB2312" w:cs="Times New Roman"/>
                <w:b/>
                <w:bCs w:val="0"/>
                <w:sz w:val="24"/>
                <w:szCs w:val="24"/>
                <w:highlight w:val="none"/>
                <w:lang w:val="en-US" w:eastAsia="zh-CN"/>
              </w:rPr>
              <w:t>发明专利：</w:t>
            </w:r>
            <w:r>
              <w:rPr>
                <w:rFonts w:hint="eastAsia" w:ascii="Times New Roman" w:hAnsi="Times New Roman" w:eastAsia="仿宋_GB2312" w:cs="Times New Roman"/>
                <w:bCs/>
                <w:sz w:val="24"/>
                <w:szCs w:val="24"/>
                <w:highlight w:val="none"/>
                <w:lang w:val="en-US" w:eastAsia="zh-CN"/>
              </w:rPr>
              <w:t>一种模拟桩周注浆加固对桩基水平承载特性影响研究的试验装置和试验方法，ZL201910585500.9，专利权人：浙江大学，发明人：周佳锦;龚晓南;黄晟。</w:t>
            </w:r>
          </w:p>
          <w:p w14:paraId="2D9FB84D">
            <w:pPr>
              <w:tabs>
                <w:tab w:val="center" w:pos="3152"/>
              </w:tabs>
              <w:adjustRightInd w:val="0"/>
              <w:snapToGrid w:val="0"/>
              <w:jc w:val="left"/>
              <w:rPr>
                <w:rFonts w:hint="default" w:ascii="Times New Roman" w:hAnsi="Times New Roman" w:eastAsia="仿宋_GB2312" w:cs="Times New Roman"/>
                <w:bCs/>
                <w:sz w:val="24"/>
                <w:szCs w:val="24"/>
                <w:highlight w:val="none"/>
                <w:lang w:val="en-US" w:eastAsia="zh-CN"/>
              </w:rPr>
            </w:pPr>
            <w:r>
              <w:rPr>
                <w:rFonts w:hint="eastAsia" w:ascii="Times New Roman" w:hAnsi="Times New Roman" w:eastAsia="仿宋_GB2312" w:cs="Times New Roman"/>
                <w:bCs/>
                <w:sz w:val="24"/>
                <w:szCs w:val="24"/>
                <w:highlight w:val="none"/>
                <w:lang w:val="en-US" w:eastAsia="zh-CN"/>
              </w:rPr>
              <w:t>（7）</w:t>
            </w:r>
            <w:r>
              <w:rPr>
                <w:rFonts w:hint="eastAsia" w:ascii="Times New Roman" w:hAnsi="Times New Roman" w:eastAsia="仿宋_GB2312" w:cs="Times New Roman"/>
                <w:b/>
                <w:bCs w:val="0"/>
                <w:sz w:val="24"/>
                <w:szCs w:val="24"/>
                <w:highlight w:val="none"/>
                <w:lang w:val="en-US" w:eastAsia="zh-CN"/>
              </w:rPr>
              <w:t>发明专利：</w:t>
            </w:r>
            <w:r>
              <w:rPr>
                <w:rFonts w:hint="eastAsia" w:ascii="Times New Roman" w:hAnsi="Times New Roman" w:eastAsia="仿宋_GB2312" w:cs="Times New Roman"/>
                <w:bCs/>
                <w:sz w:val="24"/>
                <w:szCs w:val="24"/>
                <w:highlight w:val="none"/>
                <w:lang w:val="en-US" w:eastAsia="zh-CN"/>
              </w:rPr>
              <w:t>预应力混凝土异型桩用内外模双重壁体式钢模，ZL201210306659.0，专利权人：宁波中淳高科股份有限公司，发明人：张日红;邱风雷;长谷山国广;王树峰。</w:t>
            </w:r>
          </w:p>
          <w:p w14:paraId="75F18C12">
            <w:pPr>
              <w:tabs>
                <w:tab w:val="center" w:pos="3152"/>
              </w:tabs>
              <w:adjustRightInd w:val="0"/>
              <w:snapToGrid w:val="0"/>
              <w:jc w:val="left"/>
              <w:rPr>
                <w:rFonts w:hint="default" w:ascii="Times New Roman" w:hAnsi="Times New Roman" w:eastAsia="仿宋_GB2312" w:cs="Times New Roman"/>
                <w:bCs/>
                <w:sz w:val="24"/>
                <w:szCs w:val="24"/>
                <w:highlight w:val="none"/>
                <w:lang w:val="en-US" w:eastAsia="zh-CN"/>
              </w:rPr>
            </w:pPr>
            <w:r>
              <w:rPr>
                <w:rFonts w:hint="eastAsia" w:ascii="Times New Roman" w:hAnsi="Times New Roman" w:eastAsia="仿宋_GB2312" w:cs="Times New Roman"/>
                <w:bCs/>
                <w:sz w:val="24"/>
                <w:szCs w:val="24"/>
                <w:highlight w:val="none"/>
                <w:lang w:val="en-US" w:eastAsia="zh-CN"/>
              </w:rPr>
              <w:t>（8）</w:t>
            </w:r>
            <w:r>
              <w:rPr>
                <w:rFonts w:hint="eastAsia" w:ascii="Times New Roman" w:hAnsi="Times New Roman" w:eastAsia="仿宋_GB2312" w:cs="Times New Roman"/>
                <w:b/>
                <w:bCs w:val="0"/>
                <w:sz w:val="24"/>
                <w:szCs w:val="24"/>
                <w:highlight w:val="none"/>
                <w:lang w:val="en-US" w:eastAsia="zh-CN"/>
              </w:rPr>
              <w:t>发明专利：</w:t>
            </w:r>
            <w:r>
              <w:rPr>
                <w:rFonts w:hint="eastAsia" w:ascii="Times New Roman" w:hAnsi="Times New Roman" w:eastAsia="仿宋_GB2312" w:cs="Times New Roman"/>
                <w:bCs/>
                <w:sz w:val="24"/>
                <w:szCs w:val="24"/>
                <w:highlight w:val="none"/>
                <w:lang w:val="en-US" w:eastAsia="zh-CN"/>
              </w:rPr>
              <w:t>プレテンション方式のプレストレスト既製杭の製造に用いられる端板及びその迅速接続方法，特願2015-227490，专利权人：宁波中淳高科股份有限公司，发明人：严天龙；张日红；王树峰、穆增涛；邱风雷；向安乐。</w:t>
            </w:r>
          </w:p>
          <w:p w14:paraId="2E114690">
            <w:pPr>
              <w:tabs>
                <w:tab w:val="center" w:pos="3152"/>
              </w:tabs>
              <w:adjustRightInd w:val="0"/>
              <w:snapToGrid w:val="0"/>
              <w:jc w:val="left"/>
              <w:rPr>
                <w:rFonts w:hint="default" w:ascii="Times New Roman" w:hAnsi="Times New Roman" w:eastAsia="仿宋_GB2312" w:cs="Times New Roman"/>
                <w:bCs/>
                <w:sz w:val="24"/>
                <w:szCs w:val="24"/>
                <w:lang w:val="en-US" w:eastAsia="zh-CN"/>
              </w:rPr>
            </w:pPr>
            <w:r>
              <w:rPr>
                <w:rFonts w:hint="eastAsia" w:ascii="Times New Roman" w:hAnsi="Times New Roman" w:eastAsia="仿宋_GB2312" w:cs="Times New Roman"/>
                <w:bCs/>
                <w:sz w:val="24"/>
                <w:szCs w:val="24"/>
                <w:highlight w:val="none"/>
                <w:lang w:val="en-US" w:eastAsia="zh-CN"/>
              </w:rPr>
              <w:t>（9）</w:t>
            </w:r>
            <w:r>
              <w:rPr>
                <w:rFonts w:hint="eastAsia" w:ascii="Times New Roman" w:hAnsi="Times New Roman" w:eastAsia="仿宋_GB2312" w:cs="Times New Roman"/>
                <w:b/>
                <w:bCs w:val="0"/>
                <w:sz w:val="24"/>
                <w:szCs w:val="24"/>
                <w:highlight w:val="none"/>
                <w:lang w:val="en-US" w:eastAsia="zh-CN"/>
              </w:rPr>
              <w:t>发明专利：</w:t>
            </w:r>
            <w:r>
              <w:rPr>
                <w:rFonts w:hint="eastAsia" w:ascii="Times New Roman" w:hAnsi="Times New Roman" w:eastAsia="仿宋_GB2312" w:cs="Times New Roman"/>
                <w:bCs/>
                <w:sz w:val="24"/>
                <w:szCs w:val="24"/>
                <w:highlight w:val="none"/>
                <w:lang w:val="en-US" w:eastAsia="zh-CN"/>
              </w:rPr>
              <w:t>一种基于同步钻孔和预制桩拼接的施工设备及其施工方法，ZL202110641709.X，专利权人：宁波中淳高科股份有限公司</w:t>
            </w:r>
            <w:r>
              <w:rPr>
                <w:rFonts w:hint="eastAsia" w:ascii="Times New Roman" w:hAnsi="Times New Roman" w:eastAsia="仿宋_GB2312" w:cs="Times New Roman"/>
                <w:bCs/>
                <w:sz w:val="24"/>
                <w:szCs w:val="24"/>
                <w:lang w:val="en-US" w:eastAsia="zh-CN"/>
              </w:rPr>
              <w:t>，发明人：陈洪雨、张日红、舒佳明、邱风雷。</w:t>
            </w:r>
          </w:p>
          <w:p w14:paraId="08FC39A8">
            <w:pPr>
              <w:keepNext w:val="0"/>
              <w:keepLines w:val="0"/>
              <w:pageBreakBefore w:val="0"/>
              <w:widowControl w:val="0"/>
              <w:tabs>
                <w:tab w:val="center" w:pos="3152"/>
              </w:tabs>
              <w:kinsoku/>
              <w:wordWrap/>
              <w:overflowPunct/>
              <w:topLinePunct w:val="0"/>
              <w:autoSpaceDE/>
              <w:autoSpaceDN/>
              <w:bidi w:val="0"/>
              <w:adjustRightInd w:val="0"/>
              <w:snapToGrid w:val="0"/>
              <w:spacing w:before="157" w:beforeLines="50" w:after="157" w:afterLines="50"/>
              <w:jc w:val="left"/>
              <w:textAlignment w:val="auto"/>
              <w:rPr>
                <w:rFonts w:hint="eastAsia" w:ascii="Times New Roman" w:hAnsi="Times New Roman" w:eastAsia="仿宋_GB2312" w:cs="Times New Roman"/>
                <w:b/>
                <w:bCs w:val="0"/>
                <w:sz w:val="24"/>
                <w:szCs w:val="24"/>
                <w:lang w:val="en-US" w:eastAsia="zh-CN"/>
              </w:rPr>
            </w:pPr>
            <w:r>
              <w:rPr>
                <w:rFonts w:hint="eastAsia" w:ascii="Times New Roman" w:hAnsi="Times New Roman" w:eastAsia="仿宋_GB2312" w:cs="Times New Roman"/>
                <w:b/>
                <w:bCs w:val="0"/>
                <w:sz w:val="24"/>
                <w:szCs w:val="24"/>
                <w:lang w:val="en-US" w:eastAsia="zh-CN"/>
              </w:rPr>
              <w:t>2.标准规范目录：</w:t>
            </w:r>
          </w:p>
          <w:p w14:paraId="55F344F7">
            <w:pPr>
              <w:adjustRightInd w:val="0"/>
              <w:snapToGrid w:val="0"/>
              <w:jc w:val="left"/>
              <w:rPr>
                <w:rFonts w:hint="default" w:eastAsia="仿宋_GB2312"/>
                <w:bCs/>
                <w:sz w:val="24"/>
                <w:szCs w:val="24"/>
                <w:lang w:val="en-US" w:eastAsia="zh-CN"/>
              </w:rPr>
            </w:pPr>
            <w:r>
              <w:rPr>
                <w:rFonts w:hint="eastAsia" w:eastAsia="仿宋_GB2312"/>
                <w:bCs/>
                <w:sz w:val="24"/>
                <w:szCs w:val="24"/>
                <w:lang w:val="en-US" w:eastAsia="zh-CN"/>
              </w:rPr>
              <w:t>（1）</w:t>
            </w:r>
            <w:r>
              <w:rPr>
                <w:rFonts w:hint="default" w:eastAsia="仿宋_GB2312"/>
                <w:bCs/>
                <w:sz w:val="24"/>
                <w:szCs w:val="24"/>
                <w:lang w:val="en-US" w:eastAsia="zh-CN"/>
              </w:rPr>
              <w:t>浙江省工程建设标准《静钻根植桩基础技术规程</w:t>
            </w:r>
            <w:r>
              <w:rPr>
                <w:rFonts w:hint="eastAsia" w:eastAsia="仿宋_GB2312"/>
                <w:bCs/>
                <w:sz w:val="24"/>
                <w:szCs w:val="24"/>
                <w:lang w:val="en-US" w:eastAsia="zh-CN"/>
              </w:rPr>
              <w:t>》，标准号：</w:t>
            </w:r>
            <w:r>
              <w:rPr>
                <w:rFonts w:hint="default" w:eastAsia="仿宋_GB2312"/>
                <w:bCs/>
                <w:sz w:val="24"/>
                <w:szCs w:val="24"/>
                <w:lang w:val="en-US" w:eastAsia="zh-CN"/>
              </w:rPr>
              <w:t>DB33/T1134-2017</w:t>
            </w:r>
            <w:r>
              <w:rPr>
                <w:rFonts w:hint="eastAsia" w:eastAsia="仿宋_GB2312"/>
                <w:bCs/>
                <w:sz w:val="24"/>
                <w:szCs w:val="24"/>
                <w:lang w:val="en-US" w:eastAsia="zh-CN"/>
              </w:rPr>
              <w:t>，起草单位：浙江大学滨海和城市岩土工程研究中心、浙江省建筑设计研究院、宁波中淳高科股份有限公司，起草人：龚晓南、杨学林、吴磊磊、王奎华、余智恩、方伟定、干 钢、 张清华、吴才德、徐学敏、张日红、陈洪雨、邢 军、王树峰、严天龙、吴永兴、杜杰、袁海峰、叶亮。</w:t>
            </w:r>
          </w:p>
        </w:tc>
      </w:tr>
      <w:bookmarkEnd w:id="0"/>
      <w:tr w14:paraId="15AA1F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15" w:hRule="atLeast"/>
          <w:jc w:val="center"/>
        </w:trPr>
        <w:tc>
          <w:tcPr>
            <w:tcW w:w="1358" w:type="dxa"/>
            <w:tcBorders>
              <w:right w:val="single" w:color="auto" w:sz="4" w:space="0"/>
            </w:tcBorders>
            <w:vAlign w:val="center"/>
          </w:tcPr>
          <w:p w14:paraId="1652085A">
            <w:pPr>
              <w:contextualSpacing/>
              <w:jc w:val="center"/>
              <w:rPr>
                <w:rFonts w:ascii="黑体" w:hAnsi="黑体" w:eastAsia="黑体"/>
                <w:bCs/>
                <w:sz w:val="24"/>
                <w:szCs w:val="24"/>
              </w:rPr>
            </w:pPr>
            <w:r>
              <w:rPr>
                <w:rFonts w:ascii="黑体" w:hAnsi="黑体" w:eastAsia="黑体"/>
                <w:bCs/>
                <w:sz w:val="24"/>
                <w:szCs w:val="24"/>
              </w:rPr>
              <w:t>主要</w:t>
            </w:r>
          </w:p>
          <w:p w14:paraId="095B9D0D">
            <w:pPr>
              <w:contextualSpacing/>
              <w:jc w:val="center"/>
              <w:rPr>
                <w:rFonts w:ascii="黑体" w:hAnsi="黑体" w:eastAsia="黑体"/>
                <w:bCs/>
                <w:sz w:val="24"/>
                <w:szCs w:val="24"/>
              </w:rPr>
            </w:pPr>
            <w:r>
              <w:rPr>
                <w:rFonts w:ascii="黑体" w:hAnsi="黑体" w:eastAsia="黑体"/>
                <w:bCs/>
                <w:sz w:val="24"/>
                <w:szCs w:val="24"/>
              </w:rPr>
              <w:t>完成人</w:t>
            </w:r>
          </w:p>
        </w:tc>
        <w:tc>
          <w:tcPr>
            <w:tcW w:w="7148" w:type="dxa"/>
            <w:tcBorders>
              <w:left w:val="single" w:color="auto" w:sz="4" w:space="0"/>
            </w:tcBorders>
            <w:vAlign w:val="center"/>
          </w:tcPr>
          <w:p w14:paraId="6B5A83FF">
            <w:pPr>
              <w:tabs>
                <w:tab w:val="center" w:pos="3152"/>
              </w:tabs>
              <w:adjustRightInd w:val="0"/>
              <w:snapToGrid w:val="0"/>
              <w:jc w:val="left"/>
              <w:rPr>
                <w:rFonts w:hint="eastAsia" w:eastAsia="仿宋_GB2312"/>
                <w:bCs/>
                <w:sz w:val="24"/>
                <w:szCs w:val="24"/>
                <w:lang w:val="en-US" w:eastAsia="zh-CN"/>
              </w:rPr>
            </w:pPr>
            <w:r>
              <w:rPr>
                <w:rFonts w:hint="eastAsia" w:eastAsia="仿宋_GB2312"/>
                <w:bCs/>
                <w:sz w:val="24"/>
                <w:szCs w:val="24"/>
                <w:lang w:val="en-US" w:eastAsia="zh-CN"/>
              </w:rPr>
              <w:t>张日红，排名1，正高，宁波中淳高科股份有限公司；</w:t>
            </w:r>
          </w:p>
          <w:p w14:paraId="34DBF880">
            <w:pPr>
              <w:tabs>
                <w:tab w:val="center" w:pos="3152"/>
              </w:tabs>
              <w:adjustRightInd w:val="0"/>
              <w:snapToGrid w:val="0"/>
              <w:jc w:val="left"/>
              <w:rPr>
                <w:rFonts w:hint="eastAsia" w:eastAsia="仿宋_GB2312"/>
                <w:bCs/>
                <w:sz w:val="24"/>
                <w:szCs w:val="24"/>
                <w:lang w:val="en-US" w:eastAsia="zh-CN"/>
              </w:rPr>
            </w:pPr>
            <w:r>
              <w:rPr>
                <w:rFonts w:hint="eastAsia" w:eastAsia="仿宋_GB2312"/>
                <w:bCs/>
                <w:sz w:val="24"/>
                <w:szCs w:val="24"/>
                <w:lang w:val="en-US" w:eastAsia="zh-CN"/>
              </w:rPr>
              <w:t>周佳锦，排名2，副教授，宁波大学；</w:t>
            </w:r>
          </w:p>
          <w:p w14:paraId="1E8DD01A">
            <w:pPr>
              <w:tabs>
                <w:tab w:val="center" w:pos="3152"/>
              </w:tabs>
              <w:adjustRightInd w:val="0"/>
              <w:snapToGrid w:val="0"/>
              <w:jc w:val="left"/>
              <w:rPr>
                <w:rFonts w:hint="eastAsia" w:eastAsia="仿宋_GB2312"/>
                <w:bCs/>
                <w:sz w:val="24"/>
                <w:szCs w:val="24"/>
                <w:lang w:val="en-US" w:eastAsia="zh-CN"/>
              </w:rPr>
            </w:pPr>
            <w:r>
              <w:rPr>
                <w:rFonts w:hint="eastAsia" w:eastAsia="仿宋_GB2312"/>
                <w:bCs/>
                <w:sz w:val="24"/>
                <w:szCs w:val="24"/>
                <w:lang w:val="en-US" w:eastAsia="zh-CN"/>
              </w:rPr>
              <w:t>龚晓南，排名3，教授，浙江大学；</w:t>
            </w:r>
          </w:p>
          <w:p w14:paraId="0A748973">
            <w:pPr>
              <w:tabs>
                <w:tab w:val="center" w:pos="3152"/>
              </w:tabs>
              <w:adjustRightInd w:val="0"/>
              <w:snapToGrid w:val="0"/>
              <w:jc w:val="left"/>
              <w:rPr>
                <w:rFonts w:hint="eastAsia" w:eastAsia="仿宋_GB2312"/>
                <w:bCs/>
                <w:sz w:val="24"/>
                <w:szCs w:val="24"/>
                <w:lang w:val="en-US" w:eastAsia="zh-CN"/>
              </w:rPr>
            </w:pPr>
            <w:r>
              <w:rPr>
                <w:rFonts w:hint="eastAsia" w:eastAsia="仿宋_GB2312"/>
                <w:bCs/>
                <w:sz w:val="24"/>
                <w:szCs w:val="24"/>
                <w:lang w:val="en-US" w:eastAsia="zh-CN"/>
              </w:rPr>
              <w:t>邱风雷，排名4，副高，宁波中淳高科股份有限公司；</w:t>
            </w:r>
          </w:p>
          <w:p w14:paraId="326F33EA">
            <w:pPr>
              <w:tabs>
                <w:tab w:val="center" w:pos="3152"/>
              </w:tabs>
              <w:adjustRightInd w:val="0"/>
              <w:snapToGrid w:val="0"/>
              <w:jc w:val="left"/>
              <w:rPr>
                <w:rFonts w:hint="eastAsia" w:eastAsia="仿宋_GB2312"/>
                <w:bCs/>
                <w:sz w:val="24"/>
                <w:szCs w:val="24"/>
                <w:lang w:val="en-US" w:eastAsia="zh-CN"/>
              </w:rPr>
            </w:pPr>
            <w:r>
              <w:rPr>
                <w:rFonts w:hint="eastAsia" w:eastAsia="仿宋_GB2312"/>
                <w:bCs/>
                <w:sz w:val="24"/>
                <w:szCs w:val="24"/>
                <w:lang w:val="en-US" w:eastAsia="zh-CN"/>
              </w:rPr>
              <w:t>严天龙，排名5，副高，宁波中淳高科股份有限公司；</w:t>
            </w:r>
          </w:p>
          <w:p w14:paraId="058CE5EA">
            <w:pPr>
              <w:tabs>
                <w:tab w:val="center" w:pos="3152"/>
              </w:tabs>
              <w:adjustRightInd w:val="0"/>
              <w:snapToGrid w:val="0"/>
              <w:jc w:val="left"/>
              <w:rPr>
                <w:rFonts w:eastAsia="仿宋_GB2312"/>
                <w:bCs/>
                <w:sz w:val="24"/>
                <w:szCs w:val="24"/>
              </w:rPr>
            </w:pPr>
            <w:r>
              <w:rPr>
                <w:rFonts w:hint="eastAsia" w:eastAsia="仿宋_GB2312"/>
                <w:bCs/>
                <w:sz w:val="24"/>
                <w:szCs w:val="24"/>
                <w:lang w:val="en-US" w:eastAsia="zh-CN"/>
              </w:rPr>
              <w:t>陈洪雨，排名6，副高，宁波中淳桩基工程技术有限公司。</w:t>
            </w:r>
          </w:p>
        </w:tc>
      </w:tr>
      <w:tr w14:paraId="7E2388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jc w:val="center"/>
        </w:trPr>
        <w:tc>
          <w:tcPr>
            <w:tcW w:w="1358" w:type="dxa"/>
            <w:tcBorders>
              <w:right w:val="single" w:color="auto" w:sz="4" w:space="0"/>
            </w:tcBorders>
            <w:vAlign w:val="center"/>
          </w:tcPr>
          <w:p w14:paraId="0DD9401B">
            <w:pPr>
              <w:contextualSpacing/>
              <w:jc w:val="center"/>
              <w:rPr>
                <w:rFonts w:ascii="黑体" w:hAnsi="黑体" w:eastAsia="黑体"/>
                <w:bCs/>
                <w:sz w:val="24"/>
                <w:szCs w:val="24"/>
              </w:rPr>
            </w:pPr>
            <w:r>
              <w:rPr>
                <w:rFonts w:ascii="黑体" w:hAnsi="黑体" w:eastAsia="黑体"/>
                <w:bCs/>
                <w:sz w:val="24"/>
                <w:szCs w:val="24"/>
              </w:rPr>
              <w:t>主要</w:t>
            </w:r>
          </w:p>
          <w:p w14:paraId="3B6FDCCA">
            <w:pPr>
              <w:contextualSpacing/>
              <w:jc w:val="center"/>
              <w:rPr>
                <w:rFonts w:ascii="黑体" w:hAnsi="黑体" w:eastAsia="黑体"/>
                <w:bCs/>
                <w:sz w:val="24"/>
                <w:szCs w:val="24"/>
              </w:rPr>
            </w:pPr>
            <w:r>
              <w:rPr>
                <w:rFonts w:ascii="黑体" w:hAnsi="黑体" w:eastAsia="黑体"/>
                <w:bCs/>
                <w:sz w:val="24"/>
                <w:szCs w:val="24"/>
              </w:rPr>
              <w:t>完成单位</w:t>
            </w:r>
          </w:p>
        </w:tc>
        <w:tc>
          <w:tcPr>
            <w:tcW w:w="7148" w:type="dxa"/>
            <w:tcBorders>
              <w:left w:val="single" w:color="auto" w:sz="4" w:space="0"/>
            </w:tcBorders>
            <w:vAlign w:val="center"/>
          </w:tcPr>
          <w:p w14:paraId="7BD0D7E9">
            <w:pPr>
              <w:numPr>
                <w:ilvl w:val="0"/>
                <w:numId w:val="0"/>
              </w:numPr>
              <w:snapToGrid w:val="0"/>
              <w:jc w:val="left"/>
              <w:rPr>
                <w:rFonts w:hint="eastAsia" w:ascii="仿宋_GB2312" w:hAnsi="仿宋" w:eastAsia="仿宋_GB2312" w:cs="仿宋"/>
                <w:bCs/>
                <w:color w:val="000000" w:themeColor="text1"/>
                <w:kern w:val="2"/>
                <w:sz w:val="24"/>
                <w:szCs w:val="24"/>
                <w:lang w:val="en-US" w:eastAsia="zh-CN" w:bidi="ar-SA"/>
                <w14:textFill>
                  <w14:solidFill>
                    <w14:schemeClr w14:val="tx1"/>
                  </w14:solidFill>
                </w14:textFill>
              </w:rPr>
            </w:pPr>
            <w:r>
              <w:rPr>
                <w:rFonts w:hint="eastAsia" w:ascii="仿宋_GB2312" w:hAnsi="仿宋" w:eastAsia="仿宋_GB2312" w:cs="仿宋"/>
                <w:bCs/>
                <w:color w:val="000000" w:themeColor="text1"/>
                <w:kern w:val="2"/>
                <w:sz w:val="24"/>
                <w:szCs w:val="24"/>
                <w:lang w:val="en-US" w:eastAsia="zh-CN" w:bidi="ar-SA"/>
                <w14:textFill>
                  <w14:solidFill>
                    <w14:schemeClr w14:val="tx1"/>
                  </w14:solidFill>
                </w14:textFill>
              </w:rPr>
              <w:t>1.单位名称：宁波中淳高科股份有限公司</w:t>
            </w:r>
          </w:p>
          <w:p w14:paraId="3DBF405C">
            <w:pPr>
              <w:numPr>
                <w:ilvl w:val="0"/>
                <w:numId w:val="0"/>
              </w:numPr>
              <w:snapToGrid w:val="0"/>
              <w:jc w:val="left"/>
              <w:rPr>
                <w:rFonts w:hint="eastAsia" w:ascii="仿宋_GB2312" w:hAnsi="仿宋" w:eastAsia="仿宋_GB2312" w:cs="仿宋"/>
                <w:bCs/>
                <w:color w:val="000000" w:themeColor="text1"/>
                <w:kern w:val="2"/>
                <w:sz w:val="24"/>
                <w:szCs w:val="24"/>
                <w:lang w:val="en-US" w:eastAsia="zh-CN" w:bidi="ar-SA"/>
                <w14:textFill>
                  <w14:solidFill>
                    <w14:schemeClr w14:val="tx1"/>
                  </w14:solidFill>
                </w14:textFill>
              </w:rPr>
            </w:pPr>
            <w:r>
              <w:rPr>
                <w:rFonts w:hint="eastAsia" w:ascii="仿宋_GB2312" w:hAnsi="仿宋" w:eastAsia="仿宋_GB2312" w:cs="仿宋"/>
                <w:bCs/>
                <w:color w:val="000000" w:themeColor="text1"/>
                <w:kern w:val="2"/>
                <w:sz w:val="24"/>
                <w:szCs w:val="24"/>
                <w:lang w:val="en-US" w:eastAsia="zh-CN" w:bidi="ar-SA"/>
                <w14:textFill>
                  <w14:solidFill>
                    <w14:schemeClr w14:val="tx1"/>
                  </w14:solidFill>
                </w14:textFill>
              </w:rPr>
              <w:t>2.单位名称：浙江大学</w:t>
            </w:r>
          </w:p>
          <w:p w14:paraId="0AEE3E5F">
            <w:pPr>
              <w:numPr>
                <w:ilvl w:val="0"/>
                <w:numId w:val="0"/>
              </w:numPr>
              <w:snapToGrid w:val="0"/>
              <w:jc w:val="left"/>
              <w:rPr>
                <w:rFonts w:ascii="仿宋" w:hAnsi="仿宋" w:eastAsia="仿宋" w:cs="仿宋"/>
                <w:bCs/>
                <w:sz w:val="24"/>
                <w:szCs w:val="24"/>
              </w:rPr>
            </w:pPr>
            <w:r>
              <w:rPr>
                <w:rFonts w:hint="eastAsia" w:ascii="仿宋_GB2312" w:hAnsi="仿宋" w:eastAsia="仿宋_GB2312" w:cs="仿宋"/>
                <w:bCs/>
                <w:color w:val="000000" w:themeColor="text1"/>
                <w:kern w:val="2"/>
                <w:sz w:val="24"/>
                <w:szCs w:val="24"/>
                <w:lang w:val="en-US" w:eastAsia="zh-CN" w:bidi="ar-SA"/>
                <w14:textFill>
                  <w14:solidFill>
                    <w14:schemeClr w14:val="tx1"/>
                  </w14:solidFill>
                </w14:textFill>
              </w:rPr>
              <w:t>3.单位名称：宁波中淳桩基工程技术有限公司</w:t>
            </w:r>
          </w:p>
        </w:tc>
      </w:tr>
      <w:tr w14:paraId="1315CD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4" w:hRule="atLeast"/>
          <w:jc w:val="center"/>
        </w:trPr>
        <w:tc>
          <w:tcPr>
            <w:tcW w:w="1358" w:type="dxa"/>
            <w:vAlign w:val="center"/>
          </w:tcPr>
          <w:p w14:paraId="41A88C6B">
            <w:pPr>
              <w:contextualSpacing/>
              <w:jc w:val="center"/>
              <w:rPr>
                <w:rStyle w:val="38"/>
                <w:rFonts w:ascii="黑体" w:hAnsi="黑体" w:eastAsia="黑体"/>
                <w:b w:val="0"/>
                <w:color w:val="auto"/>
              </w:rPr>
            </w:pPr>
            <w:r>
              <w:rPr>
                <w:rStyle w:val="38"/>
                <w:rFonts w:ascii="黑体" w:hAnsi="黑体" w:eastAsia="黑体"/>
                <w:b w:val="0"/>
                <w:color w:val="auto"/>
              </w:rPr>
              <w:t>提名单位</w:t>
            </w:r>
          </w:p>
        </w:tc>
        <w:tc>
          <w:tcPr>
            <w:tcW w:w="7148" w:type="dxa"/>
            <w:vAlign w:val="center"/>
          </w:tcPr>
          <w:p w14:paraId="09CB34CE">
            <w:pPr>
              <w:contextualSpacing/>
              <w:jc w:val="center"/>
              <w:rPr>
                <w:rStyle w:val="38"/>
                <w:rFonts w:eastAsia="仿宋_GB2312"/>
                <w:b w:val="0"/>
                <w:color w:val="auto"/>
              </w:rPr>
            </w:pPr>
            <w:r>
              <w:rPr>
                <w:rStyle w:val="38"/>
                <w:rFonts w:eastAsia="仿宋_GB2312"/>
                <w:b w:val="0"/>
                <w:color w:val="auto"/>
              </w:rPr>
              <w:t>宁波市人民政府</w:t>
            </w:r>
          </w:p>
        </w:tc>
      </w:tr>
      <w:tr w14:paraId="4A85DB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39" w:hRule="atLeast"/>
          <w:jc w:val="center"/>
        </w:trPr>
        <w:tc>
          <w:tcPr>
            <w:tcW w:w="1358" w:type="dxa"/>
            <w:vAlign w:val="center"/>
          </w:tcPr>
          <w:p w14:paraId="25645F3D">
            <w:pPr>
              <w:contextualSpacing/>
              <w:jc w:val="center"/>
              <w:rPr>
                <w:rStyle w:val="38"/>
                <w:rFonts w:ascii="黑体" w:hAnsi="黑体" w:eastAsia="黑体"/>
                <w:b w:val="0"/>
                <w:color w:val="auto"/>
              </w:rPr>
            </w:pPr>
            <w:r>
              <w:rPr>
                <w:rStyle w:val="38"/>
                <w:rFonts w:ascii="黑体" w:hAnsi="黑体" w:eastAsia="黑体"/>
                <w:b w:val="0"/>
                <w:color w:val="auto"/>
              </w:rPr>
              <w:t>提名意见</w:t>
            </w:r>
          </w:p>
        </w:tc>
        <w:tc>
          <w:tcPr>
            <w:tcW w:w="7148" w:type="dxa"/>
            <w:vAlign w:val="center"/>
          </w:tcPr>
          <w:p w14:paraId="0C3FD4FD">
            <w:pPr>
              <w:snapToGrid w:val="0"/>
              <w:ind w:firstLine="480" w:firstLineChars="200"/>
              <w:jc w:val="left"/>
              <w:rPr>
                <w:rStyle w:val="38"/>
                <w:rFonts w:hint="eastAsia" w:eastAsia="仿宋_GB2312"/>
                <w:b w:val="0"/>
                <w:color w:val="auto"/>
                <w:lang w:val="en-US" w:eastAsia="zh-CN"/>
              </w:rPr>
            </w:pPr>
            <w:r>
              <w:rPr>
                <w:rStyle w:val="38"/>
                <w:rFonts w:hint="eastAsia" w:eastAsia="仿宋_GB2312"/>
                <w:b w:val="0"/>
                <w:color w:val="auto"/>
                <w:lang w:val="en-US" w:eastAsia="zh-CN"/>
              </w:rPr>
              <w:t>该项目针对我国城市更新建设和新型基础设施建设的迫切要求，并结合建筑土木行业绿色、低碳转型，高质量发展的国情，项目组经过近20年理论和技术创新，首次提出植入桩科学定义，创建了预钻孔注浆、自重植桩的非挤土植入预制桩理论体系，发明了钻孔-扩底-注浆-植桩一体化施工技术，突破了复杂敏感环境下预制桩应用受限的技术瓶颈，并系统开展了相关基本理论、关键技术和工程应用研究，形成了非挤土植入预制桩的基本理论→系列成套产品→施工技术与装备→设计规范→工程应用的完整创新体系，推动非挤土植入预制桩成为主流桩基技术，引领了桩基行业创新发展方向。研究成果已在地铁保护区（宁波中心项目、宁波大学医学院扩建、杭州西枢纽）、文物保护区（上海玉佛禅寺周边改造、绍兴古窑址环境提升工程）、城市更新区（上海静安大宁社区更新、宁波划船未来社区）、重大基础设施（浦东机场、虹桥机场扩建）等周边环境复杂敏感区域的千余项工程中成功应用。</w:t>
            </w:r>
          </w:p>
          <w:p w14:paraId="7394F5A8">
            <w:pPr>
              <w:snapToGrid w:val="0"/>
              <w:ind w:firstLine="480" w:firstLineChars="200"/>
              <w:jc w:val="left"/>
              <w:rPr>
                <w:rStyle w:val="38"/>
                <w:rFonts w:eastAsia="仿宋_GB2312"/>
                <w:b w:val="0"/>
                <w:color w:val="auto"/>
              </w:rPr>
            </w:pPr>
            <w:r>
              <w:rPr>
                <w:rStyle w:val="38"/>
                <w:rFonts w:hint="eastAsia" w:eastAsia="仿宋_GB2312"/>
                <w:b w:val="0"/>
                <w:color w:val="auto"/>
                <w:lang w:val="en-US" w:eastAsia="zh-CN"/>
              </w:rPr>
              <w:t>拟提名该成果为2024年浙江省科学技术发明奖一等奖</w:t>
            </w:r>
            <w:r>
              <w:rPr>
                <w:rStyle w:val="38"/>
                <w:rFonts w:hint="eastAsia" w:eastAsia="仿宋_GB2312"/>
                <w:b w:val="0"/>
                <w:color w:val="auto"/>
              </w:rPr>
              <w:t>。</w:t>
            </w:r>
          </w:p>
        </w:tc>
      </w:tr>
    </w:tbl>
    <w:p w14:paraId="67F02085">
      <w:pPr>
        <w:adjustRightInd w:val="0"/>
        <w:snapToGrid w:val="0"/>
        <w:spacing w:line="560" w:lineRule="exact"/>
        <w:rPr>
          <w:rFonts w:eastAsia="仿宋_GB2312"/>
          <w:sz w:val="32"/>
          <w:szCs w:val="32"/>
        </w:rPr>
      </w:pPr>
    </w:p>
    <w:sectPr>
      <w:headerReference r:id="rId3" w:type="default"/>
      <w:footerReference r:id="rId4" w:type="default"/>
      <w:pgSz w:w="11906" w:h="16838"/>
      <w:pgMar w:top="2098" w:right="1588" w:bottom="2098"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D3F240D-2BAD-4628-9BCB-E75F28D03F9C}"/>
  </w:font>
  <w:font w:name="Arial">
    <w:panose1 w:val="020B0604020202020204"/>
    <w:charset w:val="01"/>
    <w:family w:val="swiss"/>
    <w:pitch w:val="default"/>
    <w:sig w:usb0="E0002EFF" w:usb1="C000785B" w:usb2="00000009" w:usb3="00000000" w:csb0="400001FF" w:csb1="FFFF0000"/>
    <w:embedRegular r:id="rId2" w:fontKey="{222958D1-E30E-48F7-93BE-D4C4B6058481}"/>
  </w:font>
  <w:font w:name="黑体">
    <w:panose1 w:val="02010609060101010101"/>
    <w:charset w:val="86"/>
    <w:family w:val="auto"/>
    <w:pitch w:val="default"/>
    <w:sig w:usb0="800002BF" w:usb1="38CF7CFA" w:usb2="00000016" w:usb3="00000000" w:csb0="00040001" w:csb1="00000000"/>
    <w:embedRegular r:id="rId3" w:fontKey="{CD96EA6E-BC71-40A7-9A57-DBCA0B15FA5E}"/>
  </w:font>
  <w:font w:name="Courier New">
    <w:panose1 w:val="02070309020205020404"/>
    <w:charset w:val="01"/>
    <w:family w:val="modern"/>
    <w:pitch w:val="default"/>
    <w:sig w:usb0="E0002EFF" w:usb1="C0007843" w:usb2="00000009" w:usb3="00000000" w:csb0="400001FF" w:csb1="FFFF0000"/>
    <w:embedRegular r:id="rId4" w:fontKey="{0EF7D851-D063-4A62-B12B-6DAF46AC62FE}"/>
  </w:font>
  <w:font w:name="Symbol">
    <w:panose1 w:val="05050102010706020507"/>
    <w:charset w:val="02"/>
    <w:family w:val="roman"/>
    <w:pitch w:val="default"/>
    <w:sig w:usb0="00000000" w:usb1="00000000" w:usb2="00000000" w:usb3="00000000" w:csb0="80000000" w:csb1="00000000"/>
    <w:embedRegular r:id="rId5" w:fontKey="{E114AA7A-5E59-454E-9632-532DFD28BCA6}"/>
  </w:font>
  <w:font w:name="Calibri">
    <w:panose1 w:val="020F0502020204030204"/>
    <w:charset w:val="00"/>
    <w:family w:val="swiss"/>
    <w:pitch w:val="default"/>
    <w:sig w:usb0="E4002EFF" w:usb1="C000247B" w:usb2="00000009" w:usb3="00000000" w:csb0="200001FF" w:csb1="00000000"/>
    <w:embedRegular r:id="rId6" w:fontKey="{FFC30ED2-3834-4F63-BA94-656613E49F64}"/>
  </w:font>
  <w:font w:name="Cambria">
    <w:panose1 w:val="02040503050406030204"/>
    <w:charset w:val="00"/>
    <w:family w:val="roman"/>
    <w:pitch w:val="default"/>
    <w:sig w:usb0="E00006FF" w:usb1="420024FF" w:usb2="02000000" w:usb3="00000000" w:csb0="2000019F" w:csb1="00000000"/>
    <w:embedRegular r:id="rId7" w:fontKey="{3C704693-B113-4969-AA58-A75BD56A8604}"/>
  </w:font>
  <w:font w:name="仿宋_GB2312">
    <w:panose1 w:val="02010609030101010101"/>
    <w:charset w:val="86"/>
    <w:family w:val="modern"/>
    <w:pitch w:val="default"/>
    <w:sig w:usb0="00000001" w:usb1="080E0000" w:usb2="00000000" w:usb3="00000000" w:csb0="00040000" w:csb1="00000000"/>
    <w:embedRegular r:id="rId8" w:fontKey="{BBFAEF03-C813-4FAE-9AAD-774E9C8F9627}"/>
  </w:font>
  <w:font w:name="方正仿宋简体">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方正小标宋简体">
    <w:panose1 w:val="02010600010101010101"/>
    <w:charset w:val="86"/>
    <w:family w:val="auto"/>
    <w:pitch w:val="default"/>
    <w:sig w:usb0="00000001" w:usb1="080E0000" w:usb2="00000000" w:usb3="00000000" w:csb0="00040000" w:csb1="00000000"/>
    <w:embedRegular r:id="rId9" w:fontKey="{8B110BC5-71CF-4938-B4C6-EF3C0F55405C}"/>
  </w:font>
  <w:font w:name="仿宋">
    <w:panose1 w:val="02010609060101010101"/>
    <w:charset w:val="86"/>
    <w:family w:val="modern"/>
    <w:pitch w:val="default"/>
    <w:sig w:usb0="800002BF" w:usb1="38CF7CFA" w:usb2="00000016" w:usb3="00000000" w:csb0="00040001" w:csb1="00000000"/>
    <w:embedRegular r:id="rId10" w:fontKey="{70CFA0DD-B781-4AE3-83AE-472B0F46F0F6}"/>
  </w:font>
  <w:font w:name="WPSEMBED2">
    <w:panose1 w:val="02010600010101010101"/>
    <w:charset w:val="86"/>
    <w:family w:val="auto"/>
    <w:pitch w:val="default"/>
    <w:sig w:usb0="00000001" w:usb1="080E0000" w:usb2="00000000" w:usb3="00000000" w:csb0="00040000" w:csb1="00000000"/>
  </w:font>
  <w:font w:name="WPSEMBED1">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4A10D6">
    <w:pPr>
      <w:pStyle w:val="10"/>
      <w:jc w:val="center"/>
      <w:rPr>
        <w:sz w:val="21"/>
        <w:szCs w:val="21"/>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BE19B6">
    <w:pPr>
      <w:ind w:left="420" w:hanging="42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YyOTIyN2MyNGEwMTc4ZmUxNDRhNjVjNGMwMGI5Y2QifQ=="/>
  </w:docVars>
  <w:rsids>
    <w:rsidRoot w:val="007C28FF"/>
    <w:rsid w:val="00006056"/>
    <w:rsid w:val="00007AB4"/>
    <w:rsid w:val="00007BBE"/>
    <w:rsid w:val="000117FA"/>
    <w:rsid w:val="000165DC"/>
    <w:rsid w:val="00031E44"/>
    <w:rsid w:val="00033288"/>
    <w:rsid w:val="0004004D"/>
    <w:rsid w:val="00051BE3"/>
    <w:rsid w:val="00053F24"/>
    <w:rsid w:val="000557CF"/>
    <w:rsid w:val="00060DF9"/>
    <w:rsid w:val="0006546D"/>
    <w:rsid w:val="00066016"/>
    <w:rsid w:val="00067E32"/>
    <w:rsid w:val="00073B46"/>
    <w:rsid w:val="00083906"/>
    <w:rsid w:val="000847FC"/>
    <w:rsid w:val="000929AE"/>
    <w:rsid w:val="000A075C"/>
    <w:rsid w:val="000A0FE4"/>
    <w:rsid w:val="000B70B3"/>
    <w:rsid w:val="000C3B47"/>
    <w:rsid w:val="000C632A"/>
    <w:rsid w:val="000F1229"/>
    <w:rsid w:val="000F2CC3"/>
    <w:rsid w:val="000F6066"/>
    <w:rsid w:val="000F6517"/>
    <w:rsid w:val="000F6B39"/>
    <w:rsid w:val="000F7732"/>
    <w:rsid w:val="001039E9"/>
    <w:rsid w:val="00104F03"/>
    <w:rsid w:val="0012430D"/>
    <w:rsid w:val="001327BF"/>
    <w:rsid w:val="001348AE"/>
    <w:rsid w:val="001435CC"/>
    <w:rsid w:val="001439BC"/>
    <w:rsid w:val="00153E23"/>
    <w:rsid w:val="00154376"/>
    <w:rsid w:val="001553CE"/>
    <w:rsid w:val="001614FC"/>
    <w:rsid w:val="00165962"/>
    <w:rsid w:val="00171419"/>
    <w:rsid w:val="0017168F"/>
    <w:rsid w:val="00172167"/>
    <w:rsid w:val="00180BAA"/>
    <w:rsid w:val="001829B2"/>
    <w:rsid w:val="00185449"/>
    <w:rsid w:val="001914CA"/>
    <w:rsid w:val="00192701"/>
    <w:rsid w:val="0019371C"/>
    <w:rsid w:val="001A45A0"/>
    <w:rsid w:val="001A5554"/>
    <w:rsid w:val="001A55E6"/>
    <w:rsid w:val="001A5B4F"/>
    <w:rsid w:val="001B0C22"/>
    <w:rsid w:val="001B454D"/>
    <w:rsid w:val="001B52AA"/>
    <w:rsid w:val="001C4D6D"/>
    <w:rsid w:val="001D3908"/>
    <w:rsid w:val="001E02BA"/>
    <w:rsid w:val="001F032B"/>
    <w:rsid w:val="001F2C76"/>
    <w:rsid w:val="001F7F40"/>
    <w:rsid w:val="00210961"/>
    <w:rsid w:val="00212129"/>
    <w:rsid w:val="00213CE9"/>
    <w:rsid w:val="0021734C"/>
    <w:rsid w:val="002242B0"/>
    <w:rsid w:val="002247F4"/>
    <w:rsid w:val="00230FE9"/>
    <w:rsid w:val="00231C17"/>
    <w:rsid w:val="0023223F"/>
    <w:rsid w:val="0023647A"/>
    <w:rsid w:val="00244749"/>
    <w:rsid w:val="00244930"/>
    <w:rsid w:val="002453F9"/>
    <w:rsid w:val="00247A49"/>
    <w:rsid w:val="00251808"/>
    <w:rsid w:val="002579D1"/>
    <w:rsid w:val="002745F8"/>
    <w:rsid w:val="00283031"/>
    <w:rsid w:val="0029509E"/>
    <w:rsid w:val="00296134"/>
    <w:rsid w:val="002A2925"/>
    <w:rsid w:val="002A7955"/>
    <w:rsid w:val="002B3198"/>
    <w:rsid w:val="002C6803"/>
    <w:rsid w:val="002C6E65"/>
    <w:rsid w:val="002D1FA7"/>
    <w:rsid w:val="002D3BA3"/>
    <w:rsid w:val="002E3C77"/>
    <w:rsid w:val="002E42A8"/>
    <w:rsid w:val="002E43DB"/>
    <w:rsid w:val="002E49E7"/>
    <w:rsid w:val="002F1911"/>
    <w:rsid w:val="002F210F"/>
    <w:rsid w:val="002F74D2"/>
    <w:rsid w:val="0030543F"/>
    <w:rsid w:val="003063D6"/>
    <w:rsid w:val="00311F89"/>
    <w:rsid w:val="003125EF"/>
    <w:rsid w:val="00326352"/>
    <w:rsid w:val="00330554"/>
    <w:rsid w:val="00331B99"/>
    <w:rsid w:val="00336678"/>
    <w:rsid w:val="00340314"/>
    <w:rsid w:val="00343DF4"/>
    <w:rsid w:val="00347614"/>
    <w:rsid w:val="00356B8A"/>
    <w:rsid w:val="00363C7E"/>
    <w:rsid w:val="00370977"/>
    <w:rsid w:val="00377C1C"/>
    <w:rsid w:val="00382214"/>
    <w:rsid w:val="00382EDD"/>
    <w:rsid w:val="00386D85"/>
    <w:rsid w:val="00390DE9"/>
    <w:rsid w:val="003A026D"/>
    <w:rsid w:val="003A08CF"/>
    <w:rsid w:val="003A343A"/>
    <w:rsid w:val="003A466E"/>
    <w:rsid w:val="003A5D0E"/>
    <w:rsid w:val="003A60A7"/>
    <w:rsid w:val="003B0906"/>
    <w:rsid w:val="003B2A50"/>
    <w:rsid w:val="003B3345"/>
    <w:rsid w:val="003C1234"/>
    <w:rsid w:val="003C4124"/>
    <w:rsid w:val="003D0B2E"/>
    <w:rsid w:val="003E6BFB"/>
    <w:rsid w:val="003F0278"/>
    <w:rsid w:val="003F1E9D"/>
    <w:rsid w:val="003F4AB6"/>
    <w:rsid w:val="003F76A0"/>
    <w:rsid w:val="00401E30"/>
    <w:rsid w:val="004058E3"/>
    <w:rsid w:val="004179C8"/>
    <w:rsid w:val="00427A6E"/>
    <w:rsid w:val="004300EE"/>
    <w:rsid w:val="0043080F"/>
    <w:rsid w:val="00442705"/>
    <w:rsid w:val="00444A55"/>
    <w:rsid w:val="0044700B"/>
    <w:rsid w:val="0044760A"/>
    <w:rsid w:val="00453528"/>
    <w:rsid w:val="00453C0E"/>
    <w:rsid w:val="00461A90"/>
    <w:rsid w:val="004646A9"/>
    <w:rsid w:val="00474616"/>
    <w:rsid w:val="004820BD"/>
    <w:rsid w:val="00484A1D"/>
    <w:rsid w:val="00484D69"/>
    <w:rsid w:val="004929AC"/>
    <w:rsid w:val="00492EAC"/>
    <w:rsid w:val="004A6419"/>
    <w:rsid w:val="004A6F17"/>
    <w:rsid w:val="004B33C9"/>
    <w:rsid w:val="004B341C"/>
    <w:rsid w:val="004B531C"/>
    <w:rsid w:val="004C2337"/>
    <w:rsid w:val="004D0618"/>
    <w:rsid w:val="004D3106"/>
    <w:rsid w:val="004D55B5"/>
    <w:rsid w:val="004E11C6"/>
    <w:rsid w:val="004E36AB"/>
    <w:rsid w:val="004E5BDC"/>
    <w:rsid w:val="004F503B"/>
    <w:rsid w:val="004F551A"/>
    <w:rsid w:val="005002DF"/>
    <w:rsid w:val="00500EBD"/>
    <w:rsid w:val="00504232"/>
    <w:rsid w:val="00504A94"/>
    <w:rsid w:val="0050638A"/>
    <w:rsid w:val="00510C66"/>
    <w:rsid w:val="00511F4B"/>
    <w:rsid w:val="0051372C"/>
    <w:rsid w:val="00521ED7"/>
    <w:rsid w:val="00526964"/>
    <w:rsid w:val="00532D5A"/>
    <w:rsid w:val="00534CA2"/>
    <w:rsid w:val="005354E4"/>
    <w:rsid w:val="00544032"/>
    <w:rsid w:val="00552729"/>
    <w:rsid w:val="005554E5"/>
    <w:rsid w:val="005663D6"/>
    <w:rsid w:val="0057056C"/>
    <w:rsid w:val="00570701"/>
    <w:rsid w:val="0057414B"/>
    <w:rsid w:val="0057576E"/>
    <w:rsid w:val="0058367D"/>
    <w:rsid w:val="00586D66"/>
    <w:rsid w:val="005A0877"/>
    <w:rsid w:val="005A17EC"/>
    <w:rsid w:val="005A1A1D"/>
    <w:rsid w:val="005A485B"/>
    <w:rsid w:val="005A6276"/>
    <w:rsid w:val="005A6B7D"/>
    <w:rsid w:val="005B5550"/>
    <w:rsid w:val="005B65F0"/>
    <w:rsid w:val="005D2A14"/>
    <w:rsid w:val="005D36E9"/>
    <w:rsid w:val="005E0059"/>
    <w:rsid w:val="005E261D"/>
    <w:rsid w:val="005E49A6"/>
    <w:rsid w:val="005E6D32"/>
    <w:rsid w:val="005F0DC8"/>
    <w:rsid w:val="00600FA4"/>
    <w:rsid w:val="00601C90"/>
    <w:rsid w:val="00605720"/>
    <w:rsid w:val="00611BDC"/>
    <w:rsid w:val="006177DC"/>
    <w:rsid w:val="00617DE1"/>
    <w:rsid w:val="00623BD2"/>
    <w:rsid w:val="00624406"/>
    <w:rsid w:val="00626265"/>
    <w:rsid w:val="006269F8"/>
    <w:rsid w:val="00632D73"/>
    <w:rsid w:val="0064267E"/>
    <w:rsid w:val="00642EBC"/>
    <w:rsid w:val="00643B2E"/>
    <w:rsid w:val="00646AD1"/>
    <w:rsid w:val="0065509C"/>
    <w:rsid w:val="00670053"/>
    <w:rsid w:val="00672306"/>
    <w:rsid w:val="00673E71"/>
    <w:rsid w:val="0068168C"/>
    <w:rsid w:val="006823DB"/>
    <w:rsid w:val="006831C2"/>
    <w:rsid w:val="00692309"/>
    <w:rsid w:val="00694DDB"/>
    <w:rsid w:val="006A1E31"/>
    <w:rsid w:val="006A390F"/>
    <w:rsid w:val="006A580A"/>
    <w:rsid w:val="006B34CD"/>
    <w:rsid w:val="006C528F"/>
    <w:rsid w:val="006C691E"/>
    <w:rsid w:val="006C6CA7"/>
    <w:rsid w:val="006D10DB"/>
    <w:rsid w:val="006D59C3"/>
    <w:rsid w:val="006E4386"/>
    <w:rsid w:val="006E5310"/>
    <w:rsid w:val="006F0C81"/>
    <w:rsid w:val="006F4580"/>
    <w:rsid w:val="006F5028"/>
    <w:rsid w:val="006F5EED"/>
    <w:rsid w:val="006F7780"/>
    <w:rsid w:val="007116D0"/>
    <w:rsid w:val="00721ACB"/>
    <w:rsid w:val="00725CE5"/>
    <w:rsid w:val="0073019F"/>
    <w:rsid w:val="0073072B"/>
    <w:rsid w:val="00734046"/>
    <w:rsid w:val="00735560"/>
    <w:rsid w:val="00736027"/>
    <w:rsid w:val="007370E0"/>
    <w:rsid w:val="00745D4A"/>
    <w:rsid w:val="007466B8"/>
    <w:rsid w:val="00751448"/>
    <w:rsid w:val="00751A09"/>
    <w:rsid w:val="0075383C"/>
    <w:rsid w:val="00754147"/>
    <w:rsid w:val="00756A32"/>
    <w:rsid w:val="00756C08"/>
    <w:rsid w:val="00756D75"/>
    <w:rsid w:val="00760A58"/>
    <w:rsid w:val="00763073"/>
    <w:rsid w:val="0076560D"/>
    <w:rsid w:val="00767A99"/>
    <w:rsid w:val="00774097"/>
    <w:rsid w:val="00784D44"/>
    <w:rsid w:val="00793C8C"/>
    <w:rsid w:val="00793E7F"/>
    <w:rsid w:val="007940D2"/>
    <w:rsid w:val="00794B04"/>
    <w:rsid w:val="0079610B"/>
    <w:rsid w:val="00797739"/>
    <w:rsid w:val="007A5E60"/>
    <w:rsid w:val="007B0382"/>
    <w:rsid w:val="007B5ADC"/>
    <w:rsid w:val="007B7CAA"/>
    <w:rsid w:val="007C28FF"/>
    <w:rsid w:val="007C5AC5"/>
    <w:rsid w:val="007D26E7"/>
    <w:rsid w:val="007D43D1"/>
    <w:rsid w:val="007D58D1"/>
    <w:rsid w:val="007D68D7"/>
    <w:rsid w:val="007E17CF"/>
    <w:rsid w:val="007F5A15"/>
    <w:rsid w:val="0080157D"/>
    <w:rsid w:val="008042D8"/>
    <w:rsid w:val="00812C78"/>
    <w:rsid w:val="00813788"/>
    <w:rsid w:val="0082227E"/>
    <w:rsid w:val="00822B10"/>
    <w:rsid w:val="00823F06"/>
    <w:rsid w:val="00832862"/>
    <w:rsid w:val="00832F6E"/>
    <w:rsid w:val="00832F80"/>
    <w:rsid w:val="00833452"/>
    <w:rsid w:val="00834CE8"/>
    <w:rsid w:val="0083551E"/>
    <w:rsid w:val="00845A89"/>
    <w:rsid w:val="00845F36"/>
    <w:rsid w:val="008527A7"/>
    <w:rsid w:val="00853603"/>
    <w:rsid w:val="008550E7"/>
    <w:rsid w:val="00856D92"/>
    <w:rsid w:val="00866267"/>
    <w:rsid w:val="008666C1"/>
    <w:rsid w:val="00866773"/>
    <w:rsid w:val="008706BC"/>
    <w:rsid w:val="00872CCF"/>
    <w:rsid w:val="00890A44"/>
    <w:rsid w:val="00891DDA"/>
    <w:rsid w:val="00894724"/>
    <w:rsid w:val="00896CA9"/>
    <w:rsid w:val="00897BC4"/>
    <w:rsid w:val="008A09D1"/>
    <w:rsid w:val="008A37FE"/>
    <w:rsid w:val="008B5F0B"/>
    <w:rsid w:val="008B78AD"/>
    <w:rsid w:val="008C37F3"/>
    <w:rsid w:val="008C5BE5"/>
    <w:rsid w:val="008C7FED"/>
    <w:rsid w:val="008D4B84"/>
    <w:rsid w:val="008D5553"/>
    <w:rsid w:val="00902413"/>
    <w:rsid w:val="0090595F"/>
    <w:rsid w:val="0090670A"/>
    <w:rsid w:val="00906781"/>
    <w:rsid w:val="00906A59"/>
    <w:rsid w:val="009211BA"/>
    <w:rsid w:val="00922838"/>
    <w:rsid w:val="009339E2"/>
    <w:rsid w:val="00942CCA"/>
    <w:rsid w:val="00944C6A"/>
    <w:rsid w:val="00945930"/>
    <w:rsid w:val="00947118"/>
    <w:rsid w:val="009529F5"/>
    <w:rsid w:val="00957194"/>
    <w:rsid w:val="009572C9"/>
    <w:rsid w:val="009607CA"/>
    <w:rsid w:val="0096088C"/>
    <w:rsid w:val="009728CB"/>
    <w:rsid w:val="00972B83"/>
    <w:rsid w:val="009747B9"/>
    <w:rsid w:val="00975273"/>
    <w:rsid w:val="009764E0"/>
    <w:rsid w:val="0098148B"/>
    <w:rsid w:val="00983F16"/>
    <w:rsid w:val="00984A71"/>
    <w:rsid w:val="00985B39"/>
    <w:rsid w:val="009866EC"/>
    <w:rsid w:val="0099292E"/>
    <w:rsid w:val="0099382A"/>
    <w:rsid w:val="00994C12"/>
    <w:rsid w:val="009A3A67"/>
    <w:rsid w:val="009D1070"/>
    <w:rsid w:val="009D2804"/>
    <w:rsid w:val="009D3350"/>
    <w:rsid w:val="009D66DD"/>
    <w:rsid w:val="009E70C5"/>
    <w:rsid w:val="009F0766"/>
    <w:rsid w:val="009F19B6"/>
    <w:rsid w:val="009F4B40"/>
    <w:rsid w:val="00A03853"/>
    <w:rsid w:val="00A11F99"/>
    <w:rsid w:val="00A1508E"/>
    <w:rsid w:val="00A156D9"/>
    <w:rsid w:val="00A243BC"/>
    <w:rsid w:val="00A27943"/>
    <w:rsid w:val="00A31D43"/>
    <w:rsid w:val="00A36061"/>
    <w:rsid w:val="00A402C6"/>
    <w:rsid w:val="00A5008B"/>
    <w:rsid w:val="00A56DF3"/>
    <w:rsid w:val="00A61479"/>
    <w:rsid w:val="00A65CD4"/>
    <w:rsid w:val="00A70F4C"/>
    <w:rsid w:val="00A736E3"/>
    <w:rsid w:val="00A81F20"/>
    <w:rsid w:val="00A86D79"/>
    <w:rsid w:val="00AA6478"/>
    <w:rsid w:val="00AA6A67"/>
    <w:rsid w:val="00AB2670"/>
    <w:rsid w:val="00AB2B0F"/>
    <w:rsid w:val="00AB7EC9"/>
    <w:rsid w:val="00AC096E"/>
    <w:rsid w:val="00AC5736"/>
    <w:rsid w:val="00AC69B7"/>
    <w:rsid w:val="00AC7691"/>
    <w:rsid w:val="00AD689E"/>
    <w:rsid w:val="00AD7D6F"/>
    <w:rsid w:val="00AD7EA6"/>
    <w:rsid w:val="00AE189B"/>
    <w:rsid w:val="00AE5A16"/>
    <w:rsid w:val="00AF0A71"/>
    <w:rsid w:val="00AF2833"/>
    <w:rsid w:val="00AF2A0E"/>
    <w:rsid w:val="00B03355"/>
    <w:rsid w:val="00B0469B"/>
    <w:rsid w:val="00B127DF"/>
    <w:rsid w:val="00B14566"/>
    <w:rsid w:val="00B237EB"/>
    <w:rsid w:val="00B24D94"/>
    <w:rsid w:val="00B268E1"/>
    <w:rsid w:val="00B269D7"/>
    <w:rsid w:val="00B303C2"/>
    <w:rsid w:val="00B362C3"/>
    <w:rsid w:val="00B43F7F"/>
    <w:rsid w:val="00B61629"/>
    <w:rsid w:val="00B62AC0"/>
    <w:rsid w:val="00B62CF3"/>
    <w:rsid w:val="00B63A00"/>
    <w:rsid w:val="00B651CC"/>
    <w:rsid w:val="00B66371"/>
    <w:rsid w:val="00B73F27"/>
    <w:rsid w:val="00B74C14"/>
    <w:rsid w:val="00B92BAD"/>
    <w:rsid w:val="00B9520A"/>
    <w:rsid w:val="00B976D0"/>
    <w:rsid w:val="00B979F5"/>
    <w:rsid w:val="00BA07A7"/>
    <w:rsid w:val="00BA3056"/>
    <w:rsid w:val="00BB3B5E"/>
    <w:rsid w:val="00BB47F3"/>
    <w:rsid w:val="00BD0ED0"/>
    <w:rsid w:val="00BE7259"/>
    <w:rsid w:val="00C10571"/>
    <w:rsid w:val="00C13649"/>
    <w:rsid w:val="00C24E7B"/>
    <w:rsid w:val="00C24EE0"/>
    <w:rsid w:val="00C36E42"/>
    <w:rsid w:val="00C3779F"/>
    <w:rsid w:val="00C414DF"/>
    <w:rsid w:val="00C51DAF"/>
    <w:rsid w:val="00C52425"/>
    <w:rsid w:val="00C555AC"/>
    <w:rsid w:val="00C56CDE"/>
    <w:rsid w:val="00C5764E"/>
    <w:rsid w:val="00C64274"/>
    <w:rsid w:val="00C65487"/>
    <w:rsid w:val="00C65987"/>
    <w:rsid w:val="00C74F01"/>
    <w:rsid w:val="00C80D82"/>
    <w:rsid w:val="00C83D98"/>
    <w:rsid w:val="00C84B1F"/>
    <w:rsid w:val="00C85794"/>
    <w:rsid w:val="00C87EB0"/>
    <w:rsid w:val="00C92139"/>
    <w:rsid w:val="00C94906"/>
    <w:rsid w:val="00CA0830"/>
    <w:rsid w:val="00CA08E7"/>
    <w:rsid w:val="00CA0BB3"/>
    <w:rsid w:val="00CB7617"/>
    <w:rsid w:val="00CC2CF9"/>
    <w:rsid w:val="00CC55CE"/>
    <w:rsid w:val="00CC694A"/>
    <w:rsid w:val="00CD3458"/>
    <w:rsid w:val="00CE7048"/>
    <w:rsid w:val="00CF0855"/>
    <w:rsid w:val="00CF0ED4"/>
    <w:rsid w:val="00CF10A0"/>
    <w:rsid w:val="00CF171B"/>
    <w:rsid w:val="00D043A5"/>
    <w:rsid w:val="00D06294"/>
    <w:rsid w:val="00D170C8"/>
    <w:rsid w:val="00D20CA5"/>
    <w:rsid w:val="00D22F7F"/>
    <w:rsid w:val="00D23039"/>
    <w:rsid w:val="00D27104"/>
    <w:rsid w:val="00D35DA8"/>
    <w:rsid w:val="00D35FAD"/>
    <w:rsid w:val="00D41A51"/>
    <w:rsid w:val="00D4719D"/>
    <w:rsid w:val="00D47863"/>
    <w:rsid w:val="00D51301"/>
    <w:rsid w:val="00D53C12"/>
    <w:rsid w:val="00D619CB"/>
    <w:rsid w:val="00D66E92"/>
    <w:rsid w:val="00D75966"/>
    <w:rsid w:val="00D76DA8"/>
    <w:rsid w:val="00D76EB9"/>
    <w:rsid w:val="00D97840"/>
    <w:rsid w:val="00DC0F80"/>
    <w:rsid w:val="00DC1C67"/>
    <w:rsid w:val="00DD7D0E"/>
    <w:rsid w:val="00DF02D4"/>
    <w:rsid w:val="00DF2AD8"/>
    <w:rsid w:val="00DF7FCB"/>
    <w:rsid w:val="00E066BD"/>
    <w:rsid w:val="00E1736F"/>
    <w:rsid w:val="00E17FF5"/>
    <w:rsid w:val="00E26009"/>
    <w:rsid w:val="00E3162A"/>
    <w:rsid w:val="00E37C85"/>
    <w:rsid w:val="00E407C9"/>
    <w:rsid w:val="00E448E6"/>
    <w:rsid w:val="00E46BD6"/>
    <w:rsid w:val="00E5280E"/>
    <w:rsid w:val="00E5401A"/>
    <w:rsid w:val="00E55EDB"/>
    <w:rsid w:val="00E56172"/>
    <w:rsid w:val="00E60002"/>
    <w:rsid w:val="00E63C4E"/>
    <w:rsid w:val="00E730DF"/>
    <w:rsid w:val="00E74D76"/>
    <w:rsid w:val="00E754A7"/>
    <w:rsid w:val="00E81909"/>
    <w:rsid w:val="00E83D1D"/>
    <w:rsid w:val="00E83D4E"/>
    <w:rsid w:val="00E84A18"/>
    <w:rsid w:val="00E84C25"/>
    <w:rsid w:val="00E84FF9"/>
    <w:rsid w:val="00E86E74"/>
    <w:rsid w:val="00E92BC0"/>
    <w:rsid w:val="00E93BC2"/>
    <w:rsid w:val="00EA7020"/>
    <w:rsid w:val="00EB1657"/>
    <w:rsid w:val="00EB2FD4"/>
    <w:rsid w:val="00EB7300"/>
    <w:rsid w:val="00EC5664"/>
    <w:rsid w:val="00ED130C"/>
    <w:rsid w:val="00ED31B6"/>
    <w:rsid w:val="00EE0CE1"/>
    <w:rsid w:val="00EE1078"/>
    <w:rsid w:val="00EE7B98"/>
    <w:rsid w:val="00EE7FC6"/>
    <w:rsid w:val="00EF79B0"/>
    <w:rsid w:val="00F024DB"/>
    <w:rsid w:val="00F143B1"/>
    <w:rsid w:val="00F1451E"/>
    <w:rsid w:val="00F23CF0"/>
    <w:rsid w:val="00F3777D"/>
    <w:rsid w:val="00F45942"/>
    <w:rsid w:val="00F45AE1"/>
    <w:rsid w:val="00F5192E"/>
    <w:rsid w:val="00F53F01"/>
    <w:rsid w:val="00F57D63"/>
    <w:rsid w:val="00F640B5"/>
    <w:rsid w:val="00F67176"/>
    <w:rsid w:val="00F711B9"/>
    <w:rsid w:val="00F765BA"/>
    <w:rsid w:val="00F81F40"/>
    <w:rsid w:val="00F90789"/>
    <w:rsid w:val="00F90DFB"/>
    <w:rsid w:val="00F91089"/>
    <w:rsid w:val="00F94DE6"/>
    <w:rsid w:val="00FA33E4"/>
    <w:rsid w:val="00FB0D99"/>
    <w:rsid w:val="00FB523A"/>
    <w:rsid w:val="00FB5471"/>
    <w:rsid w:val="00FB606D"/>
    <w:rsid w:val="00FC174C"/>
    <w:rsid w:val="00FC18D8"/>
    <w:rsid w:val="00FC5A70"/>
    <w:rsid w:val="00FC7BB3"/>
    <w:rsid w:val="00FC7D4F"/>
    <w:rsid w:val="00FD0CCE"/>
    <w:rsid w:val="00FD3CB2"/>
    <w:rsid w:val="00FD5FDA"/>
    <w:rsid w:val="00FE187C"/>
    <w:rsid w:val="00FE48C9"/>
    <w:rsid w:val="00FE69B2"/>
    <w:rsid w:val="00FF48B9"/>
    <w:rsid w:val="00FF49EB"/>
    <w:rsid w:val="014955A3"/>
    <w:rsid w:val="02883661"/>
    <w:rsid w:val="02C848FD"/>
    <w:rsid w:val="04854128"/>
    <w:rsid w:val="04A9605B"/>
    <w:rsid w:val="063B5B78"/>
    <w:rsid w:val="07CA76CE"/>
    <w:rsid w:val="08E33793"/>
    <w:rsid w:val="08E91129"/>
    <w:rsid w:val="09434D9D"/>
    <w:rsid w:val="09C556F2"/>
    <w:rsid w:val="09F92B1D"/>
    <w:rsid w:val="0A694752"/>
    <w:rsid w:val="0AB42620"/>
    <w:rsid w:val="0AD10D6A"/>
    <w:rsid w:val="0BB30987"/>
    <w:rsid w:val="0DF07EE3"/>
    <w:rsid w:val="0E643518"/>
    <w:rsid w:val="10344DD0"/>
    <w:rsid w:val="107514F4"/>
    <w:rsid w:val="10DD4EBB"/>
    <w:rsid w:val="12435D4E"/>
    <w:rsid w:val="132C233E"/>
    <w:rsid w:val="13434742"/>
    <w:rsid w:val="15F93F79"/>
    <w:rsid w:val="16287BC3"/>
    <w:rsid w:val="16693DC2"/>
    <w:rsid w:val="16AD7FB9"/>
    <w:rsid w:val="17EDC74B"/>
    <w:rsid w:val="183F1493"/>
    <w:rsid w:val="18D07C10"/>
    <w:rsid w:val="18FC4FBA"/>
    <w:rsid w:val="190768CF"/>
    <w:rsid w:val="19630365"/>
    <w:rsid w:val="19AF3334"/>
    <w:rsid w:val="1A604FC3"/>
    <w:rsid w:val="1AAB4A91"/>
    <w:rsid w:val="1B0E4ACA"/>
    <w:rsid w:val="1B8B48E8"/>
    <w:rsid w:val="1C3E3265"/>
    <w:rsid w:val="1C9808FD"/>
    <w:rsid w:val="1D632E00"/>
    <w:rsid w:val="1D934311"/>
    <w:rsid w:val="1DF52CC8"/>
    <w:rsid w:val="1E065132"/>
    <w:rsid w:val="1E1862E1"/>
    <w:rsid w:val="1F096FB1"/>
    <w:rsid w:val="210838D9"/>
    <w:rsid w:val="217A28E4"/>
    <w:rsid w:val="22873147"/>
    <w:rsid w:val="229233C9"/>
    <w:rsid w:val="23571659"/>
    <w:rsid w:val="23737E65"/>
    <w:rsid w:val="23DA218B"/>
    <w:rsid w:val="254D1128"/>
    <w:rsid w:val="26574DB4"/>
    <w:rsid w:val="27143262"/>
    <w:rsid w:val="275B723E"/>
    <w:rsid w:val="27E50DCB"/>
    <w:rsid w:val="29F90ABD"/>
    <w:rsid w:val="2A213392"/>
    <w:rsid w:val="2A465F84"/>
    <w:rsid w:val="2A4F18CC"/>
    <w:rsid w:val="2A5700B2"/>
    <w:rsid w:val="2AC96FF6"/>
    <w:rsid w:val="2B0E5044"/>
    <w:rsid w:val="2B5E7BEB"/>
    <w:rsid w:val="2C5A5D16"/>
    <w:rsid w:val="2D441354"/>
    <w:rsid w:val="2D5304A2"/>
    <w:rsid w:val="2D68079A"/>
    <w:rsid w:val="2DF700D9"/>
    <w:rsid w:val="2E4550FC"/>
    <w:rsid w:val="2E514683"/>
    <w:rsid w:val="2EBACCEC"/>
    <w:rsid w:val="2F276578"/>
    <w:rsid w:val="2F917CA1"/>
    <w:rsid w:val="2FFC7DCE"/>
    <w:rsid w:val="30CD711A"/>
    <w:rsid w:val="32C1444F"/>
    <w:rsid w:val="338728D9"/>
    <w:rsid w:val="33D20888"/>
    <w:rsid w:val="35BC17F0"/>
    <w:rsid w:val="35F10F8D"/>
    <w:rsid w:val="374F01EB"/>
    <w:rsid w:val="376D011C"/>
    <w:rsid w:val="38891DB8"/>
    <w:rsid w:val="38A16843"/>
    <w:rsid w:val="39072D82"/>
    <w:rsid w:val="398F5D75"/>
    <w:rsid w:val="3ABA7D5B"/>
    <w:rsid w:val="3C4F4F38"/>
    <w:rsid w:val="3CE416AE"/>
    <w:rsid w:val="3E050FE5"/>
    <w:rsid w:val="3E43485C"/>
    <w:rsid w:val="3EAD0C0C"/>
    <w:rsid w:val="3F23643C"/>
    <w:rsid w:val="3F7FF403"/>
    <w:rsid w:val="436C4015"/>
    <w:rsid w:val="43D025F5"/>
    <w:rsid w:val="459C73B1"/>
    <w:rsid w:val="472E36B4"/>
    <w:rsid w:val="48B76D8F"/>
    <w:rsid w:val="495153B6"/>
    <w:rsid w:val="49A07007"/>
    <w:rsid w:val="49DD2383"/>
    <w:rsid w:val="4A78588E"/>
    <w:rsid w:val="4CA639F1"/>
    <w:rsid w:val="4DD314A2"/>
    <w:rsid w:val="4E3E0B9C"/>
    <w:rsid w:val="4EC76DE4"/>
    <w:rsid w:val="5552317F"/>
    <w:rsid w:val="557E53F1"/>
    <w:rsid w:val="573477B4"/>
    <w:rsid w:val="57E61A10"/>
    <w:rsid w:val="57FF4FBB"/>
    <w:rsid w:val="58BB54C9"/>
    <w:rsid w:val="58D36AC3"/>
    <w:rsid w:val="594E097A"/>
    <w:rsid w:val="59F65C7E"/>
    <w:rsid w:val="5A1D69F6"/>
    <w:rsid w:val="5B1909C7"/>
    <w:rsid w:val="5B64133E"/>
    <w:rsid w:val="5B9A4CA7"/>
    <w:rsid w:val="5C8B1F5F"/>
    <w:rsid w:val="5D7A3760"/>
    <w:rsid w:val="5D981ABC"/>
    <w:rsid w:val="5DB06C95"/>
    <w:rsid w:val="5EAB238F"/>
    <w:rsid w:val="5F2D2C93"/>
    <w:rsid w:val="5F487ACD"/>
    <w:rsid w:val="5F67637E"/>
    <w:rsid w:val="5F8613F6"/>
    <w:rsid w:val="5FBF5A6B"/>
    <w:rsid w:val="60E63616"/>
    <w:rsid w:val="60FB2C8B"/>
    <w:rsid w:val="612734A9"/>
    <w:rsid w:val="61907CF7"/>
    <w:rsid w:val="61A21FB6"/>
    <w:rsid w:val="61C548D6"/>
    <w:rsid w:val="625E7AFA"/>
    <w:rsid w:val="63123A52"/>
    <w:rsid w:val="63441F36"/>
    <w:rsid w:val="641941AB"/>
    <w:rsid w:val="64C701D0"/>
    <w:rsid w:val="64CB1487"/>
    <w:rsid w:val="64FF0C2E"/>
    <w:rsid w:val="657E0B48"/>
    <w:rsid w:val="660F30F2"/>
    <w:rsid w:val="67FA3CBD"/>
    <w:rsid w:val="67FF5FF1"/>
    <w:rsid w:val="688D6DBF"/>
    <w:rsid w:val="69BE70C4"/>
    <w:rsid w:val="6A2A1384"/>
    <w:rsid w:val="6AFE3735"/>
    <w:rsid w:val="6AFEE48C"/>
    <w:rsid w:val="6B5E0AAF"/>
    <w:rsid w:val="6BD31768"/>
    <w:rsid w:val="6D103417"/>
    <w:rsid w:val="6D342528"/>
    <w:rsid w:val="6D73A7A8"/>
    <w:rsid w:val="6DED540B"/>
    <w:rsid w:val="6EC205F2"/>
    <w:rsid w:val="6EF51602"/>
    <w:rsid w:val="703D1E9A"/>
    <w:rsid w:val="70A408DB"/>
    <w:rsid w:val="717383BB"/>
    <w:rsid w:val="71EE2967"/>
    <w:rsid w:val="72FB5971"/>
    <w:rsid w:val="7367CFA8"/>
    <w:rsid w:val="7368470D"/>
    <w:rsid w:val="73762533"/>
    <w:rsid w:val="73F6855F"/>
    <w:rsid w:val="74507E06"/>
    <w:rsid w:val="74FD2CB8"/>
    <w:rsid w:val="75FF44DB"/>
    <w:rsid w:val="76413F68"/>
    <w:rsid w:val="765C6DB5"/>
    <w:rsid w:val="77210E87"/>
    <w:rsid w:val="77B1FF77"/>
    <w:rsid w:val="797F503F"/>
    <w:rsid w:val="799A7C87"/>
    <w:rsid w:val="7A6B49A6"/>
    <w:rsid w:val="7A852316"/>
    <w:rsid w:val="7B5615BC"/>
    <w:rsid w:val="7B973D59"/>
    <w:rsid w:val="7BAE59D5"/>
    <w:rsid w:val="7BEC7AA8"/>
    <w:rsid w:val="7BFE8EC0"/>
    <w:rsid w:val="7DF77DD2"/>
    <w:rsid w:val="7DFFA53F"/>
    <w:rsid w:val="7F2FE11E"/>
    <w:rsid w:val="7F7BA24F"/>
    <w:rsid w:val="7FAB99E8"/>
    <w:rsid w:val="7FB56661"/>
    <w:rsid w:val="7FB746D5"/>
    <w:rsid w:val="7FDE543C"/>
    <w:rsid w:val="B8F7F9A2"/>
    <w:rsid w:val="CBDF8A08"/>
    <w:rsid w:val="DB7451F2"/>
    <w:rsid w:val="DC9FCBEB"/>
    <w:rsid w:val="E9D78A37"/>
    <w:rsid w:val="EBCD529C"/>
    <w:rsid w:val="EBDFC38F"/>
    <w:rsid w:val="EBE7CAE1"/>
    <w:rsid w:val="F2EFD742"/>
    <w:rsid w:val="F77B9D5A"/>
    <w:rsid w:val="F78CA074"/>
    <w:rsid w:val="F7DED60E"/>
    <w:rsid w:val="FAFD401C"/>
    <w:rsid w:val="FB6B9550"/>
    <w:rsid w:val="FB735437"/>
    <w:rsid w:val="FBFF0F16"/>
    <w:rsid w:val="FD7E2DDA"/>
    <w:rsid w:val="FDEF3302"/>
    <w:rsid w:val="FDF7D648"/>
    <w:rsid w:val="FE4DE1B6"/>
    <w:rsid w:val="FE5391AB"/>
    <w:rsid w:val="FFADF011"/>
    <w:rsid w:val="FFE15F73"/>
    <w:rsid w:val="FFF26CD7"/>
    <w:rsid w:val="FFFB041A"/>
    <w:rsid w:val="FFFF600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25"/>
    <w:qFormat/>
    <w:uiPriority w:val="9"/>
    <w:pPr>
      <w:keepNext/>
      <w:keepLines/>
      <w:widowControl/>
      <w:spacing w:before="340" w:after="330" w:line="578" w:lineRule="auto"/>
      <w:jc w:val="left"/>
      <w:outlineLvl w:val="0"/>
    </w:pPr>
    <w:rPr>
      <w:b/>
      <w:bCs/>
      <w:kern w:val="44"/>
      <w:sz w:val="44"/>
      <w:szCs w:val="44"/>
    </w:rPr>
  </w:style>
  <w:style w:type="paragraph" w:styleId="3">
    <w:name w:val="heading 2"/>
    <w:basedOn w:val="1"/>
    <w:next w:val="1"/>
    <w:link w:val="2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0"/>
    <w:semiHidden/>
    <w:unhideWhenUsed/>
    <w:qFormat/>
    <w:uiPriority w:val="9"/>
    <w:pPr>
      <w:keepNext/>
      <w:keepLines/>
      <w:spacing w:before="260" w:after="260" w:line="416" w:lineRule="auto"/>
      <w:outlineLvl w:val="2"/>
    </w:pPr>
    <w:rPr>
      <w:b/>
      <w:bCs/>
      <w:sz w:val="32"/>
      <w:szCs w:val="32"/>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31"/>
    <w:semiHidden/>
    <w:unhideWhenUsed/>
    <w:qFormat/>
    <w:uiPriority w:val="99"/>
    <w:pPr>
      <w:widowControl/>
      <w:jc w:val="left"/>
    </w:pPr>
  </w:style>
  <w:style w:type="paragraph" w:styleId="6">
    <w:name w:val="toc 3"/>
    <w:basedOn w:val="1"/>
    <w:next w:val="1"/>
    <w:unhideWhenUsed/>
    <w:qFormat/>
    <w:uiPriority w:val="39"/>
    <w:pPr>
      <w:widowControl/>
      <w:spacing w:after="100" w:line="259" w:lineRule="auto"/>
      <w:ind w:left="440"/>
      <w:jc w:val="left"/>
    </w:pPr>
    <w:rPr>
      <w:rFonts w:asciiTheme="minorHAnsi" w:hAnsiTheme="minorHAnsi" w:eastAsiaTheme="minorEastAsia"/>
      <w:kern w:val="0"/>
      <w:sz w:val="22"/>
      <w:szCs w:val="22"/>
    </w:rPr>
  </w:style>
  <w:style w:type="paragraph" w:styleId="7">
    <w:name w:val="Plain Text"/>
    <w:basedOn w:val="1"/>
    <w:link w:val="32"/>
    <w:qFormat/>
    <w:uiPriority w:val="0"/>
    <w:pPr>
      <w:spacing w:line="360" w:lineRule="auto"/>
      <w:ind w:firstLine="480" w:firstLineChars="200"/>
    </w:pPr>
    <w:rPr>
      <w:rFonts w:ascii="仿宋_GB2312"/>
      <w:sz w:val="24"/>
    </w:rPr>
  </w:style>
  <w:style w:type="paragraph" w:styleId="8">
    <w:name w:val="Body Text Indent 2"/>
    <w:basedOn w:val="1"/>
    <w:link w:val="35"/>
    <w:qFormat/>
    <w:uiPriority w:val="0"/>
    <w:pPr>
      <w:widowControl/>
      <w:ind w:firstLine="562" w:firstLineChars="200"/>
      <w:jc w:val="left"/>
    </w:pPr>
    <w:rPr>
      <w:b/>
      <w:bCs/>
      <w:sz w:val="28"/>
      <w:szCs w:val="24"/>
    </w:rPr>
  </w:style>
  <w:style w:type="paragraph" w:styleId="9">
    <w:name w:val="Balloon Text"/>
    <w:basedOn w:val="1"/>
    <w:link w:val="30"/>
    <w:semiHidden/>
    <w:unhideWhenUsed/>
    <w:qFormat/>
    <w:uiPriority w:val="99"/>
    <w:rPr>
      <w:sz w:val="18"/>
      <w:szCs w:val="18"/>
    </w:rPr>
  </w:style>
  <w:style w:type="paragraph" w:styleId="10">
    <w:name w:val="footer"/>
    <w:basedOn w:val="1"/>
    <w:link w:val="28"/>
    <w:unhideWhenUsed/>
    <w:qFormat/>
    <w:uiPriority w:val="99"/>
    <w:pPr>
      <w:tabs>
        <w:tab w:val="center" w:pos="4153"/>
        <w:tab w:val="right" w:pos="8306"/>
      </w:tabs>
      <w:snapToGrid w:val="0"/>
      <w:jc w:val="left"/>
    </w:pPr>
    <w:rPr>
      <w:sz w:val="18"/>
      <w:szCs w:val="18"/>
    </w:rPr>
  </w:style>
  <w:style w:type="paragraph" w:styleId="11">
    <w:name w:val="header"/>
    <w:basedOn w:val="1"/>
    <w:link w:val="27"/>
    <w:unhideWhenUsed/>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pPr>
      <w:widowControl/>
      <w:tabs>
        <w:tab w:val="right" w:leader="dot" w:pos="8720"/>
      </w:tabs>
      <w:spacing w:after="100" w:afterAutospacing="1" w:line="360" w:lineRule="auto"/>
      <w:jc w:val="left"/>
    </w:pPr>
    <w:rPr>
      <w:rFonts w:ascii="仿宋_GB2312" w:hAnsi="宋体" w:eastAsia="仿宋_GB2312"/>
      <w:b/>
      <w:bCs/>
      <w:kern w:val="0"/>
      <w:sz w:val="32"/>
      <w:szCs w:val="32"/>
    </w:rPr>
  </w:style>
  <w:style w:type="paragraph" w:styleId="13">
    <w:name w:val="toc 2"/>
    <w:basedOn w:val="1"/>
    <w:next w:val="1"/>
    <w:unhideWhenUsed/>
    <w:qFormat/>
    <w:uiPriority w:val="39"/>
    <w:pPr>
      <w:ind w:left="420" w:leftChars="200"/>
    </w:pPr>
  </w:style>
  <w:style w:type="paragraph" w:styleId="14">
    <w:name w:val="Normal (Web)"/>
    <w:basedOn w:val="1"/>
    <w:semiHidden/>
    <w:unhideWhenUsed/>
    <w:qFormat/>
    <w:uiPriority w:val="0"/>
    <w:pPr>
      <w:widowControl/>
      <w:spacing w:before="100" w:beforeAutospacing="1" w:after="100" w:afterAutospacing="1"/>
      <w:jc w:val="left"/>
    </w:pPr>
    <w:rPr>
      <w:rFonts w:ascii="宋体" w:hAnsi="宋体" w:cs="宋体"/>
      <w:kern w:val="0"/>
      <w:sz w:val="24"/>
      <w:szCs w:val="24"/>
    </w:rPr>
  </w:style>
  <w:style w:type="paragraph" w:styleId="15">
    <w:name w:val="Title"/>
    <w:basedOn w:val="1"/>
    <w:next w:val="1"/>
    <w:link w:val="36"/>
    <w:qFormat/>
    <w:uiPriority w:val="0"/>
    <w:pPr>
      <w:widowControl/>
      <w:spacing w:before="240" w:after="60"/>
      <w:jc w:val="center"/>
      <w:outlineLvl w:val="0"/>
    </w:pPr>
    <w:rPr>
      <w:rFonts w:ascii="Cambria" w:hAnsi="Cambria" w:eastAsia="黑体"/>
      <w:b/>
      <w:bCs/>
      <w:sz w:val="52"/>
      <w:szCs w:val="32"/>
    </w:rPr>
  </w:style>
  <w:style w:type="paragraph" w:styleId="16">
    <w:name w:val="annotation subject"/>
    <w:basedOn w:val="5"/>
    <w:next w:val="5"/>
    <w:link w:val="37"/>
    <w:semiHidden/>
    <w:unhideWhenUsed/>
    <w:qFormat/>
    <w:uiPriority w:val="99"/>
    <w:rPr>
      <w:b/>
      <w:bCs/>
    </w:rPr>
  </w:style>
  <w:style w:type="table" w:styleId="18">
    <w:name w:val="Table Grid"/>
    <w:basedOn w:val="1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qFormat/>
    <w:uiPriority w:val="0"/>
    <w:rPr>
      <w:b/>
      <w:bCs/>
    </w:rPr>
  </w:style>
  <w:style w:type="character" w:styleId="21">
    <w:name w:val="page number"/>
    <w:basedOn w:val="19"/>
    <w:qFormat/>
    <w:uiPriority w:val="0"/>
  </w:style>
  <w:style w:type="character" w:styleId="22">
    <w:name w:val="Emphasis"/>
    <w:basedOn w:val="19"/>
    <w:qFormat/>
    <w:uiPriority w:val="20"/>
    <w:rPr>
      <w:i/>
      <w:iCs/>
    </w:rPr>
  </w:style>
  <w:style w:type="character" w:styleId="23">
    <w:name w:val="Hyperlink"/>
    <w:qFormat/>
    <w:uiPriority w:val="99"/>
    <w:rPr>
      <w:color w:val="0000FF"/>
      <w:u w:val="single"/>
    </w:rPr>
  </w:style>
  <w:style w:type="character" w:styleId="24">
    <w:name w:val="annotation reference"/>
    <w:basedOn w:val="19"/>
    <w:semiHidden/>
    <w:unhideWhenUsed/>
    <w:qFormat/>
    <w:uiPriority w:val="99"/>
    <w:rPr>
      <w:sz w:val="21"/>
      <w:szCs w:val="21"/>
    </w:rPr>
  </w:style>
  <w:style w:type="character" w:customStyle="1" w:styleId="25">
    <w:name w:val="标题 1 字符"/>
    <w:basedOn w:val="19"/>
    <w:link w:val="2"/>
    <w:qFormat/>
    <w:uiPriority w:val="9"/>
    <w:rPr>
      <w:rFonts w:ascii="Times New Roman" w:hAnsi="Times New Roman" w:eastAsia="宋体" w:cs="Times New Roman"/>
      <w:b/>
      <w:bCs/>
      <w:kern w:val="44"/>
      <w:sz w:val="44"/>
      <w:szCs w:val="44"/>
    </w:rPr>
  </w:style>
  <w:style w:type="character" w:customStyle="1" w:styleId="26">
    <w:name w:val="标题 2 字符"/>
    <w:basedOn w:val="19"/>
    <w:link w:val="3"/>
    <w:qFormat/>
    <w:uiPriority w:val="9"/>
    <w:rPr>
      <w:rFonts w:asciiTheme="majorHAnsi" w:hAnsiTheme="majorHAnsi" w:eastAsiaTheme="majorEastAsia" w:cstheme="majorBidi"/>
      <w:b/>
      <w:bCs/>
      <w:sz w:val="32"/>
      <w:szCs w:val="32"/>
    </w:rPr>
  </w:style>
  <w:style w:type="character" w:customStyle="1" w:styleId="27">
    <w:name w:val="页眉 字符"/>
    <w:basedOn w:val="19"/>
    <w:link w:val="11"/>
    <w:qFormat/>
    <w:uiPriority w:val="0"/>
    <w:rPr>
      <w:sz w:val="18"/>
      <w:szCs w:val="18"/>
    </w:rPr>
  </w:style>
  <w:style w:type="character" w:customStyle="1" w:styleId="28">
    <w:name w:val="页脚 字符"/>
    <w:basedOn w:val="19"/>
    <w:link w:val="10"/>
    <w:qFormat/>
    <w:uiPriority w:val="99"/>
    <w:rPr>
      <w:sz w:val="18"/>
      <w:szCs w:val="18"/>
    </w:rPr>
  </w:style>
  <w:style w:type="paragraph" w:customStyle="1" w:styleId="29">
    <w:name w:val="样式1"/>
    <w:basedOn w:val="1"/>
    <w:qFormat/>
    <w:uiPriority w:val="0"/>
    <w:pPr>
      <w:spacing w:line="600" w:lineRule="exact"/>
      <w:ind w:firstLine="200" w:firstLineChars="200"/>
    </w:pPr>
    <w:rPr>
      <w:rFonts w:eastAsia="方正仿宋简体"/>
      <w:bCs/>
      <w:snapToGrid w:val="0"/>
      <w:kern w:val="0"/>
      <w:sz w:val="32"/>
      <w:szCs w:val="32"/>
    </w:rPr>
  </w:style>
  <w:style w:type="character" w:customStyle="1" w:styleId="30">
    <w:name w:val="批注框文本 字符"/>
    <w:basedOn w:val="19"/>
    <w:link w:val="9"/>
    <w:semiHidden/>
    <w:qFormat/>
    <w:uiPriority w:val="99"/>
    <w:rPr>
      <w:rFonts w:ascii="Times New Roman" w:hAnsi="Times New Roman" w:eastAsia="宋体" w:cs="Times New Roman"/>
      <w:sz w:val="18"/>
      <w:szCs w:val="18"/>
    </w:rPr>
  </w:style>
  <w:style w:type="character" w:customStyle="1" w:styleId="31">
    <w:name w:val="批注文字 字符"/>
    <w:basedOn w:val="19"/>
    <w:link w:val="5"/>
    <w:semiHidden/>
    <w:qFormat/>
    <w:uiPriority w:val="99"/>
    <w:rPr>
      <w:rFonts w:ascii="Times New Roman" w:hAnsi="Times New Roman" w:eastAsia="宋体" w:cs="Times New Roman"/>
      <w:szCs w:val="20"/>
    </w:rPr>
  </w:style>
  <w:style w:type="character" w:customStyle="1" w:styleId="32">
    <w:name w:val="纯文本 字符"/>
    <w:basedOn w:val="19"/>
    <w:link w:val="7"/>
    <w:qFormat/>
    <w:uiPriority w:val="0"/>
    <w:rPr>
      <w:rFonts w:ascii="仿宋_GB2312" w:hAnsi="Times New Roman" w:eastAsia="宋体" w:cs="Times New Roman"/>
      <w:sz w:val="24"/>
      <w:szCs w:val="20"/>
    </w:rPr>
  </w:style>
  <w:style w:type="paragraph" w:customStyle="1" w:styleId="33">
    <w:name w:val="_Style 8"/>
    <w:basedOn w:val="1"/>
    <w:next w:val="1"/>
    <w:qFormat/>
    <w:uiPriority w:val="0"/>
    <w:pPr>
      <w:spacing w:line="360" w:lineRule="auto"/>
      <w:ind w:firstLine="480" w:firstLineChars="200"/>
    </w:pPr>
    <w:rPr>
      <w:rFonts w:ascii="仿宋_GB2312"/>
      <w:sz w:val="24"/>
    </w:rPr>
  </w:style>
  <w:style w:type="paragraph" w:styleId="34">
    <w:name w:val="List Paragraph"/>
    <w:basedOn w:val="1"/>
    <w:qFormat/>
    <w:uiPriority w:val="34"/>
    <w:pPr>
      <w:ind w:firstLine="420" w:firstLineChars="200"/>
    </w:pPr>
    <w:rPr>
      <w:rFonts w:ascii="仿宋_GB2312" w:eastAsia="仿宋_GB2312"/>
      <w:spacing w:val="-4"/>
      <w:sz w:val="32"/>
    </w:rPr>
  </w:style>
  <w:style w:type="character" w:customStyle="1" w:styleId="35">
    <w:name w:val="正文文本缩进 2 字符"/>
    <w:basedOn w:val="19"/>
    <w:link w:val="8"/>
    <w:qFormat/>
    <w:uiPriority w:val="0"/>
    <w:rPr>
      <w:rFonts w:ascii="Times New Roman" w:hAnsi="Times New Roman" w:eastAsia="宋体" w:cs="Times New Roman"/>
      <w:b/>
      <w:bCs/>
      <w:sz w:val="28"/>
      <w:szCs w:val="24"/>
    </w:rPr>
  </w:style>
  <w:style w:type="character" w:customStyle="1" w:styleId="36">
    <w:name w:val="标题 字符"/>
    <w:basedOn w:val="19"/>
    <w:link w:val="15"/>
    <w:qFormat/>
    <w:uiPriority w:val="0"/>
    <w:rPr>
      <w:rFonts w:ascii="Cambria" w:hAnsi="Cambria" w:eastAsia="黑体" w:cs="Times New Roman"/>
      <w:b/>
      <w:bCs/>
      <w:sz w:val="52"/>
      <w:szCs w:val="32"/>
    </w:rPr>
  </w:style>
  <w:style w:type="character" w:customStyle="1" w:styleId="37">
    <w:name w:val="批注主题 字符"/>
    <w:basedOn w:val="31"/>
    <w:link w:val="16"/>
    <w:semiHidden/>
    <w:qFormat/>
    <w:uiPriority w:val="99"/>
    <w:rPr>
      <w:rFonts w:ascii="Times New Roman" w:hAnsi="Times New Roman" w:eastAsia="宋体" w:cs="Times New Roman"/>
      <w:b/>
      <w:bCs/>
      <w:szCs w:val="20"/>
    </w:rPr>
  </w:style>
  <w:style w:type="character" w:customStyle="1" w:styleId="38">
    <w:name w:val="title1"/>
    <w:qFormat/>
    <w:uiPriority w:val="0"/>
    <w:rPr>
      <w:b/>
      <w:bCs/>
      <w:color w:val="999900"/>
      <w:sz w:val="24"/>
      <w:szCs w:val="24"/>
    </w:rPr>
  </w:style>
  <w:style w:type="paragraph" w:customStyle="1" w:styleId="39">
    <w:name w:val="TOC 标题1"/>
    <w:basedOn w:val="2"/>
    <w:next w:val="1"/>
    <w:unhideWhenUsed/>
    <w:qFormat/>
    <w:uiPriority w:val="39"/>
    <w:pPr>
      <w:spacing w:before="240" w:after="0" w:line="259" w:lineRule="auto"/>
      <w:outlineLvl w:val="9"/>
    </w:pPr>
    <w:rPr>
      <w:rFonts w:asciiTheme="majorHAnsi" w:hAnsiTheme="majorHAnsi" w:eastAsiaTheme="majorEastAsia" w:cstheme="majorBidi"/>
      <w:b w:val="0"/>
      <w:bCs w:val="0"/>
      <w:color w:val="376092" w:themeColor="accent1" w:themeShade="BF"/>
      <w:kern w:val="0"/>
      <w:sz w:val="32"/>
      <w:szCs w:val="32"/>
    </w:rPr>
  </w:style>
  <w:style w:type="character" w:customStyle="1" w:styleId="40">
    <w:name w:val="标题 3 字符"/>
    <w:basedOn w:val="19"/>
    <w:link w:val="4"/>
    <w:semiHidden/>
    <w:qFormat/>
    <w:uiPriority w:val="9"/>
    <w:rPr>
      <w:b/>
      <w:bCs/>
      <w:kern w:val="2"/>
      <w:sz w:val="32"/>
      <w:szCs w:val="32"/>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2</Pages>
  <Words>1523</Words>
  <Characters>1671</Characters>
  <Lines>15</Lines>
  <Paragraphs>4</Paragraphs>
  <TotalTime>30</TotalTime>
  <ScaleCrop>false</ScaleCrop>
  <LinksUpToDate>false</LinksUpToDate>
  <CharactersWithSpaces>1674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2023-03-21T04:47:00Z</dcterms:created>
  <dc:creator>Administrator</dc:creator>
  <cp:lastModifiedBy>明维</cp:lastModifiedBy>
  <cp:lastPrinted>2022-01-25T09:53:00Z</cp:lastPrinted>
  <dcterms:modified xsi:type="dcterms:W3CDTF">2025-09-11T04:04:05Z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7415A875B6C34A36A16A6087D0DEB524</vt:lpwstr>
  </property>
  <property fmtid="{D5CDD505-2E9C-101B-9397-08002B2CF9AE}" pid="4" name="KSOTemplateDocerSaveRecord">
    <vt:lpwstr>eyJoZGlkIjoiOGEzNGE4MTg2MDc1OTg5NzFiZWUwMGM3NTNiNmE3MGIiLCJ1c2VySWQiOiI2OTM0NDgwNzcifQ==</vt:lpwstr>
  </property>
</Properties>
</file>