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D9A0E">
      <w:pPr>
        <w:jc w:val="center"/>
        <w:rPr>
          <w:rStyle w:val="36"/>
          <w:rFonts w:eastAsia="方正小标宋简体"/>
          <w:bCs w:val="0"/>
          <w:color w:val="auto"/>
          <w:sz w:val="36"/>
          <w:szCs w:val="36"/>
        </w:rPr>
      </w:pPr>
      <w:bookmarkStart w:id="2" w:name="_GoBack"/>
      <w:bookmarkEnd w:id="2"/>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FCBBE69">
      <w:pPr>
        <w:spacing w:line="440" w:lineRule="exact"/>
        <w:rPr>
          <w:rFonts w:eastAsia="仿宋_GB2312"/>
          <w:sz w:val="28"/>
          <w:szCs w:val="24"/>
        </w:rPr>
      </w:pPr>
      <w:r>
        <w:rPr>
          <w:rFonts w:eastAsia="仿宋_GB2312"/>
          <w:sz w:val="28"/>
          <w:szCs w:val="24"/>
        </w:rPr>
        <w:t>提名奖项：自然科学奖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2C1FD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2654AC3F">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1960A828">
            <w:pPr>
              <w:jc w:val="center"/>
              <w:rPr>
                <w:rStyle w:val="36"/>
                <w:rFonts w:eastAsia="仿宋_GB2312"/>
                <w:b w:val="0"/>
                <w:color w:val="auto"/>
                <w:sz w:val="28"/>
              </w:rPr>
            </w:pPr>
            <w:r>
              <w:rPr>
                <w:rStyle w:val="36"/>
                <w:rFonts w:hint="eastAsia" w:eastAsia="仿宋_GB2312"/>
                <w:b w:val="0"/>
                <w:color w:val="auto"/>
                <w:szCs w:val="22"/>
              </w:rPr>
              <w:t>微孔晶体材料的高效载药与控释机制研究</w:t>
            </w:r>
          </w:p>
        </w:tc>
      </w:tr>
      <w:tr w14:paraId="5C342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5C152385">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32009A81">
            <w:pPr>
              <w:jc w:val="center"/>
              <w:rPr>
                <w:rStyle w:val="36"/>
                <w:rFonts w:eastAsia="仿宋_GB2312"/>
                <w:b w:val="0"/>
                <w:color w:val="auto"/>
                <w:sz w:val="28"/>
              </w:rPr>
            </w:pPr>
            <w:r>
              <w:rPr>
                <w:rStyle w:val="36"/>
                <w:rFonts w:hint="eastAsia" w:eastAsia="仿宋_GB2312"/>
                <w:b w:val="0"/>
                <w:color w:val="auto"/>
                <w:szCs w:val="22"/>
              </w:rPr>
              <w:t>二等</w:t>
            </w:r>
          </w:p>
        </w:tc>
      </w:tr>
      <w:tr w14:paraId="1C918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5755E55F">
            <w:pPr>
              <w:spacing w:line="440" w:lineRule="exact"/>
              <w:jc w:val="center"/>
              <w:rPr>
                <w:rFonts w:eastAsia="仿宋_GB2312"/>
                <w:bCs/>
                <w:sz w:val="28"/>
                <w:szCs w:val="24"/>
              </w:rPr>
            </w:pPr>
            <w:r>
              <w:rPr>
                <w:rFonts w:eastAsia="仿宋_GB2312"/>
                <w:bCs/>
                <w:sz w:val="28"/>
                <w:szCs w:val="24"/>
              </w:rPr>
              <w:t>提名书</w:t>
            </w:r>
          </w:p>
          <w:p w14:paraId="154D5165">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0C0C3B85">
            <w:pPr>
              <w:spacing w:line="312" w:lineRule="auto"/>
              <w:jc w:val="left"/>
              <w:rPr>
                <w:rFonts w:eastAsia="仿宋_GB2312"/>
                <w:bCs/>
                <w:sz w:val="24"/>
                <w:szCs w:val="24"/>
              </w:rPr>
            </w:pPr>
            <w:r>
              <w:rPr>
                <w:rFonts w:hint="eastAsia" w:eastAsia="仿宋_GB2312"/>
                <w:bCs/>
                <w:sz w:val="24"/>
                <w:szCs w:val="24"/>
              </w:rPr>
              <w:t>8篇代表性论文如下：</w:t>
            </w:r>
          </w:p>
          <w:p w14:paraId="5C8F4704">
            <w:pPr>
              <w:pStyle w:val="32"/>
              <w:numPr>
                <w:ilvl w:val="0"/>
                <w:numId w:val="1"/>
              </w:numPr>
              <w:spacing w:line="312" w:lineRule="auto"/>
              <w:ind w:firstLineChars="0"/>
              <w:rPr>
                <w:rFonts w:ascii="Times New Roman"/>
                <w:bCs/>
                <w:sz w:val="24"/>
                <w:szCs w:val="24"/>
              </w:rPr>
            </w:pPr>
            <w:r>
              <w:rPr>
                <w:rFonts w:ascii="Times New Roman"/>
                <w:bCs/>
                <w:sz w:val="24"/>
                <w:szCs w:val="24"/>
              </w:rPr>
              <w:t>Quan Hu, Jiancan Yu, Min Liu, Aiping Liu, Zhongshang Dou and Yu Yang, A Low Cytotoxic Cationic Metal-Organic Framework Carrier for Controllable Drug Release, J. Med. Chem., 57(13) (2014) 5679-5685</w:t>
            </w:r>
            <w:r>
              <w:rPr>
                <w:rFonts w:hint="eastAsia" w:ascii="Times New Roman"/>
                <w:bCs/>
                <w:sz w:val="24"/>
                <w:szCs w:val="24"/>
              </w:rPr>
              <w:t>.</w:t>
            </w:r>
          </w:p>
          <w:p w14:paraId="7FA45897">
            <w:pPr>
              <w:pStyle w:val="32"/>
              <w:numPr>
                <w:ilvl w:val="0"/>
                <w:numId w:val="1"/>
              </w:numPr>
              <w:spacing w:line="312" w:lineRule="auto"/>
              <w:ind w:firstLineChars="0"/>
              <w:rPr>
                <w:rFonts w:ascii="Times New Roman"/>
                <w:bCs/>
                <w:sz w:val="24"/>
                <w:szCs w:val="24"/>
              </w:rPr>
            </w:pPr>
            <w:r>
              <w:rPr>
                <w:rFonts w:ascii="Times New Roman"/>
                <w:bCs/>
                <w:sz w:val="24"/>
                <w:szCs w:val="24"/>
              </w:rPr>
              <w:t>Yanyu Yang, Quan Hu, Qi Zhang, Ke Jiang, Wenxin Lin, Yu Yang, Yuanjing Cui and Guodong Qian, A Large Capacity Cationic Metal</w:t>
            </w:r>
            <w:r>
              <w:rPr>
                <w:rFonts w:hint="eastAsia" w:ascii="Calibri" w:hAnsi="Calibri" w:cs="Calibri"/>
                <w:bCs/>
                <w:sz w:val="24"/>
                <w:szCs w:val="24"/>
              </w:rPr>
              <w:t>-</w:t>
            </w:r>
            <w:r>
              <w:rPr>
                <w:rFonts w:ascii="Times New Roman"/>
                <w:bCs/>
                <w:sz w:val="24"/>
                <w:szCs w:val="24"/>
              </w:rPr>
              <w:t>Organic Framework Nanocarrier for Physiological pH Responsive Drug Delivery, Mol. Pharmaceutics, 13 (8) (2016) 2782-2786.</w:t>
            </w:r>
          </w:p>
          <w:p w14:paraId="5EE78786">
            <w:pPr>
              <w:pStyle w:val="32"/>
              <w:numPr>
                <w:ilvl w:val="0"/>
                <w:numId w:val="1"/>
              </w:numPr>
              <w:spacing w:line="312" w:lineRule="auto"/>
              <w:ind w:firstLineChars="0"/>
              <w:rPr>
                <w:rFonts w:ascii="Times New Roman"/>
                <w:bCs/>
                <w:sz w:val="24"/>
                <w:szCs w:val="24"/>
              </w:rPr>
            </w:pPr>
            <w:r>
              <w:rPr>
                <w:rFonts w:ascii="Times New Roman"/>
                <w:bCs/>
                <w:sz w:val="24"/>
                <w:szCs w:val="24"/>
              </w:rPr>
              <w:t>Ke Jiang, Ling Zhang, Quan Hu, Dian Zhao, Tifeng Xia, Wenxin Lin, Yanyu Yang, Yuanjing Cui, Yu Yang and Guodong Qian, Pressure</w:t>
            </w:r>
            <w:r>
              <w:rPr>
                <w:rFonts w:hint="eastAsia" w:ascii="Calibri" w:hAnsi="Calibri" w:cs="Calibri"/>
                <w:bCs/>
                <w:sz w:val="24"/>
                <w:szCs w:val="24"/>
              </w:rPr>
              <w:t xml:space="preserve"> </w:t>
            </w:r>
            <w:r>
              <w:rPr>
                <w:rFonts w:ascii="Times New Roman"/>
                <w:bCs/>
                <w:sz w:val="24"/>
                <w:szCs w:val="24"/>
              </w:rPr>
              <w:t>Controlled Drug Release in a Zr-</w:t>
            </w:r>
            <w:r>
              <w:rPr>
                <w:rFonts w:hint="eastAsia" w:ascii="Calibri" w:hAnsi="Calibri" w:cs="Calibri"/>
                <w:bCs/>
                <w:sz w:val="24"/>
                <w:szCs w:val="24"/>
              </w:rPr>
              <w:t>c</w:t>
            </w:r>
            <w:r>
              <w:rPr>
                <w:rFonts w:ascii="Times New Roman"/>
                <w:bCs/>
                <w:sz w:val="24"/>
                <w:szCs w:val="24"/>
              </w:rPr>
              <w:t>luster-based MOF, J. Mater. Chem. B, 4(39) (2016) 6398-6401</w:t>
            </w:r>
            <w:r>
              <w:rPr>
                <w:rFonts w:hint="eastAsia" w:ascii="Times New Roman"/>
                <w:bCs/>
                <w:sz w:val="24"/>
                <w:szCs w:val="24"/>
              </w:rPr>
              <w:t>.</w:t>
            </w:r>
          </w:p>
          <w:p w14:paraId="73470475">
            <w:pPr>
              <w:pStyle w:val="32"/>
              <w:numPr>
                <w:ilvl w:val="0"/>
                <w:numId w:val="1"/>
              </w:numPr>
              <w:spacing w:line="312" w:lineRule="auto"/>
              <w:ind w:firstLineChars="0"/>
              <w:rPr>
                <w:rFonts w:ascii="Times New Roman"/>
                <w:bCs/>
                <w:sz w:val="24"/>
                <w:szCs w:val="24"/>
              </w:rPr>
            </w:pPr>
            <w:r>
              <w:rPr>
                <w:rFonts w:ascii="Times New Roman"/>
                <w:bCs/>
                <w:sz w:val="24"/>
                <w:szCs w:val="24"/>
              </w:rPr>
              <w:t>Wenxin Lin, Quan Hu, Ke Jiang, Yanyu Yang, Yu Yang, Yuanjing Cui and Guodong Qian, A Porphyrin-based Metal</w:t>
            </w:r>
            <w:r>
              <w:rPr>
                <w:rFonts w:hint="eastAsia" w:ascii="Times New Roman"/>
                <w:bCs/>
                <w:sz w:val="24"/>
                <w:szCs w:val="24"/>
              </w:rPr>
              <w:t>-</w:t>
            </w:r>
            <w:r>
              <w:rPr>
                <w:rFonts w:ascii="Times New Roman"/>
                <w:bCs/>
                <w:sz w:val="24"/>
                <w:szCs w:val="24"/>
              </w:rPr>
              <w:t>Organic Framework as a pH-Responsive Drug Carrier, J. Solid State Chem., 237 (2016) 307-312.</w:t>
            </w:r>
          </w:p>
          <w:p w14:paraId="0682E21C">
            <w:pPr>
              <w:pStyle w:val="32"/>
              <w:numPr>
                <w:ilvl w:val="0"/>
                <w:numId w:val="1"/>
              </w:numPr>
              <w:spacing w:line="312" w:lineRule="auto"/>
              <w:ind w:firstLineChars="0"/>
              <w:rPr>
                <w:rFonts w:ascii="Times New Roman"/>
                <w:bCs/>
                <w:sz w:val="24"/>
                <w:szCs w:val="24"/>
              </w:rPr>
            </w:pPr>
            <w:r>
              <w:rPr>
                <w:rFonts w:ascii="Times New Roman"/>
                <w:bCs/>
                <w:sz w:val="24"/>
                <w:szCs w:val="24"/>
              </w:rPr>
              <w:t>Wenxin Lin, Quan Hu, Jiancan Yu, Ke Jiang, Yanyu Yang, Shengchang Xiang, Yuanjing Cui, Yu Yang, Zhiyu Wang and Guodong Qian, Low Cytotoxic Metal‐Organic Frameworks as Temperature‐Responsive Drug Carriers, ChemPlusChem, 81(8) (2016) 804-810.</w:t>
            </w:r>
          </w:p>
          <w:p w14:paraId="66290B56">
            <w:pPr>
              <w:pStyle w:val="32"/>
              <w:numPr>
                <w:ilvl w:val="0"/>
                <w:numId w:val="1"/>
              </w:numPr>
              <w:spacing w:line="312" w:lineRule="auto"/>
              <w:ind w:firstLineChars="0"/>
              <w:rPr>
                <w:rFonts w:ascii="Times New Roman"/>
                <w:bCs/>
                <w:sz w:val="24"/>
                <w:szCs w:val="24"/>
              </w:rPr>
            </w:pPr>
            <w:r>
              <w:rPr>
                <w:rFonts w:ascii="Times New Roman"/>
                <w:bCs/>
                <w:sz w:val="24"/>
                <w:szCs w:val="24"/>
              </w:rPr>
              <w:t>Ke Jiang, Ling Zhang, Quan Hu, Qi Zhang, Wenxin Lin, Yuanjing Cui, Yu Yang and Guodong Qian, Thermal Stimuli-Triggered Drug Release from a Biocompatible Porous Metal-Organic Framework, Chem. Eur. J., 23(42) (2017) 10215-10221</w:t>
            </w:r>
            <w:r>
              <w:rPr>
                <w:rFonts w:hint="eastAsia" w:ascii="Calibri" w:hAnsi="Calibri" w:cs="Calibri"/>
                <w:bCs/>
                <w:sz w:val="24"/>
                <w:szCs w:val="24"/>
              </w:rPr>
              <w:t>.</w:t>
            </w:r>
          </w:p>
          <w:p w14:paraId="4FA4C0CD">
            <w:pPr>
              <w:pStyle w:val="32"/>
              <w:numPr>
                <w:ilvl w:val="0"/>
                <w:numId w:val="1"/>
              </w:numPr>
              <w:spacing w:line="312" w:lineRule="auto"/>
              <w:ind w:firstLineChars="0"/>
              <w:rPr>
                <w:rFonts w:ascii="Times New Roman"/>
                <w:bCs/>
                <w:sz w:val="24"/>
                <w:szCs w:val="24"/>
              </w:rPr>
            </w:pPr>
            <w:r>
              <w:rPr>
                <w:rFonts w:ascii="Times New Roman"/>
                <w:bCs/>
                <w:sz w:val="24"/>
                <w:szCs w:val="24"/>
              </w:rPr>
              <w:t xml:space="preserve">Ke Jiang, Ling Zhang, Quan Hu, Dan Yue, Jun Zhang, Xin Zhang, Bin Li, Yuanjing Cui, Yu Yang and Guodong Qian, Indocyanine Green-Encapsulated Nanoscale Metal-Organic Frameworks for Highly Effective Chemo-Photothermal Combination Cancer Therapy, </w:t>
            </w:r>
            <w:bookmarkStart w:id="0" w:name="OLE_LINK2"/>
            <w:r>
              <w:rPr>
                <w:rFonts w:ascii="Times New Roman"/>
                <w:bCs/>
                <w:sz w:val="24"/>
                <w:szCs w:val="24"/>
              </w:rPr>
              <w:t>Mater</w:t>
            </w:r>
            <w:r>
              <w:rPr>
                <w:rFonts w:hint="eastAsia" w:ascii="Calibri" w:hAnsi="Calibri" w:cs="Calibri"/>
                <w:bCs/>
                <w:sz w:val="24"/>
                <w:szCs w:val="24"/>
              </w:rPr>
              <w:t>.</w:t>
            </w:r>
            <w:r>
              <w:rPr>
                <w:rFonts w:ascii="Times New Roman"/>
                <w:bCs/>
                <w:sz w:val="24"/>
                <w:szCs w:val="24"/>
              </w:rPr>
              <w:t xml:space="preserve"> Today Nano</w:t>
            </w:r>
            <w:bookmarkEnd w:id="0"/>
            <w:r>
              <w:rPr>
                <w:rFonts w:ascii="Times New Roman"/>
                <w:bCs/>
                <w:sz w:val="24"/>
                <w:szCs w:val="24"/>
              </w:rPr>
              <w:t>, 2 (2018) 50-57.</w:t>
            </w:r>
          </w:p>
          <w:p w14:paraId="618DEB87">
            <w:pPr>
              <w:pStyle w:val="32"/>
              <w:numPr>
                <w:ilvl w:val="0"/>
                <w:numId w:val="1"/>
              </w:numPr>
              <w:spacing w:line="312" w:lineRule="auto"/>
              <w:ind w:firstLineChars="0"/>
              <w:rPr>
                <w:bCs/>
                <w:sz w:val="24"/>
                <w:szCs w:val="24"/>
              </w:rPr>
            </w:pPr>
            <w:r>
              <w:rPr>
                <w:rFonts w:ascii="Times New Roman"/>
                <w:bCs/>
                <w:sz w:val="24"/>
                <w:szCs w:val="24"/>
              </w:rPr>
              <w:t xml:space="preserve">Wenxin Lin, Yuanjing Cui, Yu Yang, Quan Hu and Guodong Qian, A Biocompatible Metal-Organic Framework as a pH and Temperature Dual-Responsive Drug Carrier, </w:t>
            </w:r>
            <w:bookmarkStart w:id="1" w:name="OLE_LINK1"/>
            <w:r>
              <w:rPr>
                <w:rFonts w:ascii="Times New Roman"/>
                <w:bCs/>
                <w:sz w:val="24"/>
                <w:szCs w:val="24"/>
              </w:rPr>
              <w:t>Dalton Trans</w:t>
            </w:r>
            <w:bookmarkEnd w:id="1"/>
            <w:r>
              <w:rPr>
                <w:rFonts w:hint="eastAsia" w:ascii="Calibri" w:hAnsi="Calibri" w:cs="Calibri"/>
                <w:bCs/>
                <w:sz w:val="24"/>
                <w:szCs w:val="24"/>
              </w:rPr>
              <w:t>.</w:t>
            </w:r>
            <w:r>
              <w:rPr>
                <w:rFonts w:ascii="Times New Roman"/>
                <w:bCs/>
                <w:sz w:val="24"/>
                <w:szCs w:val="24"/>
              </w:rPr>
              <w:t>, 47(44) (2018) 15882-15887.</w:t>
            </w:r>
          </w:p>
        </w:tc>
      </w:tr>
      <w:tr w14:paraId="2C609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150020CA">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40F6B4BB">
            <w:pPr>
              <w:spacing w:line="440" w:lineRule="exact"/>
              <w:rPr>
                <w:rFonts w:eastAsia="仿宋_GB2312"/>
                <w:bCs/>
                <w:sz w:val="24"/>
                <w:szCs w:val="22"/>
              </w:rPr>
            </w:pPr>
            <w:r>
              <w:rPr>
                <w:rFonts w:hint="eastAsia" w:eastAsia="仿宋_GB2312"/>
                <w:bCs/>
                <w:sz w:val="24"/>
                <w:szCs w:val="22"/>
              </w:rPr>
              <w:t>胡全，</w:t>
            </w:r>
            <w:r>
              <w:rPr>
                <w:rFonts w:eastAsia="仿宋_GB2312"/>
                <w:bCs/>
                <w:sz w:val="24"/>
                <w:szCs w:val="22"/>
              </w:rPr>
              <w:t>排名1，</w:t>
            </w:r>
            <w:r>
              <w:rPr>
                <w:rFonts w:hint="eastAsia" w:eastAsia="仿宋_GB2312"/>
                <w:bCs/>
                <w:sz w:val="24"/>
                <w:szCs w:val="22"/>
              </w:rPr>
              <w:t>副教授，杭州师范大学</w:t>
            </w:r>
          </w:p>
          <w:p w14:paraId="5380517C">
            <w:pPr>
              <w:spacing w:line="440" w:lineRule="exact"/>
              <w:rPr>
                <w:rFonts w:eastAsia="仿宋_GB2312"/>
                <w:bCs/>
                <w:sz w:val="24"/>
                <w:szCs w:val="22"/>
              </w:rPr>
            </w:pPr>
            <w:r>
              <w:rPr>
                <w:rFonts w:hint="eastAsia" w:eastAsia="仿宋_GB2312"/>
                <w:bCs/>
                <w:sz w:val="24"/>
                <w:szCs w:val="22"/>
              </w:rPr>
              <w:t>杨雨</w:t>
            </w:r>
            <w:r>
              <w:rPr>
                <w:rFonts w:eastAsia="仿宋_GB2312"/>
                <w:bCs/>
                <w:sz w:val="24"/>
                <w:szCs w:val="22"/>
              </w:rPr>
              <w:t>，排名2</w:t>
            </w:r>
            <w:r>
              <w:rPr>
                <w:rFonts w:hint="eastAsia" w:eastAsia="仿宋_GB2312"/>
                <w:bCs/>
                <w:sz w:val="24"/>
                <w:szCs w:val="22"/>
              </w:rPr>
              <w:t>，副教授，浙江大学</w:t>
            </w:r>
          </w:p>
          <w:p w14:paraId="7CC2DCEE">
            <w:pPr>
              <w:spacing w:line="440" w:lineRule="exact"/>
              <w:rPr>
                <w:rFonts w:eastAsia="仿宋_GB2312"/>
                <w:bCs/>
                <w:sz w:val="24"/>
                <w:szCs w:val="22"/>
              </w:rPr>
            </w:pPr>
            <w:r>
              <w:rPr>
                <w:rFonts w:hint="eastAsia" w:eastAsia="仿宋_GB2312"/>
                <w:bCs/>
                <w:sz w:val="24"/>
                <w:szCs w:val="22"/>
              </w:rPr>
              <w:t>林文鑫</w:t>
            </w:r>
            <w:r>
              <w:rPr>
                <w:rFonts w:eastAsia="仿宋_GB2312"/>
                <w:bCs/>
                <w:sz w:val="24"/>
                <w:szCs w:val="22"/>
              </w:rPr>
              <w:t>，排名3，</w:t>
            </w:r>
            <w:r>
              <w:rPr>
                <w:rFonts w:hint="eastAsia" w:eastAsia="仿宋_GB2312"/>
                <w:bCs/>
                <w:sz w:val="24"/>
                <w:szCs w:val="22"/>
              </w:rPr>
              <w:t>副教授</w:t>
            </w:r>
            <w:r>
              <w:rPr>
                <w:rFonts w:eastAsia="仿宋_GB2312"/>
                <w:bCs/>
                <w:sz w:val="24"/>
                <w:szCs w:val="22"/>
              </w:rPr>
              <w:t>，</w:t>
            </w:r>
            <w:r>
              <w:rPr>
                <w:rFonts w:hint="eastAsia" w:eastAsia="仿宋_GB2312"/>
                <w:bCs/>
                <w:sz w:val="24"/>
                <w:szCs w:val="22"/>
              </w:rPr>
              <w:t>浙江理工大学</w:t>
            </w:r>
          </w:p>
          <w:p w14:paraId="4EB77EB1">
            <w:pPr>
              <w:spacing w:line="440" w:lineRule="exact"/>
              <w:rPr>
                <w:rFonts w:eastAsia="仿宋_GB2312"/>
                <w:bCs/>
                <w:sz w:val="24"/>
                <w:szCs w:val="22"/>
              </w:rPr>
            </w:pPr>
            <w:r>
              <w:rPr>
                <w:rFonts w:hint="eastAsia" w:eastAsia="仿宋_GB2312"/>
                <w:bCs/>
                <w:sz w:val="24"/>
                <w:szCs w:val="22"/>
              </w:rPr>
              <w:t>李斌，</w:t>
            </w:r>
            <w:r>
              <w:rPr>
                <w:rFonts w:eastAsia="仿宋_GB2312"/>
                <w:bCs/>
                <w:sz w:val="24"/>
                <w:szCs w:val="22"/>
              </w:rPr>
              <w:t>排名4，</w:t>
            </w:r>
            <w:r>
              <w:rPr>
                <w:rFonts w:hint="eastAsia" w:eastAsia="仿宋_GB2312"/>
                <w:bCs/>
                <w:sz w:val="24"/>
                <w:szCs w:val="22"/>
              </w:rPr>
              <w:t>研究员</w:t>
            </w:r>
            <w:r>
              <w:rPr>
                <w:rFonts w:eastAsia="仿宋_GB2312"/>
                <w:bCs/>
                <w:sz w:val="24"/>
                <w:szCs w:val="22"/>
              </w:rPr>
              <w:t>，</w:t>
            </w:r>
            <w:r>
              <w:rPr>
                <w:rFonts w:hint="eastAsia" w:eastAsia="仿宋_GB2312"/>
                <w:bCs/>
                <w:sz w:val="24"/>
                <w:szCs w:val="22"/>
              </w:rPr>
              <w:t>浙江大学</w:t>
            </w:r>
          </w:p>
          <w:p w14:paraId="5AA2A353">
            <w:pPr>
              <w:spacing w:line="440" w:lineRule="exact"/>
              <w:rPr>
                <w:rFonts w:eastAsia="仿宋_GB2312"/>
                <w:bCs/>
                <w:sz w:val="24"/>
                <w:szCs w:val="22"/>
              </w:rPr>
            </w:pPr>
            <w:r>
              <w:rPr>
                <w:rFonts w:hint="eastAsia" w:eastAsia="仿宋_GB2312"/>
                <w:bCs/>
                <w:sz w:val="24"/>
                <w:szCs w:val="22"/>
              </w:rPr>
              <w:t>姜珂，</w:t>
            </w:r>
            <w:r>
              <w:rPr>
                <w:rFonts w:eastAsia="仿宋_GB2312"/>
                <w:bCs/>
                <w:sz w:val="24"/>
                <w:szCs w:val="22"/>
              </w:rPr>
              <w:t>排名5，副研究员，</w:t>
            </w:r>
            <w:r>
              <w:rPr>
                <w:rFonts w:hint="eastAsia" w:eastAsia="仿宋_GB2312"/>
                <w:bCs/>
                <w:sz w:val="24"/>
                <w:szCs w:val="22"/>
              </w:rPr>
              <w:t>海南大学</w:t>
            </w:r>
          </w:p>
        </w:tc>
      </w:tr>
      <w:tr w14:paraId="121E2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2269" w:type="dxa"/>
            <w:tcBorders>
              <w:right w:val="single" w:color="auto" w:sz="4" w:space="0"/>
            </w:tcBorders>
            <w:vAlign w:val="center"/>
          </w:tcPr>
          <w:p w14:paraId="100A41E0">
            <w:pPr>
              <w:spacing w:line="440" w:lineRule="exact"/>
              <w:jc w:val="center"/>
              <w:rPr>
                <w:rFonts w:eastAsia="仿宋_GB2312"/>
                <w:bCs/>
                <w:sz w:val="28"/>
                <w:szCs w:val="24"/>
              </w:rPr>
            </w:pPr>
            <w:r>
              <w:rPr>
                <w:rFonts w:eastAsia="仿宋_GB2312"/>
                <w:bCs/>
                <w:sz w:val="28"/>
                <w:szCs w:val="24"/>
              </w:rPr>
              <w:t>主要完成单位</w:t>
            </w:r>
          </w:p>
        </w:tc>
        <w:tc>
          <w:tcPr>
            <w:tcW w:w="6237" w:type="dxa"/>
            <w:tcBorders>
              <w:left w:val="single" w:color="auto" w:sz="4" w:space="0"/>
            </w:tcBorders>
            <w:vAlign w:val="center"/>
          </w:tcPr>
          <w:p w14:paraId="355509BF">
            <w:pPr>
              <w:pStyle w:val="32"/>
              <w:numPr>
                <w:ilvl w:val="0"/>
                <w:numId w:val="2"/>
              </w:numPr>
              <w:spacing w:line="360" w:lineRule="auto"/>
              <w:ind w:left="394" w:hanging="394" w:hangingChars="170"/>
              <w:jc w:val="left"/>
              <w:rPr>
                <w:bCs/>
                <w:sz w:val="24"/>
                <w:szCs w:val="22"/>
              </w:rPr>
            </w:pPr>
            <w:r>
              <w:rPr>
                <w:bCs/>
                <w:sz w:val="24"/>
                <w:szCs w:val="22"/>
              </w:rPr>
              <w:t>单位名称：</w:t>
            </w:r>
            <w:r>
              <w:rPr>
                <w:rFonts w:hint="eastAsia"/>
                <w:bCs/>
                <w:sz w:val="24"/>
                <w:szCs w:val="22"/>
              </w:rPr>
              <w:t>杭州师范大学</w:t>
            </w:r>
          </w:p>
          <w:p w14:paraId="72987BE4">
            <w:pPr>
              <w:pStyle w:val="32"/>
              <w:numPr>
                <w:ilvl w:val="0"/>
                <w:numId w:val="2"/>
              </w:numPr>
              <w:spacing w:line="360" w:lineRule="auto"/>
              <w:ind w:left="394" w:hanging="394" w:hangingChars="170"/>
              <w:jc w:val="left"/>
              <w:rPr>
                <w:bCs/>
                <w:sz w:val="24"/>
                <w:szCs w:val="22"/>
              </w:rPr>
            </w:pPr>
            <w:r>
              <w:rPr>
                <w:bCs/>
                <w:sz w:val="24"/>
                <w:szCs w:val="22"/>
              </w:rPr>
              <w:t>单位名称：</w:t>
            </w:r>
            <w:r>
              <w:rPr>
                <w:rFonts w:hint="eastAsia"/>
                <w:bCs/>
                <w:sz w:val="24"/>
                <w:szCs w:val="22"/>
              </w:rPr>
              <w:t>浙江大学</w:t>
            </w:r>
          </w:p>
          <w:p w14:paraId="1F22B8F4">
            <w:pPr>
              <w:pStyle w:val="32"/>
              <w:numPr>
                <w:ilvl w:val="0"/>
                <w:numId w:val="2"/>
              </w:numPr>
              <w:spacing w:line="360" w:lineRule="auto"/>
              <w:ind w:left="394" w:hanging="394" w:hangingChars="170"/>
              <w:rPr>
                <w:bCs/>
                <w:sz w:val="24"/>
                <w:szCs w:val="22"/>
              </w:rPr>
            </w:pPr>
            <w:r>
              <w:rPr>
                <w:rFonts w:hint="eastAsia"/>
                <w:bCs/>
                <w:sz w:val="24"/>
                <w:szCs w:val="22"/>
              </w:rPr>
              <w:t>单位名称：浙江理工大学</w:t>
            </w:r>
          </w:p>
        </w:tc>
      </w:tr>
      <w:tr w14:paraId="3A2C3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29D8A92C">
            <w:pPr>
              <w:spacing w:line="440" w:lineRule="exact"/>
              <w:jc w:val="center"/>
              <w:rPr>
                <w:rFonts w:eastAsia="仿宋_GB2312"/>
                <w:szCs w:val="24"/>
              </w:rPr>
            </w:pPr>
            <w:r>
              <w:rPr>
                <w:rFonts w:eastAsia="仿宋_GB2312"/>
                <w:sz w:val="28"/>
                <w:szCs w:val="36"/>
              </w:rPr>
              <w:t>提名单位</w:t>
            </w:r>
          </w:p>
        </w:tc>
        <w:tc>
          <w:tcPr>
            <w:tcW w:w="6237" w:type="dxa"/>
            <w:vAlign w:val="center"/>
          </w:tcPr>
          <w:p w14:paraId="77DED206">
            <w:pPr>
              <w:spacing w:line="440" w:lineRule="exact"/>
              <w:contextualSpacing/>
              <w:jc w:val="center"/>
              <w:rPr>
                <w:rFonts w:eastAsia="仿宋_GB2312"/>
                <w:sz w:val="24"/>
                <w:szCs w:val="22"/>
              </w:rPr>
            </w:pPr>
            <w:r>
              <w:rPr>
                <w:rFonts w:eastAsia="仿宋_GB2312"/>
                <w:sz w:val="24"/>
                <w:szCs w:val="22"/>
              </w:rPr>
              <w:t>浙江</w:t>
            </w:r>
            <w:r>
              <w:rPr>
                <w:rFonts w:hint="eastAsia" w:eastAsia="仿宋_GB2312"/>
                <w:sz w:val="24"/>
                <w:szCs w:val="22"/>
              </w:rPr>
              <w:t>省教育厅</w:t>
            </w:r>
          </w:p>
        </w:tc>
      </w:tr>
      <w:tr w14:paraId="65E79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9" w:hRule="atLeast"/>
        </w:trPr>
        <w:tc>
          <w:tcPr>
            <w:tcW w:w="2269" w:type="dxa"/>
            <w:vAlign w:val="center"/>
          </w:tcPr>
          <w:p w14:paraId="4D3786B0">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6636F87C">
            <w:pPr>
              <w:spacing w:line="360" w:lineRule="auto"/>
              <w:contextualSpacing/>
              <w:rPr>
                <w:rStyle w:val="36"/>
                <w:b w:val="0"/>
                <w:color w:val="auto"/>
              </w:rPr>
            </w:pPr>
            <w:r>
              <w:rPr>
                <w:rStyle w:val="36"/>
                <w:rFonts w:hint="eastAsia"/>
                <w:b w:val="0"/>
                <w:color w:val="auto"/>
              </w:rPr>
              <w:t>该成果针对微孔晶体材料药物负载量低、释放过程难以控制等关键科学问题，设计研制了系列离子型微孔晶体材料和具有大“孔笼”结构的含卟啉大环的锆基微孔晶体材料，阐明了离子型微孔晶体材料与药物之间的电荷相互作用对药物高效负载的影响规律，揭示了微孔晶体材料对环境参数（pH值、温度等）的响应性药物释放机制，实现了药物释放过程的精准调控，构建了化疗-热疗多模态治疗体系，促进了微孔晶体材料作为口服药物载体在肿瘤治疗中的应用。上述成果为发展性能优异的新型药物载体提供了新的思路与途径，极大推动了微孔晶体材料在医学、药学等领域的发展和应用。提名该成果为省自然科学奖二等奖。</w:t>
            </w:r>
          </w:p>
        </w:tc>
      </w:tr>
    </w:tbl>
    <w:p w14:paraId="70525062">
      <w:pPr>
        <w:adjustRightInd w:val="0"/>
        <w:snapToGrid w:val="0"/>
        <w:spacing w:line="560" w:lineRule="exact"/>
        <w:rPr>
          <w:rFonts w:eastAsia="仿宋_GB2312"/>
          <w:sz w:val="32"/>
          <w:szCs w:val="32"/>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1208D9-F362-4D38-92B6-C6BF4E047E8D}"/>
  </w:font>
  <w:font w:name="Arial">
    <w:panose1 w:val="020B0604020202020204"/>
    <w:charset w:val="01"/>
    <w:family w:val="swiss"/>
    <w:pitch w:val="default"/>
    <w:sig w:usb0="E0002EFF" w:usb1="C000785B" w:usb2="00000009" w:usb3="00000000" w:csb0="400001FF" w:csb1="FFFF0000"/>
    <w:embedRegular r:id="rId2" w:fontKey="{CEFEB52A-EEDF-492F-870B-123C9044618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F7949F9-E2F0-4F72-BB2B-99C73C46A1EF}"/>
  </w:font>
  <w:font w:name="Symbol">
    <w:panose1 w:val="05050102010706020507"/>
    <w:charset w:val="02"/>
    <w:family w:val="roman"/>
    <w:pitch w:val="default"/>
    <w:sig w:usb0="00000000" w:usb1="00000000" w:usb2="00000000" w:usb3="00000000" w:csb0="80000000" w:csb1="00000000"/>
    <w:embedRegular r:id="rId4" w:fontKey="{9F3F209E-F81C-48FD-9CEA-CFC4CA1062F4}"/>
  </w:font>
  <w:font w:name="Calibri">
    <w:panose1 w:val="020F0502020204030204"/>
    <w:charset w:val="00"/>
    <w:family w:val="swiss"/>
    <w:pitch w:val="default"/>
    <w:sig w:usb0="E4002EFF" w:usb1="C000247B" w:usb2="00000009" w:usb3="00000000" w:csb0="200001FF" w:csb1="00000000"/>
    <w:embedRegular r:id="rId5" w:fontKey="{D8921F2A-C414-45CE-AED0-48835790D807}"/>
  </w:font>
  <w:font w:name="Cambria">
    <w:panose1 w:val="02040503050406030204"/>
    <w:charset w:val="00"/>
    <w:family w:val="roman"/>
    <w:pitch w:val="default"/>
    <w:sig w:usb0="E00006FF" w:usb1="420024FF" w:usb2="02000000" w:usb3="00000000" w:csb0="2000019F" w:csb1="00000000"/>
    <w:embedRegular r:id="rId6" w:fontKey="{A3011AA3-BBCD-40FD-AC61-6DDA9C329AE1}"/>
  </w:font>
  <w:font w:name="仿宋_GB2312">
    <w:panose1 w:val="02010609030101010101"/>
    <w:charset w:val="86"/>
    <w:family w:val="modern"/>
    <w:pitch w:val="default"/>
    <w:sig w:usb0="00000001" w:usb1="080E0000" w:usb2="00000000" w:usb3="00000000" w:csb0="00040000" w:csb1="00000000"/>
    <w:embedRegular r:id="rId7" w:fontKey="{5257616A-5B5D-4E50-8729-C7087794A305}"/>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3FD195E0-B720-43B5-8F65-930C74D07D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07F17F3B">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ED82A">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215A9">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DD278">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80B8F"/>
    <w:multiLevelType w:val="multilevel"/>
    <w:tmpl w:val="00480B8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9A80559"/>
    <w:multiLevelType w:val="multilevel"/>
    <w:tmpl w:val="49A80559"/>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74138"/>
    <w:rsid w:val="00083906"/>
    <w:rsid w:val="000847FC"/>
    <w:rsid w:val="00087275"/>
    <w:rsid w:val="000929AE"/>
    <w:rsid w:val="0009644B"/>
    <w:rsid w:val="000A0FE4"/>
    <w:rsid w:val="000B2E39"/>
    <w:rsid w:val="000B70B3"/>
    <w:rsid w:val="000C632A"/>
    <w:rsid w:val="000D01E1"/>
    <w:rsid w:val="000F1229"/>
    <w:rsid w:val="000F2CC3"/>
    <w:rsid w:val="000F6066"/>
    <w:rsid w:val="000F6517"/>
    <w:rsid w:val="000F6B39"/>
    <w:rsid w:val="000F7732"/>
    <w:rsid w:val="001039E9"/>
    <w:rsid w:val="00104F03"/>
    <w:rsid w:val="00115320"/>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B4A79"/>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B6560"/>
    <w:rsid w:val="002C3331"/>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4583"/>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1CC5"/>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974DD"/>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06A"/>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221"/>
    <w:rsid w:val="006F0C81"/>
    <w:rsid w:val="006F5EED"/>
    <w:rsid w:val="006F7780"/>
    <w:rsid w:val="00702AE2"/>
    <w:rsid w:val="00710585"/>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5FC0"/>
    <w:rsid w:val="007B7CAA"/>
    <w:rsid w:val="007C1324"/>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C66"/>
    <w:rsid w:val="008C7FED"/>
    <w:rsid w:val="008F54B7"/>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95351"/>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04D9"/>
    <w:rsid w:val="00A65CD4"/>
    <w:rsid w:val="00A70F4C"/>
    <w:rsid w:val="00A736E3"/>
    <w:rsid w:val="00A846D6"/>
    <w:rsid w:val="00AA6478"/>
    <w:rsid w:val="00AA6A67"/>
    <w:rsid w:val="00AB0B58"/>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05C5B"/>
    <w:rsid w:val="00C10571"/>
    <w:rsid w:val="00C14B11"/>
    <w:rsid w:val="00C24E7B"/>
    <w:rsid w:val="00C318B2"/>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A0ADD"/>
    <w:rsid w:val="00DA6B31"/>
    <w:rsid w:val="00DB0603"/>
    <w:rsid w:val="00DB4445"/>
    <w:rsid w:val="00DC0F80"/>
    <w:rsid w:val="00DC1C67"/>
    <w:rsid w:val="00DD7D0E"/>
    <w:rsid w:val="00DF02D4"/>
    <w:rsid w:val="00DF0599"/>
    <w:rsid w:val="00DF2AD8"/>
    <w:rsid w:val="00DF43D6"/>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09B"/>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D1E29"/>
    <w:rsid w:val="00FD330D"/>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0E36F7"/>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753</Words>
  <Characters>2032</Characters>
  <Lines>58</Lines>
  <Paragraphs>34</Paragraphs>
  <TotalTime>34</TotalTime>
  <ScaleCrop>false</ScaleCrop>
  <LinksUpToDate>false</LinksUpToDate>
  <CharactersWithSpaces>2290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2025-09-11T01:42:00Z</dcterms:created>
  <dc:creator>胡胜链</dc:creator>
  <cp:lastModifiedBy>葛格</cp:lastModifiedBy>
  <cp:lastPrinted>2022-01-28T09:53:00Z</cp:lastPrinted>
  <dcterms:modified xsi:type="dcterms:W3CDTF">2025-09-12T01:40:49Z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70FC63B95A244A4CA503298A5923E098_13</vt:lpwstr>
  </property>
</Properties>
</file>