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007434" w14:textId="7E79C422" w:rsidR="00854DF9" w:rsidRDefault="00EF0BDF">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p>
    <w:p w14:paraId="4576D64B" w14:textId="1B85FEFD" w:rsidR="00854DF9" w:rsidRDefault="00EF0BDF">
      <w:pPr>
        <w:spacing w:line="440" w:lineRule="exact"/>
        <w:rPr>
          <w:rFonts w:eastAsia="仿宋_GB2312"/>
          <w:sz w:val="28"/>
          <w:szCs w:val="24"/>
        </w:rPr>
      </w:pPr>
      <w:r>
        <w:rPr>
          <w:rFonts w:eastAsia="仿宋_GB2312"/>
          <w:sz w:val="28"/>
          <w:szCs w:val="24"/>
        </w:rPr>
        <w:t>提名奖项：科学技术进步奖</w:t>
      </w:r>
    </w:p>
    <w:tbl>
      <w:tblPr>
        <w:tblW w:w="86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4"/>
        <w:gridCol w:w="6634"/>
      </w:tblGrid>
      <w:tr w:rsidR="00854DF9" w:rsidRPr="00B60361" w14:paraId="0966F41B" w14:textId="77777777" w:rsidTr="008501F4">
        <w:trPr>
          <w:trHeight w:val="647"/>
        </w:trPr>
        <w:tc>
          <w:tcPr>
            <w:tcW w:w="2014" w:type="dxa"/>
            <w:vAlign w:val="center"/>
          </w:tcPr>
          <w:p w14:paraId="7B07C832" w14:textId="77777777" w:rsidR="00854DF9" w:rsidRPr="00B60361" w:rsidRDefault="00EF0BDF">
            <w:pPr>
              <w:jc w:val="center"/>
              <w:rPr>
                <w:rStyle w:val="title1"/>
                <w:rFonts w:ascii="仿宋" w:eastAsia="仿宋" w:hAnsi="仿宋"/>
                <w:b w:val="0"/>
                <w:color w:val="auto"/>
                <w:sz w:val="28"/>
                <w:szCs w:val="28"/>
              </w:rPr>
            </w:pPr>
            <w:r w:rsidRPr="00B60361">
              <w:rPr>
                <w:rStyle w:val="title1"/>
                <w:rFonts w:ascii="仿宋" w:eastAsia="仿宋" w:hAnsi="仿宋"/>
                <w:b w:val="0"/>
                <w:bCs w:val="0"/>
                <w:color w:val="auto"/>
                <w:sz w:val="28"/>
                <w:szCs w:val="28"/>
              </w:rPr>
              <w:t>成果名称</w:t>
            </w:r>
          </w:p>
        </w:tc>
        <w:tc>
          <w:tcPr>
            <w:tcW w:w="6634" w:type="dxa"/>
            <w:vAlign w:val="center"/>
          </w:tcPr>
          <w:p w14:paraId="749814E8" w14:textId="7DFCE4B3" w:rsidR="00854DF9" w:rsidRPr="00436EAC" w:rsidRDefault="001F1C56" w:rsidP="00436EAC">
            <w:pPr>
              <w:spacing w:line="400" w:lineRule="exact"/>
              <w:contextualSpacing/>
              <w:jc w:val="center"/>
              <w:rPr>
                <w:rFonts w:eastAsiaTheme="minorEastAsia"/>
                <w:color w:val="000000"/>
                <w:kern w:val="0"/>
                <w:sz w:val="24"/>
                <w:szCs w:val="24"/>
              </w:rPr>
            </w:pPr>
            <w:r w:rsidRPr="00436EAC">
              <w:rPr>
                <w:rFonts w:eastAsiaTheme="minorEastAsia"/>
                <w:color w:val="000000"/>
                <w:kern w:val="0"/>
                <w:sz w:val="24"/>
                <w:szCs w:val="24"/>
              </w:rPr>
              <w:t>儿童重症发热性疾病细胞因子诊疗体系的建立与临床应用</w:t>
            </w:r>
          </w:p>
        </w:tc>
      </w:tr>
      <w:tr w:rsidR="00854DF9" w:rsidRPr="00B60361" w14:paraId="3F3678C3" w14:textId="77777777" w:rsidTr="008501F4">
        <w:trPr>
          <w:trHeight w:val="561"/>
        </w:trPr>
        <w:tc>
          <w:tcPr>
            <w:tcW w:w="2014" w:type="dxa"/>
            <w:vAlign w:val="center"/>
          </w:tcPr>
          <w:p w14:paraId="4DAF71F8" w14:textId="77777777" w:rsidR="00854DF9" w:rsidRPr="00B60361" w:rsidRDefault="00EF0BDF">
            <w:pPr>
              <w:jc w:val="center"/>
              <w:rPr>
                <w:rStyle w:val="title1"/>
                <w:rFonts w:ascii="仿宋" w:eastAsia="仿宋" w:hAnsi="仿宋"/>
                <w:b w:val="0"/>
                <w:color w:val="auto"/>
                <w:sz w:val="28"/>
                <w:szCs w:val="28"/>
              </w:rPr>
            </w:pPr>
            <w:r w:rsidRPr="00B60361">
              <w:rPr>
                <w:rStyle w:val="title1"/>
                <w:rFonts w:ascii="仿宋" w:eastAsia="仿宋" w:hAnsi="仿宋"/>
                <w:b w:val="0"/>
                <w:bCs w:val="0"/>
                <w:color w:val="auto"/>
                <w:sz w:val="28"/>
                <w:szCs w:val="28"/>
              </w:rPr>
              <w:t>提名等级</w:t>
            </w:r>
          </w:p>
        </w:tc>
        <w:tc>
          <w:tcPr>
            <w:tcW w:w="6634" w:type="dxa"/>
            <w:vAlign w:val="center"/>
          </w:tcPr>
          <w:p w14:paraId="5EB41FD8" w14:textId="206707C9" w:rsidR="00854DF9" w:rsidRPr="00436EAC" w:rsidRDefault="001F1C56" w:rsidP="00436EAC">
            <w:pPr>
              <w:spacing w:line="400" w:lineRule="exact"/>
              <w:contextualSpacing/>
              <w:jc w:val="center"/>
              <w:rPr>
                <w:rFonts w:eastAsiaTheme="minorEastAsia"/>
                <w:color w:val="000000"/>
                <w:kern w:val="0"/>
                <w:sz w:val="24"/>
                <w:szCs w:val="24"/>
              </w:rPr>
            </w:pPr>
            <w:r w:rsidRPr="00436EAC">
              <w:rPr>
                <w:rFonts w:eastAsiaTheme="minorEastAsia"/>
                <w:color w:val="000000"/>
                <w:kern w:val="0"/>
                <w:sz w:val="24"/>
                <w:szCs w:val="24"/>
              </w:rPr>
              <w:t>一等奖</w:t>
            </w:r>
          </w:p>
        </w:tc>
      </w:tr>
      <w:tr w:rsidR="00854DF9" w:rsidRPr="00B60361" w14:paraId="479EBDB5" w14:textId="77777777" w:rsidTr="008501F4">
        <w:trPr>
          <w:trHeight w:val="1550"/>
        </w:trPr>
        <w:tc>
          <w:tcPr>
            <w:tcW w:w="2014" w:type="dxa"/>
            <w:vAlign w:val="center"/>
          </w:tcPr>
          <w:p w14:paraId="27C39BC5" w14:textId="77777777" w:rsidR="00854DF9" w:rsidRPr="00B60361" w:rsidRDefault="00EF0BDF">
            <w:pPr>
              <w:spacing w:line="440" w:lineRule="exact"/>
              <w:jc w:val="center"/>
              <w:rPr>
                <w:rFonts w:ascii="仿宋" w:eastAsia="仿宋" w:hAnsi="仿宋"/>
                <w:bCs/>
                <w:sz w:val="28"/>
                <w:szCs w:val="28"/>
              </w:rPr>
            </w:pPr>
            <w:r w:rsidRPr="00B60361">
              <w:rPr>
                <w:rFonts w:ascii="仿宋" w:eastAsia="仿宋" w:hAnsi="仿宋"/>
                <w:bCs/>
                <w:sz w:val="28"/>
                <w:szCs w:val="28"/>
              </w:rPr>
              <w:t>提名书</w:t>
            </w:r>
          </w:p>
          <w:p w14:paraId="163BA09F" w14:textId="77777777" w:rsidR="00854DF9" w:rsidRPr="00B60361" w:rsidRDefault="00EF0BDF">
            <w:pPr>
              <w:spacing w:line="440" w:lineRule="exact"/>
              <w:jc w:val="center"/>
              <w:rPr>
                <w:rFonts w:ascii="仿宋" w:eastAsia="仿宋" w:hAnsi="仿宋"/>
                <w:bCs/>
                <w:sz w:val="28"/>
                <w:szCs w:val="28"/>
              </w:rPr>
            </w:pPr>
            <w:r w:rsidRPr="00B60361">
              <w:rPr>
                <w:rFonts w:ascii="仿宋" w:eastAsia="仿宋" w:hAnsi="仿宋"/>
                <w:bCs/>
                <w:sz w:val="28"/>
                <w:szCs w:val="28"/>
              </w:rPr>
              <w:t>相关内容</w:t>
            </w:r>
          </w:p>
        </w:tc>
        <w:tc>
          <w:tcPr>
            <w:tcW w:w="6634" w:type="dxa"/>
            <w:vAlign w:val="center"/>
          </w:tcPr>
          <w:p w14:paraId="1497EEC4" w14:textId="4FA5C495" w:rsidR="0069093C" w:rsidRPr="0069093C" w:rsidRDefault="0069093C" w:rsidP="00436EAC">
            <w:pPr>
              <w:spacing w:line="400" w:lineRule="exact"/>
              <w:contextualSpacing/>
              <w:jc w:val="left"/>
              <w:rPr>
                <w:rFonts w:eastAsiaTheme="minorEastAsia"/>
                <w:b/>
                <w:bCs/>
                <w:color w:val="000000"/>
                <w:spacing w:val="-4"/>
                <w:kern w:val="0"/>
                <w:sz w:val="24"/>
                <w:szCs w:val="24"/>
              </w:rPr>
            </w:pPr>
            <w:r w:rsidRPr="0069093C">
              <w:rPr>
                <w:rFonts w:eastAsiaTheme="minorEastAsia"/>
                <w:b/>
                <w:bCs/>
                <w:color w:val="000000"/>
                <w:spacing w:val="-4"/>
                <w:kern w:val="0"/>
                <w:sz w:val="24"/>
                <w:szCs w:val="24"/>
              </w:rPr>
              <w:t>代表性论文专著目录</w:t>
            </w:r>
            <w:r w:rsidR="001E05B3">
              <w:rPr>
                <w:rFonts w:eastAsiaTheme="minorEastAsia" w:hint="eastAsia"/>
                <w:b/>
                <w:bCs/>
                <w:color w:val="000000"/>
                <w:spacing w:val="-4"/>
                <w:kern w:val="0"/>
                <w:sz w:val="24"/>
                <w:szCs w:val="24"/>
              </w:rPr>
              <w:t>：</w:t>
            </w:r>
          </w:p>
          <w:p w14:paraId="38D3DE51" w14:textId="54571D82" w:rsidR="00854DF9" w:rsidRPr="00436EAC" w:rsidRDefault="0069093C" w:rsidP="00436EAC">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436EAC">
              <w:rPr>
                <w:rFonts w:ascii="Times New Roman" w:eastAsiaTheme="minorEastAsia"/>
                <w:color w:val="000000"/>
                <w:kern w:val="0"/>
                <w:sz w:val="24"/>
                <w:szCs w:val="24"/>
              </w:rPr>
              <w:t xml:space="preserve">Xu XJ, Tang YM, Liao C, Song H, Yang SL, Xu WQ, Shi SW, Zhao N. Inflammatory cytokine measurement quickly discriminates gram-negative from gram-positive bacteremia in pediatric hematology/oncology patients with septic shock. </w:t>
            </w:r>
            <w:r w:rsidR="00A27E20" w:rsidRPr="00436EAC">
              <w:rPr>
                <w:rFonts w:ascii="Times New Roman" w:eastAsiaTheme="minorEastAsia"/>
                <w:color w:val="000000"/>
                <w:kern w:val="0"/>
                <w:sz w:val="24"/>
                <w:szCs w:val="24"/>
              </w:rPr>
              <w:t>Intensive Care Med. 2013;</w:t>
            </w:r>
            <w:r w:rsidR="00A97ADD">
              <w:rPr>
                <w:rFonts w:ascii="Times New Roman" w:eastAsiaTheme="minorEastAsia"/>
                <w:color w:val="000000"/>
                <w:kern w:val="0"/>
                <w:sz w:val="24"/>
                <w:szCs w:val="24"/>
              </w:rPr>
              <w:t xml:space="preserve"> </w:t>
            </w:r>
            <w:r w:rsidR="00A27E20" w:rsidRPr="00436EAC">
              <w:rPr>
                <w:rFonts w:ascii="Times New Roman" w:eastAsiaTheme="minorEastAsia"/>
                <w:color w:val="000000"/>
                <w:kern w:val="0"/>
                <w:sz w:val="24"/>
                <w:szCs w:val="24"/>
              </w:rPr>
              <w:t>39:319-26.</w:t>
            </w:r>
          </w:p>
          <w:p w14:paraId="272C59D8" w14:textId="7CFA3609" w:rsidR="00A27E20" w:rsidRPr="00436EAC" w:rsidRDefault="00506540" w:rsidP="00436EAC">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436EAC">
              <w:rPr>
                <w:rFonts w:ascii="Times New Roman" w:eastAsiaTheme="minorEastAsia"/>
                <w:color w:val="000000"/>
                <w:kern w:val="0"/>
                <w:sz w:val="24"/>
                <w:szCs w:val="24"/>
              </w:rPr>
              <w:t>Tang Y, Liao C, Xu X, Song H, Shi S, Yang S, Zhao F, Xu W, Chen X, Mao J, Zhang L, Pan B. Evaluation of Th1/Th2 cytokines as a rapid diagnostic tool for severe infection in paediatric haematology/oncology patients by the use of cytometric bead array technology. Clin Microbiol Infect. 2011;</w:t>
            </w:r>
            <w:r w:rsidR="00A97ADD">
              <w:rPr>
                <w:rFonts w:ascii="Times New Roman" w:eastAsiaTheme="minorEastAsia"/>
                <w:color w:val="000000"/>
                <w:kern w:val="0"/>
                <w:sz w:val="24"/>
                <w:szCs w:val="24"/>
              </w:rPr>
              <w:t xml:space="preserve"> </w:t>
            </w:r>
            <w:r w:rsidRPr="00436EAC">
              <w:rPr>
                <w:rFonts w:ascii="Times New Roman" w:eastAsiaTheme="minorEastAsia"/>
                <w:color w:val="000000"/>
                <w:kern w:val="0"/>
                <w:sz w:val="24"/>
                <w:szCs w:val="24"/>
              </w:rPr>
              <w:t>17:1666-73.</w:t>
            </w:r>
          </w:p>
          <w:p w14:paraId="5DE95708" w14:textId="25F7F035" w:rsidR="00506540" w:rsidRPr="00436EAC" w:rsidRDefault="00506540" w:rsidP="00436EAC">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436EAC">
              <w:rPr>
                <w:rFonts w:ascii="Times New Roman" w:eastAsiaTheme="minorEastAsia"/>
                <w:color w:val="000000"/>
                <w:kern w:val="0"/>
                <w:sz w:val="24"/>
                <w:szCs w:val="24"/>
              </w:rPr>
              <w:t>Xia T, Xu X, Zhao N, Luo Z, Tang Y. Comparison of the diagnostic power of cytokine patterns and procalcitonin for predicting infection among paediatric haematology/oncology patients. Clin Microbiol Infect. 2016;</w:t>
            </w:r>
            <w:r w:rsidR="00A97ADD">
              <w:rPr>
                <w:rFonts w:ascii="Times New Roman" w:eastAsiaTheme="minorEastAsia"/>
                <w:color w:val="000000"/>
                <w:kern w:val="0"/>
                <w:sz w:val="24"/>
                <w:szCs w:val="24"/>
              </w:rPr>
              <w:t xml:space="preserve"> </w:t>
            </w:r>
            <w:r w:rsidRPr="00436EAC">
              <w:rPr>
                <w:rFonts w:ascii="Times New Roman" w:eastAsiaTheme="minorEastAsia"/>
                <w:color w:val="000000"/>
                <w:kern w:val="0"/>
                <w:sz w:val="24"/>
                <w:szCs w:val="24"/>
              </w:rPr>
              <w:t>22:996-1001.</w:t>
            </w:r>
          </w:p>
          <w:p w14:paraId="58CE76E9" w14:textId="33C6DB53" w:rsidR="00506540" w:rsidRPr="00436EAC" w:rsidRDefault="00506540" w:rsidP="00436EAC">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436EAC">
              <w:rPr>
                <w:rFonts w:ascii="Times New Roman" w:eastAsiaTheme="minorEastAsia"/>
                <w:color w:val="000000"/>
                <w:kern w:val="0"/>
                <w:sz w:val="24"/>
                <w:szCs w:val="24"/>
              </w:rPr>
              <w:t>Xu XJ, Tang YM, Song H, Yang SL, Xu WQ, Shi SW, Zhao N, Liao C. A multiplex cytokine score for the prediction of disease severity in pediatric hematology/oncology patients with septic shock. Cytokine. 2013;</w:t>
            </w:r>
            <w:r w:rsidR="00A97ADD">
              <w:rPr>
                <w:rFonts w:ascii="Times New Roman" w:eastAsiaTheme="minorEastAsia"/>
                <w:color w:val="000000"/>
                <w:kern w:val="0"/>
                <w:sz w:val="24"/>
                <w:szCs w:val="24"/>
              </w:rPr>
              <w:t xml:space="preserve"> </w:t>
            </w:r>
            <w:r w:rsidRPr="00436EAC">
              <w:rPr>
                <w:rFonts w:ascii="Times New Roman" w:eastAsiaTheme="minorEastAsia"/>
                <w:color w:val="000000"/>
                <w:kern w:val="0"/>
                <w:sz w:val="24"/>
                <w:szCs w:val="24"/>
              </w:rPr>
              <w:t>64:590-6.</w:t>
            </w:r>
          </w:p>
          <w:p w14:paraId="68D6F82B" w14:textId="6ED8D039" w:rsidR="00313BD3" w:rsidRDefault="00506540" w:rsidP="00313BD3">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436EAC">
              <w:rPr>
                <w:rFonts w:ascii="Times New Roman" w:eastAsiaTheme="minorEastAsia"/>
                <w:color w:val="000000"/>
                <w:kern w:val="0"/>
                <w:sz w:val="24"/>
                <w:szCs w:val="24"/>
              </w:rPr>
              <w:t>Xu XJ, Tang YM, Song H, Yang SL, Xu WQ, Shi SW. Corticosteroid administration is associated with improved outcome of patients presenting high inflammatory cytokine levels during septic shock. Pediatr Blood Cancer. 2014;</w:t>
            </w:r>
            <w:r w:rsidR="00A97ADD">
              <w:rPr>
                <w:rFonts w:ascii="Times New Roman" w:eastAsiaTheme="minorEastAsia"/>
                <w:color w:val="000000"/>
                <w:kern w:val="0"/>
                <w:sz w:val="24"/>
                <w:szCs w:val="24"/>
              </w:rPr>
              <w:t xml:space="preserve"> </w:t>
            </w:r>
            <w:r w:rsidRPr="00436EAC">
              <w:rPr>
                <w:rFonts w:ascii="Times New Roman" w:eastAsiaTheme="minorEastAsia"/>
                <w:color w:val="000000"/>
                <w:kern w:val="0"/>
                <w:sz w:val="24"/>
                <w:szCs w:val="24"/>
              </w:rPr>
              <w:t>61:2243-8.</w:t>
            </w:r>
          </w:p>
          <w:p w14:paraId="78B2C2CB" w14:textId="0EB90914" w:rsidR="008F5607" w:rsidRPr="00313BD3" w:rsidRDefault="008F5607" w:rsidP="00313BD3">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313BD3">
              <w:rPr>
                <w:rFonts w:ascii="Times New Roman" w:eastAsiaTheme="minorEastAsia"/>
                <w:color w:val="000000"/>
                <w:kern w:val="0"/>
                <w:sz w:val="24"/>
                <w:szCs w:val="24"/>
              </w:rPr>
              <w:t>Tang Y, Xu X, Song H, Yang S, Shi S, Wei J, Pan B, Zhao F, Liao C, Luo C. Early diagnostic and prognostic significance of a specific Th1/Th2 cytokine pattern in children with haemophagocytic syndrome. Br J Haematol. 2008;</w:t>
            </w:r>
            <w:r w:rsidR="00A97ADD">
              <w:rPr>
                <w:rFonts w:ascii="Times New Roman" w:eastAsiaTheme="minorEastAsia"/>
                <w:color w:val="000000"/>
                <w:kern w:val="0"/>
                <w:sz w:val="24"/>
                <w:szCs w:val="24"/>
              </w:rPr>
              <w:t xml:space="preserve"> </w:t>
            </w:r>
            <w:r w:rsidRPr="00313BD3">
              <w:rPr>
                <w:rFonts w:ascii="Times New Roman" w:eastAsiaTheme="minorEastAsia"/>
                <w:color w:val="000000"/>
                <w:kern w:val="0"/>
                <w:sz w:val="24"/>
                <w:szCs w:val="24"/>
              </w:rPr>
              <w:t>143:84-91.</w:t>
            </w:r>
          </w:p>
          <w:p w14:paraId="318A31B4" w14:textId="6B9E0D2B" w:rsidR="00506540" w:rsidRPr="00436EAC" w:rsidRDefault="00436EAC" w:rsidP="00436EAC">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436EAC">
              <w:rPr>
                <w:rFonts w:ascii="Times New Roman" w:eastAsiaTheme="minorEastAsia"/>
                <w:color w:val="000000"/>
                <w:kern w:val="0"/>
                <w:sz w:val="24"/>
                <w:szCs w:val="24"/>
              </w:rPr>
              <w:lastRenderedPageBreak/>
              <w:t>Xu XJ, Tang YM, Song H, Yang SL, Xu WQ, Zhao N, Shi SW, Shen HP, Mao JQ, Zhang LY, Pan BH. Diagnostic accuracy of a specific cytokine pattern in hemophagocytic lymphohistiocytosis in children. J Pediatr. 2012;</w:t>
            </w:r>
            <w:r w:rsidR="00A97ADD">
              <w:rPr>
                <w:rFonts w:ascii="Times New Roman" w:eastAsiaTheme="minorEastAsia"/>
                <w:color w:val="000000"/>
                <w:kern w:val="0"/>
                <w:sz w:val="24"/>
                <w:szCs w:val="24"/>
              </w:rPr>
              <w:t xml:space="preserve"> </w:t>
            </w:r>
            <w:r w:rsidRPr="00436EAC">
              <w:rPr>
                <w:rFonts w:ascii="Times New Roman" w:eastAsiaTheme="minorEastAsia"/>
                <w:color w:val="000000"/>
                <w:kern w:val="0"/>
                <w:sz w:val="24"/>
                <w:szCs w:val="24"/>
              </w:rPr>
              <w:t>160:984-90 e1.</w:t>
            </w:r>
          </w:p>
          <w:p w14:paraId="6A5F22F3" w14:textId="20C070BE" w:rsidR="00436EAC" w:rsidRDefault="00436EAC" w:rsidP="00436EAC">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436EAC">
              <w:rPr>
                <w:rFonts w:ascii="Times New Roman" w:eastAsiaTheme="minorEastAsia"/>
                <w:color w:val="000000"/>
                <w:kern w:val="0"/>
                <w:sz w:val="24"/>
                <w:szCs w:val="24"/>
              </w:rPr>
              <w:t>Chen Y, Wang Z, Luo Z, Zhao N, Yang S, Tang Y. Comparison of Th1/Th2 cytokine profiles between primary and secondary haemophagocytic lymphohistiocytosis. Ital J Pediatr. 2016;</w:t>
            </w:r>
            <w:r w:rsidR="00A97ADD">
              <w:rPr>
                <w:rFonts w:ascii="Times New Roman" w:eastAsiaTheme="minorEastAsia"/>
                <w:color w:val="000000"/>
                <w:kern w:val="0"/>
                <w:sz w:val="24"/>
                <w:szCs w:val="24"/>
              </w:rPr>
              <w:t xml:space="preserve"> </w:t>
            </w:r>
            <w:r w:rsidRPr="00436EAC">
              <w:rPr>
                <w:rFonts w:ascii="Times New Roman" w:eastAsiaTheme="minorEastAsia"/>
                <w:color w:val="000000"/>
                <w:kern w:val="0"/>
                <w:sz w:val="24"/>
                <w:szCs w:val="24"/>
              </w:rPr>
              <w:t>42:50.</w:t>
            </w:r>
          </w:p>
          <w:p w14:paraId="11B1F873" w14:textId="54742F05" w:rsidR="00C33EB2" w:rsidRPr="00436EAC" w:rsidRDefault="00C33EB2" w:rsidP="00436EAC">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C33EB2">
              <w:rPr>
                <w:rFonts w:ascii="Times New Roman" w:eastAsiaTheme="minorEastAsia"/>
                <w:color w:val="000000"/>
                <w:kern w:val="0"/>
                <w:sz w:val="24"/>
                <w:szCs w:val="24"/>
              </w:rPr>
              <w:t>Luo ZB, Chen YY, Xu XJ, Zhao N, Tang YM</w:t>
            </w:r>
            <w:r>
              <w:rPr>
                <w:rFonts w:ascii="Times New Roman" w:eastAsiaTheme="minorEastAsia"/>
                <w:color w:val="000000"/>
                <w:kern w:val="0"/>
                <w:sz w:val="24"/>
                <w:szCs w:val="24"/>
              </w:rPr>
              <w:t xml:space="preserve">. </w:t>
            </w:r>
            <w:r w:rsidRPr="00C33EB2">
              <w:rPr>
                <w:rFonts w:ascii="Times New Roman" w:eastAsiaTheme="minorEastAsia"/>
                <w:color w:val="000000"/>
                <w:kern w:val="0"/>
                <w:sz w:val="24"/>
                <w:szCs w:val="24"/>
              </w:rPr>
              <w:t>Prognostic factors of early death in children with hemophagocytic lymphohistiocytosis</w:t>
            </w:r>
            <w:r>
              <w:rPr>
                <w:rFonts w:ascii="Times New Roman" w:eastAsiaTheme="minorEastAsia"/>
                <w:color w:val="000000"/>
                <w:kern w:val="0"/>
                <w:sz w:val="24"/>
                <w:szCs w:val="24"/>
              </w:rPr>
              <w:t xml:space="preserve">. </w:t>
            </w:r>
            <w:r w:rsidRPr="00C33EB2">
              <w:rPr>
                <w:rFonts w:ascii="Times New Roman" w:eastAsiaTheme="minorEastAsia"/>
                <w:color w:val="000000"/>
                <w:kern w:val="0"/>
                <w:sz w:val="24"/>
                <w:szCs w:val="24"/>
              </w:rPr>
              <w:t>Cytokine</w:t>
            </w:r>
            <w:r>
              <w:rPr>
                <w:rFonts w:ascii="Times New Roman" w:eastAsiaTheme="minorEastAsia"/>
                <w:color w:val="000000"/>
                <w:kern w:val="0"/>
                <w:sz w:val="24"/>
                <w:szCs w:val="24"/>
              </w:rPr>
              <w:t xml:space="preserve">. </w:t>
            </w:r>
            <w:r w:rsidRPr="00C33EB2">
              <w:rPr>
                <w:rFonts w:ascii="Times New Roman" w:eastAsiaTheme="minorEastAsia"/>
                <w:color w:val="000000"/>
                <w:kern w:val="0"/>
                <w:sz w:val="24"/>
                <w:szCs w:val="24"/>
              </w:rPr>
              <w:t>2017;97:80-85</w:t>
            </w:r>
            <w:r>
              <w:rPr>
                <w:rFonts w:ascii="Times New Roman" w:eastAsiaTheme="minorEastAsia"/>
                <w:color w:val="000000"/>
                <w:kern w:val="0"/>
                <w:sz w:val="24"/>
                <w:szCs w:val="24"/>
              </w:rPr>
              <w:t>.</w:t>
            </w:r>
          </w:p>
          <w:p w14:paraId="26773E53" w14:textId="342FA3C9" w:rsidR="00436EAC" w:rsidRPr="00436EAC" w:rsidRDefault="00436EAC" w:rsidP="00436EAC">
            <w:pPr>
              <w:pStyle w:val="af0"/>
              <w:numPr>
                <w:ilvl w:val="0"/>
                <w:numId w:val="4"/>
              </w:numPr>
              <w:spacing w:line="400" w:lineRule="exact"/>
              <w:ind w:firstLineChars="0"/>
              <w:contextualSpacing/>
              <w:jc w:val="left"/>
              <w:rPr>
                <w:rFonts w:ascii="Times New Roman" w:eastAsiaTheme="minorEastAsia"/>
                <w:color w:val="000000"/>
                <w:kern w:val="0"/>
                <w:sz w:val="24"/>
                <w:szCs w:val="24"/>
              </w:rPr>
            </w:pPr>
            <w:r w:rsidRPr="00436EAC">
              <w:rPr>
                <w:rFonts w:ascii="Times New Roman" w:eastAsiaTheme="minorEastAsia"/>
                <w:color w:val="000000"/>
                <w:kern w:val="0"/>
                <w:sz w:val="24"/>
                <w:szCs w:val="24"/>
              </w:rPr>
              <w:t>Shen D, Song H, Xu X, Xu W, Wang D, Liang J, Fang M, Liao C, Chen X, Li S, Zhao N, Huang W, Tang Y. Chimeric antigen receptor T cell therapy can be administered safely under the real-time monitoring of Th1/Th2 cytokine pattern using the cytometric bead array technology for relapsed and refractory acute lymphoblastic leukemia in children. Pediatr Hematol Oncol. 2020;</w:t>
            </w:r>
            <w:r w:rsidR="00A97ADD">
              <w:rPr>
                <w:rFonts w:ascii="Times New Roman" w:eastAsiaTheme="minorEastAsia"/>
                <w:color w:val="000000"/>
                <w:kern w:val="0"/>
                <w:sz w:val="24"/>
                <w:szCs w:val="24"/>
              </w:rPr>
              <w:t xml:space="preserve"> </w:t>
            </w:r>
            <w:r w:rsidRPr="00436EAC">
              <w:rPr>
                <w:rFonts w:ascii="Times New Roman" w:eastAsiaTheme="minorEastAsia"/>
                <w:color w:val="000000"/>
                <w:kern w:val="0"/>
                <w:sz w:val="24"/>
                <w:szCs w:val="24"/>
              </w:rPr>
              <w:t>37:288-99.</w:t>
            </w:r>
          </w:p>
        </w:tc>
      </w:tr>
      <w:tr w:rsidR="00854DF9" w:rsidRPr="00B60361" w14:paraId="5A82A0BF" w14:textId="77777777" w:rsidTr="008501F4">
        <w:trPr>
          <w:trHeight w:val="1125"/>
        </w:trPr>
        <w:tc>
          <w:tcPr>
            <w:tcW w:w="2014" w:type="dxa"/>
            <w:tcBorders>
              <w:right w:val="single" w:sz="4" w:space="0" w:color="auto"/>
            </w:tcBorders>
            <w:vAlign w:val="center"/>
          </w:tcPr>
          <w:p w14:paraId="2FE0B481" w14:textId="77777777" w:rsidR="00854DF9" w:rsidRPr="00B60361" w:rsidRDefault="00EF0BDF">
            <w:pPr>
              <w:spacing w:line="440" w:lineRule="exact"/>
              <w:jc w:val="center"/>
              <w:rPr>
                <w:rFonts w:ascii="仿宋" w:eastAsia="仿宋" w:hAnsi="仿宋"/>
                <w:bCs/>
                <w:sz w:val="28"/>
                <w:szCs w:val="28"/>
              </w:rPr>
            </w:pPr>
            <w:r w:rsidRPr="00B60361">
              <w:rPr>
                <w:rFonts w:ascii="仿宋" w:eastAsia="仿宋" w:hAnsi="仿宋"/>
                <w:bCs/>
                <w:sz w:val="28"/>
                <w:szCs w:val="28"/>
              </w:rPr>
              <w:lastRenderedPageBreak/>
              <w:t>主要完成人</w:t>
            </w:r>
          </w:p>
        </w:tc>
        <w:tc>
          <w:tcPr>
            <w:tcW w:w="6634" w:type="dxa"/>
            <w:tcBorders>
              <w:left w:val="single" w:sz="4" w:space="0" w:color="auto"/>
            </w:tcBorders>
            <w:vAlign w:val="center"/>
          </w:tcPr>
          <w:p w14:paraId="0057D0B4" w14:textId="67132E8E"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汤永民，排名</w:t>
            </w:r>
            <w:r w:rsidRPr="00436EAC">
              <w:rPr>
                <w:rFonts w:eastAsiaTheme="minorEastAsia"/>
                <w:color w:val="000000"/>
                <w:kern w:val="0"/>
                <w:sz w:val="24"/>
                <w:szCs w:val="24"/>
              </w:rPr>
              <w:t>1</w:t>
            </w:r>
            <w:r w:rsidRPr="00436EAC">
              <w:rPr>
                <w:rFonts w:eastAsiaTheme="minorEastAsia"/>
                <w:color w:val="000000"/>
                <w:kern w:val="0"/>
                <w:sz w:val="24"/>
                <w:szCs w:val="24"/>
              </w:rPr>
              <w:t>，主任医师，浙江大学医学院附属儿童医院；</w:t>
            </w:r>
          </w:p>
          <w:p w14:paraId="23AAD8F5" w14:textId="1F1E9FE2"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徐晓军，排名</w:t>
            </w:r>
            <w:r w:rsidRPr="00436EAC">
              <w:rPr>
                <w:rFonts w:eastAsiaTheme="minorEastAsia"/>
                <w:color w:val="000000"/>
                <w:kern w:val="0"/>
                <w:sz w:val="24"/>
                <w:szCs w:val="24"/>
              </w:rPr>
              <w:t>2</w:t>
            </w:r>
            <w:r w:rsidRPr="00436EAC">
              <w:rPr>
                <w:rFonts w:eastAsiaTheme="minorEastAsia"/>
                <w:color w:val="000000"/>
                <w:kern w:val="0"/>
                <w:sz w:val="24"/>
                <w:szCs w:val="24"/>
              </w:rPr>
              <w:t>，主任医师，浙江大学医学院附属儿童医院；</w:t>
            </w:r>
          </w:p>
          <w:p w14:paraId="1D58EFA0" w14:textId="154AA606"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廖婵，排名</w:t>
            </w:r>
            <w:r w:rsidRPr="00436EAC">
              <w:rPr>
                <w:rFonts w:eastAsiaTheme="minorEastAsia"/>
                <w:color w:val="000000"/>
                <w:kern w:val="0"/>
                <w:sz w:val="24"/>
                <w:szCs w:val="24"/>
              </w:rPr>
              <w:t>3</w:t>
            </w:r>
            <w:r w:rsidRPr="00436EAC">
              <w:rPr>
                <w:rFonts w:eastAsiaTheme="minorEastAsia"/>
                <w:color w:val="000000"/>
                <w:kern w:val="0"/>
                <w:sz w:val="24"/>
                <w:szCs w:val="24"/>
              </w:rPr>
              <w:t>，副主任医师，浙江大学医学院附属儿童医院；</w:t>
            </w:r>
          </w:p>
          <w:p w14:paraId="6DD8A0B3" w14:textId="55DB1F4C"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赵宁，排名</w:t>
            </w:r>
            <w:r w:rsidRPr="00436EAC">
              <w:rPr>
                <w:rFonts w:eastAsiaTheme="minorEastAsia"/>
                <w:color w:val="000000"/>
                <w:kern w:val="0"/>
                <w:sz w:val="24"/>
                <w:szCs w:val="24"/>
              </w:rPr>
              <w:t>4</w:t>
            </w:r>
            <w:r w:rsidRPr="00436EAC">
              <w:rPr>
                <w:rFonts w:eastAsiaTheme="minorEastAsia"/>
                <w:color w:val="000000"/>
                <w:kern w:val="0"/>
                <w:sz w:val="24"/>
                <w:szCs w:val="24"/>
              </w:rPr>
              <w:t>，主管技师，浙江大学医学院附属儿童医院；</w:t>
            </w:r>
          </w:p>
          <w:p w14:paraId="6E8AF663" w14:textId="1F6BA73E"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梁娟，排名</w:t>
            </w:r>
            <w:r w:rsidRPr="00436EAC">
              <w:rPr>
                <w:rFonts w:eastAsiaTheme="minorEastAsia"/>
                <w:color w:val="000000"/>
                <w:kern w:val="0"/>
                <w:sz w:val="24"/>
                <w:szCs w:val="24"/>
              </w:rPr>
              <w:t>5</w:t>
            </w:r>
            <w:r w:rsidRPr="00436EAC">
              <w:rPr>
                <w:rFonts w:eastAsiaTheme="minorEastAsia"/>
                <w:color w:val="000000"/>
                <w:kern w:val="0"/>
                <w:sz w:val="24"/>
                <w:szCs w:val="24"/>
              </w:rPr>
              <w:t>，副主任医师，浙江大学医学院附属儿童医院；</w:t>
            </w:r>
          </w:p>
          <w:p w14:paraId="7ECD740F" w14:textId="1818143E"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徐卫群，排名</w:t>
            </w:r>
            <w:r w:rsidRPr="00436EAC">
              <w:rPr>
                <w:rFonts w:eastAsiaTheme="minorEastAsia"/>
                <w:color w:val="000000"/>
                <w:kern w:val="0"/>
                <w:sz w:val="24"/>
                <w:szCs w:val="24"/>
              </w:rPr>
              <w:t>6</w:t>
            </w:r>
            <w:r w:rsidRPr="00436EAC">
              <w:rPr>
                <w:rFonts w:eastAsiaTheme="minorEastAsia"/>
                <w:color w:val="000000"/>
                <w:kern w:val="0"/>
                <w:sz w:val="24"/>
                <w:szCs w:val="24"/>
              </w:rPr>
              <w:t>，主任医师，浙江大学医学院附属儿童医院；</w:t>
            </w:r>
          </w:p>
          <w:p w14:paraId="799C966A" w14:textId="7E757E85"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张晶樱，排名</w:t>
            </w:r>
            <w:r w:rsidRPr="00436EAC">
              <w:rPr>
                <w:rFonts w:eastAsiaTheme="minorEastAsia"/>
                <w:color w:val="000000"/>
                <w:kern w:val="0"/>
                <w:sz w:val="24"/>
                <w:szCs w:val="24"/>
              </w:rPr>
              <w:t>7</w:t>
            </w:r>
            <w:r w:rsidRPr="00436EAC">
              <w:rPr>
                <w:rFonts w:eastAsiaTheme="minorEastAsia"/>
                <w:color w:val="000000"/>
                <w:kern w:val="0"/>
                <w:sz w:val="24"/>
                <w:szCs w:val="24"/>
              </w:rPr>
              <w:t>，副主任医师，浙江大学医学院附属儿童医院；</w:t>
            </w:r>
          </w:p>
          <w:p w14:paraId="3D132CC3" w14:textId="2B18B97F"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宋华，排名</w:t>
            </w:r>
            <w:r w:rsidRPr="00436EAC">
              <w:rPr>
                <w:rFonts w:eastAsiaTheme="minorEastAsia"/>
                <w:color w:val="000000"/>
                <w:kern w:val="0"/>
                <w:sz w:val="24"/>
                <w:szCs w:val="24"/>
              </w:rPr>
              <w:t>8</w:t>
            </w:r>
            <w:r w:rsidRPr="00436EAC">
              <w:rPr>
                <w:rFonts w:eastAsiaTheme="minorEastAsia"/>
                <w:color w:val="000000"/>
                <w:kern w:val="0"/>
                <w:sz w:val="24"/>
                <w:szCs w:val="24"/>
              </w:rPr>
              <w:t>，主任医师，浙江大学医学院附属儿童医院；</w:t>
            </w:r>
          </w:p>
          <w:p w14:paraId="259CB24B" w14:textId="57993EA3"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沈笛颖，排名</w:t>
            </w:r>
            <w:r w:rsidRPr="00436EAC">
              <w:rPr>
                <w:rFonts w:eastAsiaTheme="minorEastAsia"/>
                <w:color w:val="000000"/>
                <w:kern w:val="0"/>
                <w:sz w:val="24"/>
                <w:szCs w:val="24"/>
              </w:rPr>
              <w:t>9</w:t>
            </w:r>
            <w:r w:rsidRPr="00436EAC">
              <w:rPr>
                <w:rFonts w:eastAsiaTheme="minorEastAsia"/>
                <w:color w:val="000000"/>
                <w:kern w:val="0"/>
                <w:sz w:val="24"/>
                <w:szCs w:val="24"/>
              </w:rPr>
              <w:t>，副主任医师，浙江大学医学院附属儿童医院；</w:t>
            </w:r>
          </w:p>
          <w:p w14:paraId="0867C04D" w14:textId="060545E1"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骆泽斌，排名</w:t>
            </w:r>
            <w:r w:rsidRPr="00436EAC">
              <w:rPr>
                <w:rFonts w:eastAsiaTheme="minorEastAsia"/>
                <w:color w:val="000000"/>
                <w:kern w:val="0"/>
                <w:sz w:val="24"/>
                <w:szCs w:val="24"/>
              </w:rPr>
              <w:t>10</w:t>
            </w:r>
            <w:r w:rsidRPr="00436EAC">
              <w:rPr>
                <w:rFonts w:eastAsiaTheme="minorEastAsia"/>
                <w:color w:val="000000"/>
                <w:kern w:val="0"/>
                <w:sz w:val="24"/>
                <w:szCs w:val="24"/>
              </w:rPr>
              <w:t>，主治医师，浙江大学医学院附属儿童医院；</w:t>
            </w:r>
          </w:p>
          <w:p w14:paraId="7F9D0605" w14:textId="582936D6"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沈和萍，排名</w:t>
            </w:r>
            <w:r w:rsidRPr="00436EAC">
              <w:rPr>
                <w:rFonts w:eastAsiaTheme="minorEastAsia"/>
                <w:color w:val="000000"/>
                <w:kern w:val="0"/>
                <w:sz w:val="24"/>
                <w:szCs w:val="24"/>
              </w:rPr>
              <w:t>11</w:t>
            </w:r>
            <w:r w:rsidRPr="00436EAC">
              <w:rPr>
                <w:rFonts w:eastAsiaTheme="minorEastAsia"/>
                <w:color w:val="000000"/>
                <w:kern w:val="0"/>
                <w:sz w:val="24"/>
                <w:szCs w:val="24"/>
              </w:rPr>
              <w:t>，副主任医师，浙江大学医学院附属儿童医院；</w:t>
            </w:r>
          </w:p>
          <w:p w14:paraId="1540D09A" w14:textId="5F7C8464" w:rsidR="00292771" w:rsidRPr="00436EAC" w:rsidRDefault="00292771" w:rsidP="00436EAC">
            <w:pPr>
              <w:adjustRightInd w:val="0"/>
              <w:spacing w:line="400" w:lineRule="exact"/>
              <w:contextualSpacing/>
              <w:rPr>
                <w:rFonts w:eastAsiaTheme="minorEastAsia"/>
                <w:color w:val="000000"/>
                <w:kern w:val="0"/>
                <w:sz w:val="24"/>
                <w:szCs w:val="24"/>
              </w:rPr>
            </w:pPr>
            <w:r w:rsidRPr="00436EAC">
              <w:rPr>
                <w:rFonts w:eastAsiaTheme="minorEastAsia"/>
                <w:color w:val="000000"/>
                <w:kern w:val="0"/>
                <w:sz w:val="24"/>
                <w:szCs w:val="24"/>
              </w:rPr>
              <w:t>陈园园，排名</w:t>
            </w:r>
            <w:r w:rsidRPr="00436EAC">
              <w:rPr>
                <w:rFonts w:eastAsiaTheme="minorEastAsia"/>
                <w:color w:val="000000"/>
                <w:kern w:val="0"/>
                <w:sz w:val="24"/>
                <w:szCs w:val="24"/>
              </w:rPr>
              <w:t>12</w:t>
            </w:r>
            <w:r w:rsidRPr="00436EAC">
              <w:rPr>
                <w:rFonts w:eastAsiaTheme="minorEastAsia"/>
                <w:color w:val="000000"/>
                <w:kern w:val="0"/>
                <w:sz w:val="24"/>
                <w:szCs w:val="24"/>
              </w:rPr>
              <w:t>，副主任医师，浙江大学医学院附属儿童医院；</w:t>
            </w:r>
          </w:p>
          <w:p w14:paraId="274D45FC" w14:textId="306372B0" w:rsidR="00854DF9" w:rsidRPr="00436EAC" w:rsidRDefault="00292771" w:rsidP="00436EAC">
            <w:pPr>
              <w:adjustRightInd w:val="0"/>
              <w:spacing w:line="400" w:lineRule="exact"/>
              <w:contextualSpacing/>
              <w:rPr>
                <w:rFonts w:eastAsiaTheme="minorEastAsia"/>
                <w:bCs/>
                <w:sz w:val="24"/>
                <w:szCs w:val="24"/>
              </w:rPr>
            </w:pPr>
            <w:r w:rsidRPr="00436EAC">
              <w:rPr>
                <w:rFonts w:eastAsiaTheme="minorEastAsia"/>
                <w:color w:val="000000"/>
                <w:kern w:val="0"/>
                <w:sz w:val="24"/>
                <w:szCs w:val="24"/>
              </w:rPr>
              <w:t>夏添，排名</w:t>
            </w:r>
            <w:r w:rsidRPr="00436EAC">
              <w:rPr>
                <w:rFonts w:eastAsiaTheme="minorEastAsia"/>
                <w:color w:val="000000"/>
                <w:kern w:val="0"/>
                <w:sz w:val="24"/>
                <w:szCs w:val="24"/>
              </w:rPr>
              <w:t>13</w:t>
            </w:r>
            <w:r w:rsidRPr="00436EAC">
              <w:rPr>
                <w:rFonts w:eastAsiaTheme="minorEastAsia"/>
                <w:color w:val="000000"/>
                <w:kern w:val="0"/>
                <w:sz w:val="24"/>
                <w:szCs w:val="24"/>
              </w:rPr>
              <w:t>，主治医师，浙江大学医学院附属儿童医院。</w:t>
            </w:r>
          </w:p>
        </w:tc>
      </w:tr>
      <w:tr w:rsidR="00854DF9" w:rsidRPr="00B60361" w14:paraId="2CF4E3CE" w14:textId="77777777" w:rsidTr="008501F4">
        <w:trPr>
          <w:trHeight w:val="985"/>
        </w:trPr>
        <w:tc>
          <w:tcPr>
            <w:tcW w:w="2014" w:type="dxa"/>
            <w:tcBorders>
              <w:right w:val="single" w:sz="4" w:space="0" w:color="auto"/>
            </w:tcBorders>
            <w:vAlign w:val="center"/>
          </w:tcPr>
          <w:p w14:paraId="605DB52C" w14:textId="77777777" w:rsidR="00854DF9" w:rsidRPr="00B60361" w:rsidRDefault="00EF0BDF">
            <w:pPr>
              <w:spacing w:line="440" w:lineRule="exact"/>
              <w:jc w:val="center"/>
              <w:rPr>
                <w:rFonts w:ascii="仿宋" w:eastAsia="仿宋" w:hAnsi="仿宋"/>
                <w:bCs/>
                <w:sz w:val="28"/>
                <w:szCs w:val="28"/>
              </w:rPr>
            </w:pPr>
            <w:r w:rsidRPr="00B60361">
              <w:rPr>
                <w:rFonts w:ascii="仿宋" w:eastAsia="仿宋" w:hAnsi="仿宋"/>
                <w:bCs/>
                <w:sz w:val="28"/>
                <w:szCs w:val="28"/>
              </w:rPr>
              <w:t>主要完成单位</w:t>
            </w:r>
          </w:p>
        </w:tc>
        <w:tc>
          <w:tcPr>
            <w:tcW w:w="6634" w:type="dxa"/>
            <w:tcBorders>
              <w:left w:val="single" w:sz="4" w:space="0" w:color="auto"/>
            </w:tcBorders>
            <w:vAlign w:val="center"/>
          </w:tcPr>
          <w:p w14:paraId="51FE89AF" w14:textId="197FAA1C" w:rsidR="00854DF9" w:rsidRPr="00436EAC" w:rsidRDefault="00B60361" w:rsidP="00436EAC">
            <w:pPr>
              <w:spacing w:line="400" w:lineRule="exact"/>
              <w:contextualSpacing/>
              <w:jc w:val="center"/>
              <w:rPr>
                <w:rFonts w:eastAsiaTheme="minorEastAsia"/>
                <w:bCs/>
                <w:sz w:val="24"/>
                <w:szCs w:val="24"/>
              </w:rPr>
            </w:pPr>
            <w:r w:rsidRPr="00436EAC">
              <w:rPr>
                <w:rFonts w:eastAsiaTheme="minorEastAsia"/>
                <w:bCs/>
                <w:sz w:val="24"/>
                <w:szCs w:val="24"/>
              </w:rPr>
              <w:t>浙江大学医学院附属儿童医院</w:t>
            </w:r>
          </w:p>
        </w:tc>
      </w:tr>
      <w:tr w:rsidR="00854DF9" w:rsidRPr="00B60361" w14:paraId="4CB5E47E" w14:textId="77777777" w:rsidTr="008501F4">
        <w:trPr>
          <w:trHeight w:val="692"/>
        </w:trPr>
        <w:tc>
          <w:tcPr>
            <w:tcW w:w="2014" w:type="dxa"/>
            <w:vAlign w:val="center"/>
          </w:tcPr>
          <w:p w14:paraId="49D41886" w14:textId="77777777" w:rsidR="00854DF9" w:rsidRPr="00B60361" w:rsidRDefault="00EF0BDF">
            <w:pPr>
              <w:jc w:val="center"/>
              <w:rPr>
                <w:rStyle w:val="title1"/>
                <w:rFonts w:ascii="仿宋" w:eastAsia="仿宋" w:hAnsi="仿宋"/>
                <w:b w:val="0"/>
                <w:color w:val="auto"/>
                <w:sz w:val="28"/>
                <w:szCs w:val="28"/>
              </w:rPr>
            </w:pPr>
            <w:r w:rsidRPr="00B60361">
              <w:rPr>
                <w:rStyle w:val="title1"/>
                <w:rFonts w:ascii="仿宋" w:eastAsia="仿宋" w:hAnsi="仿宋"/>
                <w:b w:val="0"/>
                <w:color w:val="auto"/>
                <w:sz w:val="28"/>
                <w:szCs w:val="28"/>
              </w:rPr>
              <w:t>提名单位</w:t>
            </w:r>
          </w:p>
        </w:tc>
        <w:tc>
          <w:tcPr>
            <w:tcW w:w="6634" w:type="dxa"/>
            <w:vAlign w:val="center"/>
          </w:tcPr>
          <w:p w14:paraId="68BD997B" w14:textId="08E6894F" w:rsidR="00854DF9" w:rsidRPr="00436EAC" w:rsidRDefault="00B60361" w:rsidP="00436EAC">
            <w:pPr>
              <w:spacing w:line="400" w:lineRule="exact"/>
              <w:contextualSpacing/>
              <w:jc w:val="center"/>
              <w:rPr>
                <w:rStyle w:val="title1"/>
                <w:rFonts w:eastAsiaTheme="minorEastAsia"/>
                <w:b w:val="0"/>
                <w:color w:val="auto"/>
              </w:rPr>
            </w:pPr>
            <w:r w:rsidRPr="00436EAC">
              <w:rPr>
                <w:rStyle w:val="title1"/>
                <w:rFonts w:eastAsiaTheme="minorEastAsia"/>
                <w:b w:val="0"/>
                <w:color w:val="auto"/>
              </w:rPr>
              <w:t>浙江大学</w:t>
            </w:r>
          </w:p>
        </w:tc>
      </w:tr>
      <w:tr w:rsidR="00854DF9" w:rsidRPr="00B60361" w14:paraId="7AF66239" w14:textId="77777777" w:rsidTr="008501F4">
        <w:trPr>
          <w:trHeight w:val="3251"/>
        </w:trPr>
        <w:tc>
          <w:tcPr>
            <w:tcW w:w="2014" w:type="dxa"/>
            <w:vAlign w:val="center"/>
          </w:tcPr>
          <w:p w14:paraId="790B8352" w14:textId="77777777" w:rsidR="00854DF9" w:rsidRPr="00B60361" w:rsidRDefault="00EF0BDF">
            <w:pPr>
              <w:jc w:val="center"/>
              <w:rPr>
                <w:rStyle w:val="title1"/>
                <w:rFonts w:ascii="仿宋" w:eastAsia="仿宋" w:hAnsi="仿宋"/>
                <w:b w:val="0"/>
                <w:color w:val="auto"/>
                <w:sz w:val="28"/>
                <w:szCs w:val="28"/>
              </w:rPr>
            </w:pPr>
            <w:r w:rsidRPr="00B60361">
              <w:rPr>
                <w:rStyle w:val="title1"/>
                <w:rFonts w:ascii="仿宋" w:eastAsia="仿宋" w:hAnsi="仿宋"/>
                <w:b w:val="0"/>
                <w:color w:val="auto"/>
                <w:sz w:val="28"/>
                <w:szCs w:val="28"/>
              </w:rPr>
              <w:t>提名意见</w:t>
            </w:r>
          </w:p>
        </w:tc>
        <w:tc>
          <w:tcPr>
            <w:tcW w:w="6634" w:type="dxa"/>
            <w:vAlign w:val="center"/>
          </w:tcPr>
          <w:p w14:paraId="742D9828" w14:textId="77777777" w:rsidR="00AB4D31" w:rsidRDefault="00AB4D31" w:rsidP="0011098D">
            <w:pPr>
              <w:adjustRightInd w:val="0"/>
              <w:spacing w:line="400" w:lineRule="exact"/>
              <w:ind w:firstLineChars="200" w:firstLine="480"/>
              <w:contextualSpacing/>
              <w:rPr>
                <w:rFonts w:eastAsiaTheme="minorEastAsia" w:hint="eastAsia"/>
                <w:color w:val="000000"/>
                <w:kern w:val="0"/>
                <w:sz w:val="24"/>
                <w:szCs w:val="24"/>
              </w:rPr>
            </w:pPr>
            <w:r>
              <w:rPr>
                <w:rFonts w:eastAsiaTheme="minorEastAsia" w:hint="eastAsia"/>
                <w:color w:val="000000"/>
                <w:kern w:val="0"/>
                <w:sz w:val="24"/>
                <w:szCs w:val="24"/>
              </w:rPr>
              <w:t>发热性疾病在儿童时期非常常见，但部分疾病</w:t>
            </w:r>
            <w:r w:rsidR="0011098D" w:rsidRPr="0011098D">
              <w:rPr>
                <w:rFonts w:eastAsiaTheme="minorEastAsia" w:hint="eastAsia"/>
                <w:color w:val="000000"/>
                <w:kern w:val="0"/>
                <w:sz w:val="24"/>
                <w:szCs w:val="24"/>
              </w:rPr>
              <w:t>常发展为重症</w:t>
            </w:r>
            <w:r>
              <w:rPr>
                <w:rFonts w:eastAsiaTheme="minorEastAsia" w:hint="eastAsia"/>
                <w:color w:val="000000"/>
                <w:kern w:val="0"/>
                <w:sz w:val="24"/>
                <w:szCs w:val="24"/>
              </w:rPr>
              <w:t>并</w:t>
            </w:r>
            <w:r w:rsidR="0011098D" w:rsidRPr="0011098D">
              <w:rPr>
                <w:rFonts w:eastAsiaTheme="minorEastAsia" w:hint="eastAsia"/>
                <w:color w:val="000000"/>
                <w:kern w:val="0"/>
                <w:sz w:val="24"/>
                <w:szCs w:val="24"/>
              </w:rPr>
              <w:t>可能出现高死亡率，早期精准诊断和及时治疗</w:t>
            </w:r>
            <w:r>
              <w:rPr>
                <w:rFonts w:eastAsiaTheme="minorEastAsia" w:hint="eastAsia"/>
                <w:color w:val="000000"/>
                <w:kern w:val="0"/>
                <w:sz w:val="24"/>
                <w:szCs w:val="24"/>
              </w:rPr>
              <w:t>是关键</w:t>
            </w:r>
            <w:r w:rsidR="0011098D" w:rsidRPr="0011098D">
              <w:rPr>
                <w:rFonts w:eastAsiaTheme="minorEastAsia" w:hint="eastAsia"/>
                <w:color w:val="000000"/>
                <w:kern w:val="0"/>
                <w:sz w:val="24"/>
                <w:szCs w:val="24"/>
              </w:rPr>
              <w:t>。项目</w:t>
            </w:r>
            <w:r>
              <w:rPr>
                <w:rFonts w:eastAsiaTheme="minorEastAsia" w:hint="eastAsia"/>
                <w:color w:val="000000"/>
                <w:kern w:val="0"/>
                <w:sz w:val="24"/>
                <w:szCs w:val="24"/>
              </w:rPr>
              <w:t>团队</w:t>
            </w:r>
            <w:r w:rsidR="0011098D" w:rsidRPr="0011098D">
              <w:rPr>
                <w:rFonts w:eastAsiaTheme="minorEastAsia" w:hint="eastAsia"/>
                <w:color w:val="000000"/>
                <w:kern w:val="0"/>
                <w:sz w:val="24"/>
                <w:szCs w:val="24"/>
              </w:rPr>
              <w:t>从</w:t>
            </w:r>
            <w:r w:rsidR="0011098D" w:rsidRPr="0011098D">
              <w:rPr>
                <w:rFonts w:eastAsiaTheme="minorEastAsia" w:hint="eastAsia"/>
                <w:color w:val="000000"/>
                <w:kern w:val="0"/>
                <w:sz w:val="24"/>
                <w:szCs w:val="24"/>
              </w:rPr>
              <w:t>2005</w:t>
            </w:r>
            <w:r w:rsidR="0011098D" w:rsidRPr="0011098D">
              <w:rPr>
                <w:rFonts w:eastAsiaTheme="minorEastAsia" w:hint="eastAsia"/>
                <w:color w:val="000000"/>
                <w:kern w:val="0"/>
                <w:sz w:val="24"/>
                <w:szCs w:val="24"/>
              </w:rPr>
              <w:t>年开始建立了基于流式细胞微球阵列技术快速检测血清细胞因子的技术平台，对发热儿童的血清细胞因子进行检测分析，总结规律指导疾病诊治。单中心完成了</w:t>
            </w:r>
            <w:r w:rsidR="0011098D" w:rsidRPr="0011098D">
              <w:rPr>
                <w:rFonts w:eastAsiaTheme="minorEastAsia" w:hint="eastAsia"/>
                <w:color w:val="000000"/>
                <w:kern w:val="0"/>
                <w:sz w:val="24"/>
                <w:szCs w:val="24"/>
              </w:rPr>
              <w:t>30</w:t>
            </w:r>
            <w:r w:rsidR="0011098D" w:rsidRPr="0011098D">
              <w:rPr>
                <w:rFonts w:eastAsiaTheme="minorEastAsia" w:hint="eastAsia"/>
                <w:color w:val="000000"/>
                <w:kern w:val="0"/>
                <w:sz w:val="24"/>
                <w:szCs w:val="24"/>
              </w:rPr>
              <w:t>余万例次的检测，经大数据分析总结，在感染、噬血细胞综合征（</w:t>
            </w:r>
            <w:r w:rsidR="0011098D" w:rsidRPr="0011098D">
              <w:rPr>
                <w:rFonts w:eastAsiaTheme="minorEastAsia" w:hint="eastAsia"/>
                <w:color w:val="000000"/>
                <w:kern w:val="0"/>
                <w:sz w:val="24"/>
                <w:szCs w:val="24"/>
              </w:rPr>
              <w:t>HLH</w:t>
            </w:r>
            <w:r w:rsidR="0011098D" w:rsidRPr="0011098D">
              <w:rPr>
                <w:rFonts w:eastAsiaTheme="minorEastAsia" w:hint="eastAsia"/>
                <w:color w:val="000000"/>
                <w:kern w:val="0"/>
                <w:sz w:val="24"/>
                <w:szCs w:val="24"/>
              </w:rPr>
              <w:t>）及免疫治疗相关细胞因子释放综合征（</w:t>
            </w:r>
            <w:r w:rsidR="0011098D" w:rsidRPr="0011098D">
              <w:rPr>
                <w:rFonts w:eastAsiaTheme="minorEastAsia" w:hint="eastAsia"/>
                <w:color w:val="000000"/>
                <w:kern w:val="0"/>
                <w:sz w:val="24"/>
                <w:szCs w:val="24"/>
              </w:rPr>
              <w:t>CRS</w:t>
            </w:r>
            <w:r w:rsidR="0011098D" w:rsidRPr="0011098D">
              <w:rPr>
                <w:rFonts w:eastAsiaTheme="minorEastAsia" w:hint="eastAsia"/>
                <w:color w:val="000000"/>
                <w:kern w:val="0"/>
                <w:sz w:val="24"/>
                <w:szCs w:val="24"/>
              </w:rPr>
              <w:t>）的诊断和治疗方面形成了很多重要的经验和规律，指导临床诊断和鉴别诊断、修改并实施合理的治疗方案等方面提供了新颖而重要的诊断方法：</w:t>
            </w:r>
            <w:r>
              <w:rPr>
                <w:rFonts w:eastAsiaTheme="minorEastAsia" w:hint="eastAsia"/>
                <w:color w:val="000000"/>
                <w:kern w:val="0"/>
                <w:sz w:val="24"/>
                <w:szCs w:val="24"/>
              </w:rPr>
              <w:t>在</w:t>
            </w:r>
            <w:r w:rsidR="0011098D" w:rsidRPr="0011098D">
              <w:rPr>
                <w:rFonts w:eastAsiaTheme="minorEastAsia" w:hint="eastAsia"/>
                <w:color w:val="000000"/>
                <w:kern w:val="0"/>
                <w:sz w:val="24"/>
                <w:szCs w:val="24"/>
              </w:rPr>
              <w:t>重症感染方面，发现了革兰氏阳性菌、革兰氏阴性菌、病毒、真菌感染及部分非感染性疾病的细胞因子谱；建立了基于细胞因子水平的儿童脓毒症评分体系以快速评判感染的严重程度；利用细胞因子谱指导合理使用糖皮质激素抢救血液肿瘤患儿脓毒性休克，使</w:t>
            </w:r>
            <w:r w:rsidR="0011098D" w:rsidRPr="0011098D">
              <w:rPr>
                <w:rFonts w:eastAsiaTheme="minorEastAsia" w:hint="eastAsia"/>
                <w:color w:val="000000"/>
                <w:kern w:val="0"/>
                <w:sz w:val="24"/>
                <w:szCs w:val="24"/>
              </w:rPr>
              <w:t>28</w:t>
            </w:r>
            <w:r w:rsidR="0011098D" w:rsidRPr="0011098D">
              <w:rPr>
                <w:rFonts w:eastAsiaTheme="minorEastAsia" w:hint="eastAsia"/>
                <w:color w:val="000000"/>
                <w:kern w:val="0"/>
                <w:sz w:val="24"/>
                <w:szCs w:val="24"/>
              </w:rPr>
              <w:t>天的死亡率从</w:t>
            </w:r>
            <w:r w:rsidR="0011098D" w:rsidRPr="0011098D">
              <w:rPr>
                <w:rFonts w:eastAsiaTheme="minorEastAsia" w:hint="eastAsia"/>
                <w:color w:val="000000"/>
                <w:kern w:val="0"/>
                <w:sz w:val="24"/>
                <w:szCs w:val="24"/>
              </w:rPr>
              <w:t>25%</w:t>
            </w:r>
            <w:r w:rsidR="0011098D" w:rsidRPr="0011098D">
              <w:rPr>
                <w:rFonts w:eastAsiaTheme="minorEastAsia" w:hint="eastAsia"/>
                <w:color w:val="000000"/>
                <w:kern w:val="0"/>
                <w:sz w:val="24"/>
                <w:szCs w:val="24"/>
              </w:rPr>
              <w:t>降低到仅</w:t>
            </w:r>
            <w:r w:rsidR="0011098D" w:rsidRPr="0011098D">
              <w:rPr>
                <w:rFonts w:eastAsiaTheme="minorEastAsia" w:hint="eastAsia"/>
                <w:color w:val="000000"/>
                <w:kern w:val="0"/>
                <w:sz w:val="24"/>
                <w:szCs w:val="24"/>
              </w:rPr>
              <w:t>8%</w:t>
            </w:r>
            <w:r>
              <w:rPr>
                <w:rFonts w:eastAsiaTheme="minorEastAsia" w:hint="eastAsia"/>
                <w:color w:val="000000"/>
                <w:kern w:val="0"/>
                <w:sz w:val="24"/>
                <w:szCs w:val="24"/>
              </w:rPr>
              <w:t>，</w:t>
            </w:r>
            <w:r w:rsidR="0011098D" w:rsidRPr="0011098D">
              <w:rPr>
                <w:rFonts w:eastAsiaTheme="minorEastAsia" w:hint="eastAsia"/>
                <w:color w:val="000000"/>
                <w:kern w:val="0"/>
                <w:sz w:val="24"/>
                <w:szCs w:val="24"/>
              </w:rPr>
              <w:t>显著提高了抗生素、糖皮质激素的合理应用率和重症感染的抢救成功率。</w:t>
            </w:r>
            <w:r>
              <w:rPr>
                <w:rFonts w:eastAsiaTheme="minorEastAsia" w:hint="eastAsia"/>
                <w:color w:val="000000"/>
                <w:kern w:val="0"/>
                <w:sz w:val="24"/>
                <w:szCs w:val="24"/>
              </w:rPr>
              <w:t>在</w:t>
            </w:r>
            <w:r w:rsidR="0011098D" w:rsidRPr="0011098D">
              <w:rPr>
                <w:rFonts w:eastAsiaTheme="minorEastAsia" w:hint="eastAsia"/>
                <w:color w:val="000000"/>
                <w:kern w:val="0"/>
                <w:sz w:val="24"/>
                <w:szCs w:val="24"/>
              </w:rPr>
              <w:t>HLH</w:t>
            </w:r>
            <w:r w:rsidR="0011098D" w:rsidRPr="0011098D">
              <w:rPr>
                <w:rFonts w:eastAsiaTheme="minorEastAsia" w:hint="eastAsia"/>
                <w:color w:val="000000"/>
                <w:kern w:val="0"/>
                <w:sz w:val="24"/>
                <w:szCs w:val="24"/>
              </w:rPr>
              <w:t>方面，在全球率先提出基于细胞因子谱的</w:t>
            </w:r>
            <w:r w:rsidR="0011098D" w:rsidRPr="0011098D">
              <w:rPr>
                <w:rFonts w:eastAsiaTheme="minorEastAsia" w:hint="eastAsia"/>
                <w:color w:val="000000"/>
                <w:kern w:val="0"/>
                <w:sz w:val="24"/>
                <w:szCs w:val="24"/>
              </w:rPr>
              <w:t>HLH</w:t>
            </w:r>
            <w:r w:rsidR="0011098D" w:rsidRPr="0011098D">
              <w:rPr>
                <w:rFonts w:eastAsiaTheme="minorEastAsia" w:hint="eastAsia"/>
                <w:color w:val="000000"/>
                <w:kern w:val="0"/>
                <w:sz w:val="24"/>
                <w:szCs w:val="24"/>
              </w:rPr>
              <w:t>诊治体系</w:t>
            </w:r>
            <w:r>
              <w:rPr>
                <w:rFonts w:eastAsiaTheme="minorEastAsia" w:hint="eastAsia"/>
                <w:color w:val="000000"/>
                <w:kern w:val="0"/>
                <w:sz w:val="24"/>
                <w:szCs w:val="24"/>
              </w:rPr>
              <w:t>，</w:t>
            </w:r>
            <w:r w:rsidR="0011098D" w:rsidRPr="0011098D">
              <w:rPr>
                <w:rFonts w:eastAsiaTheme="minorEastAsia" w:hint="eastAsia"/>
                <w:color w:val="000000"/>
                <w:kern w:val="0"/>
                <w:sz w:val="24"/>
                <w:szCs w:val="24"/>
              </w:rPr>
              <w:t>包括提出了</w:t>
            </w:r>
            <w:r w:rsidR="0011098D" w:rsidRPr="0011098D">
              <w:rPr>
                <w:rFonts w:eastAsiaTheme="minorEastAsia" w:hint="eastAsia"/>
                <w:color w:val="000000"/>
                <w:kern w:val="0"/>
                <w:sz w:val="24"/>
                <w:szCs w:val="24"/>
              </w:rPr>
              <w:t>HLH</w:t>
            </w:r>
            <w:r w:rsidR="0011098D" w:rsidRPr="0011098D">
              <w:rPr>
                <w:rFonts w:eastAsiaTheme="minorEastAsia" w:hint="eastAsia"/>
                <w:color w:val="000000"/>
                <w:kern w:val="0"/>
                <w:sz w:val="24"/>
                <w:szCs w:val="24"/>
              </w:rPr>
              <w:t>的细胞因子谱标准、不同</w:t>
            </w:r>
            <w:r w:rsidR="0011098D" w:rsidRPr="0011098D">
              <w:rPr>
                <w:rFonts w:eastAsiaTheme="minorEastAsia" w:hint="eastAsia"/>
                <w:color w:val="000000"/>
                <w:kern w:val="0"/>
                <w:sz w:val="24"/>
                <w:szCs w:val="24"/>
              </w:rPr>
              <w:t>HLH</w:t>
            </w:r>
            <w:r w:rsidR="0011098D" w:rsidRPr="0011098D">
              <w:rPr>
                <w:rFonts w:eastAsiaTheme="minorEastAsia" w:hint="eastAsia"/>
                <w:color w:val="000000"/>
                <w:kern w:val="0"/>
                <w:sz w:val="24"/>
                <w:szCs w:val="24"/>
              </w:rPr>
              <w:t>亚型的不同的细胞因子谱特点和利用细胞因子谱对</w:t>
            </w:r>
            <w:r w:rsidR="0011098D" w:rsidRPr="0011098D">
              <w:rPr>
                <w:rFonts w:eastAsiaTheme="minorEastAsia" w:hint="eastAsia"/>
                <w:color w:val="000000"/>
                <w:kern w:val="0"/>
                <w:sz w:val="24"/>
                <w:szCs w:val="24"/>
              </w:rPr>
              <w:t>HLH</w:t>
            </w:r>
            <w:r w:rsidR="0011098D" w:rsidRPr="0011098D">
              <w:rPr>
                <w:rFonts w:eastAsiaTheme="minorEastAsia" w:hint="eastAsia"/>
                <w:color w:val="000000"/>
                <w:kern w:val="0"/>
                <w:sz w:val="24"/>
                <w:szCs w:val="24"/>
              </w:rPr>
              <w:t>进行分层精准治疗的方案，使儿童</w:t>
            </w:r>
            <w:r w:rsidR="0011098D" w:rsidRPr="0011098D">
              <w:rPr>
                <w:rFonts w:eastAsiaTheme="minorEastAsia" w:hint="eastAsia"/>
                <w:color w:val="000000"/>
                <w:kern w:val="0"/>
                <w:sz w:val="24"/>
                <w:szCs w:val="24"/>
              </w:rPr>
              <w:t>HLH</w:t>
            </w:r>
            <w:r w:rsidR="0011098D" w:rsidRPr="0011098D">
              <w:rPr>
                <w:rFonts w:eastAsiaTheme="minorEastAsia" w:hint="eastAsia"/>
                <w:color w:val="000000"/>
                <w:kern w:val="0"/>
                <w:sz w:val="24"/>
                <w:szCs w:val="24"/>
              </w:rPr>
              <w:t>的治愈率从原来的</w:t>
            </w:r>
            <w:r w:rsidR="0011098D" w:rsidRPr="0011098D">
              <w:rPr>
                <w:rFonts w:eastAsiaTheme="minorEastAsia" w:hint="eastAsia"/>
                <w:color w:val="000000"/>
                <w:kern w:val="0"/>
                <w:sz w:val="24"/>
                <w:szCs w:val="24"/>
              </w:rPr>
              <w:t>60%</w:t>
            </w:r>
            <w:r w:rsidR="0011098D" w:rsidRPr="0011098D">
              <w:rPr>
                <w:rFonts w:eastAsiaTheme="minorEastAsia" w:hint="eastAsia"/>
                <w:color w:val="000000"/>
                <w:kern w:val="0"/>
                <w:sz w:val="24"/>
                <w:szCs w:val="24"/>
              </w:rPr>
              <w:t>左右提高到</w:t>
            </w:r>
            <w:r w:rsidR="0011098D" w:rsidRPr="0011098D">
              <w:rPr>
                <w:rFonts w:eastAsiaTheme="minorEastAsia" w:hint="eastAsia"/>
                <w:color w:val="000000"/>
                <w:kern w:val="0"/>
                <w:sz w:val="24"/>
                <w:szCs w:val="24"/>
              </w:rPr>
              <w:t>80%</w:t>
            </w:r>
            <w:r w:rsidR="0011098D" w:rsidRPr="0011098D">
              <w:rPr>
                <w:rFonts w:eastAsiaTheme="minorEastAsia" w:hint="eastAsia"/>
                <w:color w:val="000000"/>
                <w:kern w:val="0"/>
                <w:sz w:val="24"/>
                <w:szCs w:val="24"/>
              </w:rPr>
              <w:t>以上。</w:t>
            </w:r>
            <w:r>
              <w:rPr>
                <w:rFonts w:eastAsiaTheme="minorEastAsia" w:hint="eastAsia"/>
                <w:color w:val="000000"/>
                <w:kern w:val="0"/>
                <w:sz w:val="24"/>
                <w:szCs w:val="24"/>
              </w:rPr>
              <w:t>在</w:t>
            </w:r>
            <w:r w:rsidR="0011098D" w:rsidRPr="0011098D">
              <w:rPr>
                <w:rFonts w:eastAsiaTheme="minorEastAsia" w:hint="eastAsia"/>
                <w:color w:val="000000"/>
                <w:kern w:val="0"/>
                <w:sz w:val="24"/>
                <w:szCs w:val="24"/>
              </w:rPr>
              <w:t>免疫治疗相关</w:t>
            </w:r>
            <w:r w:rsidR="0011098D" w:rsidRPr="0011098D">
              <w:rPr>
                <w:rFonts w:eastAsiaTheme="minorEastAsia" w:hint="eastAsia"/>
                <w:color w:val="000000"/>
                <w:kern w:val="0"/>
                <w:sz w:val="24"/>
                <w:szCs w:val="24"/>
              </w:rPr>
              <w:t>CRS</w:t>
            </w:r>
            <w:r w:rsidR="0011098D" w:rsidRPr="0011098D">
              <w:rPr>
                <w:rFonts w:eastAsiaTheme="minorEastAsia" w:hint="eastAsia"/>
                <w:color w:val="000000"/>
                <w:kern w:val="0"/>
                <w:sz w:val="24"/>
                <w:szCs w:val="24"/>
              </w:rPr>
              <w:t>方面</w:t>
            </w:r>
            <w:r>
              <w:rPr>
                <w:rFonts w:eastAsiaTheme="minorEastAsia" w:hint="eastAsia"/>
                <w:color w:val="000000"/>
                <w:kern w:val="0"/>
                <w:sz w:val="24"/>
                <w:szCs w:val="24"/>
              </w:rPr>
              <w:t>，</w:t>
            </w:r>
            <w:r w:rsidR="0011098D" w:rsidRPr="0011098D">
              <w:rPr>
                <w:rFonts w:eastAsiaTheme="minorEastAsia" w:hint="eastAsia"/>
                <w:color w:val="000000"/>
                <w:kern w:val="0"/>
                <w:sz w:val="24"/>
                <w:szCs w:val="24"/>
              </w:rPr>
              <w:t>提出利用细胞因子对细胞免疫治疗过程全程动态监测，可早期识别</w:t>
            </w:r>
            <w:r w:rsidR="0011098D" w:rsidRPr="0011098D">
              <w:rPr>
                <w:rFonts w:eastAsiaTheme="minorEastAsia" w:hint="eastAsia"/>
                <w:color w:val="000000"/>
                <w:kern w:val="0"/>
                <w:sz w:val="24"/>
                <w:szCs w:val="24"/>
              </w:rPr>
              <w:t>CRS</w:t>
            </w:r>
            <w:r w:rsidR="0011098D" w:rsidRPr="0011098D">
              <w:rPr>
                <w:rFonts w:eastAsiaTheme="minorEastAsia" w:hint="eastAsia"/>
                <w:color w:val="000000"/>
                <w:kern w:val="0"/>
                <w:sz w:val="24"/>
                <w:szCs w:val="24"/>
              </w:rPr>
              <w:t>、评估其严重程度，指导临床治疗和评估预后，保障细胞免疫治疗的安全使用，使</w:t>
            </w:r>
            <w:r w:rsidR="0011098D" w:rsidRPr="0011098D">
              <w:rPr>
                <w:rFonts w:eastAsiaTheme="minorEastAsia" w:hint="eastAsia"/>
                <w:color w:val="000000"/>
                <w:kern w:val="0"/>
                <w:sz w:val="24"/>
                <w:szCs w:val="24"/>
              </w:rPr>
              <w:t>CAR-T</w:t>
            </w:r>
            <w:r w:rsidR="0011098D" w:rsidRPr="0011098D">
              <w:rPr>
                <w:rFonts w:eastAsiaTheme="minorEastAsia" w:hint="eastAsia"/>
                <w:color w:val="000000"/>
                <w:kern w:val="0"/>
                <w:sz w:val="24"/>
                <w:szCs w:val="24"/>
              </w:rPr>
              <w:t>细胞免疫治疗抢救成功率达到</w:t>
            </w:r>
            <w:r w:rsidR="0011098D" w:rsidRPr="0011098D">
              <w:rPr>
                <w:rFonts w:eastAsiaTheme="minorEastAsia" w:hint="eastAsia"/>
                <w:color w:val="000000"/>
                <w:kern w:val="0"/>
                <w:sz w:val="24"/>
                <w:szCs w:val="24"/>
              </w:rPr>
              <w:t>70%-98%</w:t>
            </w:r>
            <w:r w:rsidR="0011098D" w:rsidRPr="0011098D">
              <w:rPr>
                <w:rFonts w:eastAsiaTheme="minorEastAsia" w:hint="eastAsia"/>
                <w:color w:val="000000"/>
                <w:kern w:val="0"/>
                <w:sz w:val="24"/>
                <w:szCs w:val="24"/>
              </w:rPr>
              <w:t>。</w:t>
            </w:r>
          </w:p>
          <w:p w14:paraId="5D527C43" w14:textId="0D5D039D" w:rsidR="0011098D" w:rsidRPr="0011098D" w:rsidRDefault="0011098D" w:rsidP="0011098D">
            <w:pPr>
              <w:adjustRightInd w:val="0"/>
              <w:spacing w:line="400" w:lineRule="exact"/>
              <w:ind w:firstLineChars="200" w:firstLine="480"/>
              <w:contextualSpacing/>
              <w:rPr>
                <w:rFonts w:eastAsiaTheme="minorEastAsia"/>
                <w:color w:val="000000"/>
                <w:kern w:val="0"/>
                <w:sz w:val="24"/>
                <w:szCs w:val="24"/>
              </w:rPr>
            </w:pPr>
            <w:r w:rsidRPr="0011098D">
              <w:rPr>
                <w:rFonts w:eastAsiaTheme="minorEastAsia" w:hint="eastAsia"/>
                <w:color w:val="000000"/>
                <w:kern w:val="0"/>
                <w:sz w:val="24"/>
                <w:szCs w:val="24"/>
              </w:rPr>
              <w:t>上述成果陆续在国内</w:t>
            </w:r>
            <w:r w:rsidRPr="0011098D">
              <w:rPr>
                <w:rFonts w:eastAsiaTheme="minorEastAsia" w:hint="eastAsia"/>
                <w:color w:val="000000"/>
                <w:kern w:val="0"/>
                <w:sz w:val="24"/>
                <w:szCs w:val="24"/>
              </w:rPr>
              <w:t>26</w:t>
            </w:r>
            <w:r w:rsidRPr="0011098D">
              <w:rPr>
                <w:rFonts w:eastAsiaTheme="minorEastAsia" w:hint="eastAsia"/>
                <w:color w:val="000000"/>
                <w:kern w:val="0"/>
                <w:sz w:val="24"/>
                <w:szCs w:val="24"/>
              </w:rPr>
              <w:t>个省市</w:t>
            </w:r>
            <w:r w:rsidRPr="0011098D">
              <w:rPr>
                <w:rFonts w:eastAsiaTheme="minorEastAsia" w:hint="eastAsia"/>
                <w:color w:val="000000"/>
                <w:kern w:val="0"/>
                <w:sz w:val="24"/>
                <w:szCs w:val="24"/>
              </w:rPr>
              <w:t>40</w:t>
            </w:r>
            <w:r w:rsidRPr="0011098D">
              <w:rPr>
                <w:rFonts w:eastAsiaTheme="minorEastAsia" w:hint="eastAsia"/>
                <w:color w:val="000000"/>
                <w:kern w:val="0"/>
                <w:sz w:val="24"/>
                <w:szCs w:val="24"/>
              </w:rPr>
              <w:t>家儿童医疗中心</w:t>
            </w:r>
            <w:r w:rsidRPr="0011098D">
              <w:rPr>
                <w:rFonts w:eastAsiaTheme="minorEastAsia" w:hint="eastAsia"/>
                <w:color w:val="000000"/>
                <w:kern w:val="0"/>
                <w:sz w:val="24"/>
                <w:szCs w:val="24"/>
              </w:rPr>
              <w:t>2</w:t>
            </w:r>
            <w:r w:rsidRPr="0011098D">
              <w:rPr>
                <w:rFonts w:eastAsiaTheme="minorEastAsia" w:hint="eastAsia"/>
                <w:color w:val="000000"/>
                <w:kern w:val="0"/>
                <w:sz w:val="24"/>
                <w:szCs w:val="24"/>
              </w:rPr>
              <w:t>万余例的临床应用，取得了与本团队类似的诊治结果，对于提高儿童重症发热性疾病的救治成功率发挥了重要作用，对推进相关领域的医学进步和临床应用发挥了重要的作用，具有重要的社会效益和经济效益，成果达到国际领先水平。期间共发表相关论文</w:t>
            </w:r>
            <w:r w:rsidRPr="0011098D">
              <w:rPr>
                <w:rFonts w:eastAsiaTheme="minorEastAsia" w:hint="eastAsia"/>
                <w:color w:val="000000"/>
                <w:kern w:val="0"/>
                <w:sz w:val="24"/>
                <w:szCs w:val="24"/>
              </w:rPr>
              <w:t>2</w:t>
            </w:r>
            <w:r w:rsidRPr="0011098D">
              <w:rPr>
                <w:rFonts w:eastAsiaTheme="minorEastAsia"/>
                <w:color w:val="000000"/>
                <w:kern w:val="0"/>
                <w:sz w:val="24"/>
                <w:szCs w:val="24"/>
              </w:rPr>
              <w:t>1</w:t>
            </w:r>
            <w:r w:rsidRPr="0011098D">
              <w:rPr>
                <w:rFonts w:eastAsiaTheme="minorEastAsia" w:hint="eastAsia"/>
                <w:color w:val="000000"/>
                <w:kern w:val="0"/>
                <w:sz w:val="24"/>
                <w:szCs w:val="24"/>
              </w:rPr>
              <w:t>篇。牵头一项全国多中心前瞻性临床研究“基于细胞因子的儿童噬血细胞综合征分层治疗研究”（</w:t>
            </w:r>
            <w:r w:rsidRPr="0011098D">
              <w:rPr>
                <w:rFonts w:eastAsiaTheme="minorEastAsia" w:hint="eastAsia"/>
                <w:color w:val="000000"/>
                <w:kern w:val="0"/>
                <w:sz w:val="24"/>
                <w:szCs w:val="24"/>
              </w:rPr>
              <w:t>NCT05491304</w:t>
            </w:r>
            <w:r w:rsidRPr="0011098D">
              <w:rPr>
                <w:rFonts w:eastAsiaTheme="minorEastAsia" w:hint="eastAsia"/>
                <w:color w:val="000000"/>
                <w:kern w:val="0"/>
                <w:sz w:val="24"/>
                <w:szCs w:val="24"/>
              </w:rPr>
              <w:t>），有</w:t>
            </w:r>
            <w:r w:rsidRPr="0011098D">
              <w:rPr>
                <w:rFonts w:eastAsiaTheme="minorEastAsia" w:hint="eastAsia"/>
                <w:color w:val="000000"/>
                <w:kern w:val="0"/>
                <w:sz w:val="24"/>
                <w:szCs w:val="24"/>
              </w:rPr>
              <w:t>14</w:t>
            </w:r>
            <w:r w:rsidRPr="0011098D">
              <w:rPr>
                <w:rFonts w:eastAsiaTheme="minorEastAsia" w:hint="eastAsia"/>
                <w:color w:val="000000"/>
                <w:kern w:val="0"/>
                <w:sz w:val="24"/>
                <w:szCs w:val="24"/>
              </w:rPr>
              <w:t>个省份的</w:t>
            </w:r>
            <w:r w:rsidRPr="0011098D">
              <w:rPr>
                <w:rFonts w:eastAsiaTheme="minorEastAsia" w:hint="eastAsia"/>
                <w:color w:val="000000"/>
                <w:kern w:val="0"/>
                <w:sz w:val="24"/>
                <w:szCs w:val="24"/>
              </w:rPr>
              <w:t>27</w:t>
            </w:r>
            <w:r w:rsidRPr="0011098D">
              <w:rPr>
                <w:rFonts w:eastAsiaTheme="minorEastAsia" w:hint="eastAsia"/>
                <w:color w:val="000000"/>
                <w:kern w:val="0"/>
                <w:sz w:val="24"/>
                <w:szCs w:val="24"/>
              </w:rPr>
              <w:t>家中心参与。</w:t>
            </w:r>
            <w:r w:rsidR="00AB4D31">
              <w:rPr>
                <w:rFonts w:eastAsiaTheme="minorEastAsia" w:hint="eastAsia"/>
                <w:color w:val="000000"/>
                <w:kern w:val="0"/>
                <w:sz w:val="24"/>
                <w:szCs w:val="24"/>
              </w:rPr>
              <w:t>项目</w:t>
            </w:r>
            <w:r w:rsidRPr="0011098D">
              <w:rPr>
                <w:rFonts w:eastAsiaTheme="minorEastAsia" w:hint="eastAsia"/>
                <w:color w:val="000000"/>
                <w:kern w:val="0"/>
                <w:sz w:val="24"/>
                <w:szCs w:val="24"/>
              </w:rPr>
              <w:t>成果受国家自然科学基金</w:t>
            </w:r>
            <w:r w:rsidRPr="0011098D">
              <w:rPr>
                <w:rFonts w:eastAsiaTheme="minorEastAsia" w:hint="eastAsia"/>
                <w:color w:val="000000"/>
                <w:kern w:val="0"/>
                <w:sz w:val="24"/>
                <w:szCs w:val="24"/>
              </w:rPr>
              <w:t>3</w:t>
            </w:r>
            <w:r w:rsidRPr="0011098D">
              <w:rPr>
                <w:rFonts w:eastAsiaTheme="minorEastAsia" w:hint="eastAsia"/>
                <w:color w:val="000000"/>
                <w:kern w:val="0"/>
                <w:sz w:val="24"/>
                <w:szCs w:val="24"/>
              </w:rPr>
              <w:t>项，浙江省自然科学基金</w:t>
            </w:r>
            <w:r w:rsidRPr="0011098D">
              <w:rPr>
                <w:rFonts w:eastAsiaTheme="minorEastAsia" w:hint="eastAsia"/>
                <w:color w:val="000000"/>
                <w:kern w:val="0"/>
                <w:sz w:val="24"/>
                <w:szCs w:val="24"/>
              </w:rPr>
              <w:t>2</w:t>
            </w:r>
            <w:r w:rsidRPr="0011098D">
              <w:rPr>
                <w:rFonts w:eastAsiaTheme="minorEastAsia" w:hint="eastAsia"/>
                <w:color w:val="000000"/>
                <w:kern w:val="0"/>
                <w:sz w:val="24"/>
                <w:szCs w:val="24"/>
              </w:rPr>
              <w:t>项资助</w:t>
            </w:r>
            <w:bookmarkStart w:id="0" w:name="_GoBack"/>
            <w:bookmarkEnd w:id="0"/>
            <w:r w:rsidRPr="0011098D">
              <w:rPr>
                <w:rFonts w:eastAsiaTheme="minorEastAsia" w:hint="eastAsia"/>
                <w:color w:val="000000"/>
                <w:kern w:val="0"/>
                <w:sz w:val="24"/>
                <w:szCs w:val="24"/>
              </w:rPr>
              <w:t>。培养博士研究生</w:t>
            </w:r>
            <w:r w:rsidRPr="0011098D">
              <w:rPr>
                <w:rFonts w:eastAsiaTheme="minorEastAsia" w:hint="eastAsia"/>
                <w:color w:val="000000"/>
                <w:kern w:val="0"/>
                <w:sz w:val="24"/>
                <w:szCs w:val="24"/>
              </w:rPr>
              <w:t>20</w:t>
            </w:r>
            <w:r w:rsidRPr="0011098D">
              <w:rPr>
                <w:rFonts w:eastAsiaTheme="minorEastAsia" w:hint="eastAsia"/>
                <w:color w:val="000000"/>
                <w:kern w:val="0"/>
                <w:sz w:val="24"/>
                <w:szCs w:val="24"/>
              </w:rPr>
              <w:t>名，硕士研究生</w:t>
            </w:r>
            <w:r w:rsidRPr="0011098D">
              <w:rPr>
                <w:rFonts w:eastAsiaTheme="minorEastAsia" w:hint="eastAsia"/>
                <w:color w:val="000000"/>
                <w:kern w:val="0"/>
                <w:sz w:val="24"/>
                <w:szCs w:val="24"/>
              </w:rPr>
              <w:t>30</w:t>
            </w:r>
            <w:r w:rsidRPr="0011098D">
              <w:rPr>
                <w:rFonts w:eastAsiaTheme="minorEastAsia" w:hint="eastAsia"/>
                <w:color w:val="000000"/>
                <w:kern w:val="0"/>
                <w:sz w:val="24"/>
                <w:szCs w:val="24"/>
              </w:rPr>
              <w:t>名，为学科建设和人才培养发挥了重要的作用。</w:t>
            </w:r>
          </w:p>
          <w:p w14:paraId="49B9E0EB" w14:textId="2962F931" w:rsidR="00854DF9" w:rsidRPr="006A18AF" w:rsidRDefault="0011098D" w:rsidP="00AB4D31">
            <w:pPr>
              <w:adjustRightInd w:val="0"/>
              <w:spacing w:line="400" w:lineRule="exact"/>
              <w:ind w:firstLineChars="200" w:firstLine="480"/>
              <w:contextualSpacing/>
              <w:rPr>
                <w:rStyle w:val="title1"/>
                <w:rFonts w:eastAsiaTheme="minorEastAsia"/>
                <w:b w:val="0"/>
                <w:bCs w:val="0"/>
                <w:color w:val="000000"/>
                <w:kern w:val="0"/>
              </w:rPr>
            </w:pPr>
            <w:r w:rsidRPr="0011098D">
              <w:rPr>
                <w:rFonts w:eastAsiaTheme="minorEastAsia"/>
                <w:color w:val="000000"/>
                <w:kern w:val="0"/>
                <w:sz w:val="24"/>
                <w:szCs w:val="24"/>
              </w:rPr>
              <w:t>提名该成果为</w:t>
            </w:r>
            <w:r w:rsidR="00570FAA">
              <w:rPr>
                <w:rFonts w:eastAsiaTheme="minorEastAsia" w:hint="eastAsia"/>
                <w:color w:val="000000"/>
                <w:kern w:val="0"/>
                <w:sz w:val="24"/>
                <w:szCs w:val="24"/>
              </w:rPr>
              <w:t>浙江</w:t>
            </w:r>
            <w:r w:rsidRPr="0011098D">
              <w:rPr>
                <w:rFonts w:eastAsiaTheme="minorEastAsia"/>
                <w:color w:val="000000"/>
                <w:kern w:val="0"/>
                <w:sz w:val="24"/>
                <w:szCs w:val="24"/>
              </w:rPr>
              <w:t>省科学技术进步奖</w:t>
            </w:r>
            <w:r w:rsidR="006A18AF">
              <w:rPr>
                <w:rFonts w:eastAsiaTheme="minorEastAsia" w:hint="eastAsia"/>
                <w:color w:val="000000"/>
                <w:kern w:val="0"/>
                <w:sz w:val="24"/>
                <w:szCs w:val="24"/>
              </w:rPr>
              <w:t>一</w:t>
            </w:r>
            <w:r w:rsidRPr="0011098D">
              <w:rPr>
                <w:rFonts w:eastAsiaTheme="minorEastAsia"/>
                <w:color w:val="000000"/>
                <w:kern w:val="0"/>
                <w:sz w:val="24"/>
                <w:szCs w:val="24"/>
              </w:rPr>
              <w:t>等奖。</w:t>
            </w:r>
          </w:p>
        </w:tc>
      </w:tr>
    </w:tbl>
    <w:p w14:paraId="22655834" w14:textId="495810AD" w:rsidR="00474F26" w:rsidRPr="00D25796" w:rsidRDefault="00474F26" w:rsidP="001522B3">
      <w:pPr>
        <w:adjustRightInd w:val="0"/>
        <w:snapToGrid w:val="0"/>
        <w:spacing w:line="500" w:lineRule="exact"/>
        <w:jc w:val="left"/>
        <w:rPr>
          <w:b/>
          <w:bCs/>
          <w:color w:val="000000"/>
          <w:kern w:val="0"/>
          <w:sz w:val="28"/>
          <w:szCs w:val="28"/>
        </w:rPr>
      </w:pPr>
    </w:p>
    <w:sectPr w:rsidR="00474F26" w:rsidRPr="00D25796">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340BB3" w14:textId="77777777" w:rsidR="003C19ED" w:rsidRDefault="003C19ED">
      <w:r>
        <w:separator/>
      </w:r>
    </w:p>
  </w:endnote>
  <w:endnote w:type="continuationSeparator" w:id="0">
    <w:p w14:paraId="57EDB9EB" w14:textId="77777777" w:rsidR="003C19ED" w:rsidRDefault="003C1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81AC0B60-77AB-457E-AB67-D12BFD16962D}"/>
    <w:embedBold r:id="rId2" w:fontKey="{6CEC0D8C-6DDB-419B-8B6B-512E2AEF47D0}"/>
  </w:font>
  <w:font w:name="Calibri">
    <w:panose1 w:val="020F0502020204030204"/>
    <w:charset w:val="00"/>
    <w:family w:val="swiss"/>
    <w:pitch w:val="variable"/>
    <w:sig w:usb0="E4002EFF" w:usb1="C200247B" w:usb2="00000009" w:usb3="00000000" w:csb0="000001FF" w:csb1="00000000"/>
    <w:embedRegular r:id="rId3" w:fontKey="{5DA2B6A8-C125-4AD5-B345-4A3A04F61E52}"/>
  </w:font>
  <w:font w:name="仿宋_GB2312">
    <w:altName w:val="仿宋"/>
    <w:panose1 w:val="02010609030101010101"/>
    <w:charset w:val="86"/>
    <w:family w:val="modern"/>
    <w:pitch w:val="fixed"/>
    <w:sig w:usb0="00000001" w:usb1="080E0000" w:usb2="00000010" w:usb3="00000000" w:csb0="00040000" w:csb1="00000000"/>
    <w:embedRegular r:id="rId4" w:subsetted="1" w:fontKey="{C3600365-25FD-4493-8FA0-0BE4AADB356E}"/>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0" w:usb3="00000000" w:csb0="00040000" w:csb1="00000000"/>
  </w:font>
  <w:font w:name="方正小标宋简体">
    <w:altName w:val="方正舒体"/>
    <w:panose1 w:val="02010601030101010101"/>
    <w:charset w:val="86"/>
    <w:family w:val="auto"/>
    <w:pitch w:val="variable"/>
    <w:sig w:usb0="00000001" w:usb1="080E0000" w:usb2="00000010" w:usb3="00000000" w:csb0="00040000" w:csb1="00000000"/>
    <w:embedRegular r:id="rId5" w:subsetted="1" w:fontKey="{E878C2DD-9D60-452C-97E1-0C7B963D02E9}"/>
  </w:font>
  <w:font w:name="仿宋">
    <w:panose1 w:val="02010609060101010101"/>
    <w:charset w:val="86"/>
    <w:family w:val="modern"/>
    <w:pitch w:val="fixed"/>
    <w:sig w:usb0="800002BF" w:usb1="38CF7CFA" w:usb2="00000016" w:usb3="00000000" w:csb0="00040001" w:csb1="00000000"/>
    <w:embedRegular r:id="rId6" w:subsetted="1" w:fontKey="{D29DD776-35C1-4902-B95E-F15931CFF0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286816"/>
    </w:sdtPr>
    <w:sdtEndPr>
      <w:rPr>
        <w:sz w:val="21"/>
        <w:szCs w:val="21"/>
      </w:rPr>
    </w:sdtEndPr>
    <w:sdtContent>
      <w:p w14:paraId="7BDBBB8A" w14:textId="77777777" w:rsidR="00854DF9" w:rsidRDefault="00EF0BDF">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3C19ED" w:rsidRPr="003C19ED">
          <w:rPr>
            <w:noProof/>
            <w:sz w:val="21"/>
            <w:szCs w:val="21"/>
            <w:lang w:val="zh-CN"/>
          </w:rPr>
          <w:t>1</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6E8A75" w14:textId="77777777" w:rsidR="003C19ED" w:rsidRDefault="003C19ED">
      <w:r>
        <w:separator/>
      </w:r>
    </w:p>
  </w:footnote>
  <w:footnote w:type="continuationSeparator" w:id="0">
    <w:p w14:paraId="69B4BA9C" w14:textId="77777777" w:rsidR="003C19ED" w:rsidRDefault="003C19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F1F2B" w14:textId="77777777" w:rsidR="00854DF9" w:rsidRDefault="00854DF9">
    <w:pPr>
      <w:pStyle w:val="a7"/>
      <w:ind w:left="360" w:hanging="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DCCDC" w14:textId="77777777" w:rsidR="00854DF9" w:rsidRDefault="00854DF9">
    <w:pPr>
      <w:ind w:left="420" w:hanging="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19374" w14:textId="77777777" w:rsidR="00854DF9" w:rsidRDefault="00854DF9">
    <w:pPr>
      <w:pStyle w:val="a7"/>
      <w:ind w:left="360" w:hanging="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E04268"/>
    <w:multiLevelType w:val="singleLevel"/>
    <w:tmpl w:val="81E04268"/>
    <w:lvl w:ilvl="0">
      <w:start w:val="7"/>
      <w:numFmt w:val="chineseCounting"/>
      <w:suff w:val="nothing"/>
      <w:lvlText w:val="%1、"/>
      <w:lvlJc w:val="left"/>
      <w:rPr>
        <w:rFonts w:hint="eastAsia"/>
      </w:rPr>
    </w:lvl>
  </w:abstractNum>
  <w:abstractNum w:abstractNumId="1">
    <w:nsid w:val="E9750B63"/>
    <w:multiLevelType w:val="singleLevel"/>
    <w:tmpl w:val="E9750B63"/>
    <w:lvl w:ilvl="0">
      <w:start w:val="1"/>
      <w:numFmt w:val="chineseCounting"/>
      <w:suff w:val="nothing"/>
      <w:lvlText w:val="%1、"/>
      <w:lvlJc w:val="left"/>
      <w:rPr>
        <w:rFonts w:hint="eastAsia"/>
      </w:rPr>
    </w:lvl>
  </w:abstractNum>
  <w:abstractNum w:abstractNumId="2">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F9C31A3"/>
    <w:multiLevelType w:val="hybridMultilevel"/>
    <w:tmpl w:val="DC36B726"/>
    <w:lvl w:ilvl="0" w:tplc="35B27D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bordersDoNotSurroundFooter/>
  <w:hideSpellingErrors/>
  <w:defaultTabStop w:val="420"/>
  <w:drawingGridHorizontalSpacing w:val="105"/>
  <w:drawingGridVerticalSpacing w:val="156"/>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 w:name="KY_MEDREF_DOCUID" w:val="{1A8525FD-745E-4B68-9CE4-6C15EDC26B1A}"/>
    <w:docVar w:name="KY_MEDREF_VERSION" w:val="3"/>
  </w:docVars>
  <w:rsids>
    <w:rsidRoot w:val="007C28FF"/>
    <w:rsid w:val="9FDFE35B"/>
    <w:rsid w:val="AFFAF8E5"/>
    <w:rsid w:val="B8F7F9A2"/>
    <w:rsid w:val="BFE91347"/>
    <w:rsid w:val="CBDF8A08"/>
    <w:rsid w:val="DB7451F2"/>
    <w:rsid w:val="DC9FCBEB"/>
    <w:rsid w:val="E9D78A37"/>
    <w:rsid w:val="EBCD529C"/>
    <w:rsid w:val="EBDFC38F"/>
    <w:rsid w:val="EBE7CAE1"/>
    <w:rsid w:val="F2EFD742"/>
    <w:rsid w:val="F3DECE3F"/>
    <w:rsid w:val="F77B9D5A"/>
    <w:rsid w:val="F78CA074"/>
    <w:rsid w:val="F7DED60E"/>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1207"/>
    <w:rsid w:val="000165DC"/>
    <w:rsid w:val="0002400D"/>
    <w:rsid w:val="00031E44"/>
    <w:rsid w:val="00033288"/>
    <w:rsid w:val="0004004D"/>
    <w:rsid w:val="00051BE3"/>
    <w:rsid w:val="00053F24"/>
    <w:rsid w:val="0006546D"/>
    <w:rsid w:val="00067E32"/>
    <w:rsid w:val="00083906"/>
    <w:rsid w:val="000847FC"/>
    <w:rsid w:val="000929AE"/>
    <w:rsid w:val="00097650"/>
    <w:rsid w:val="000A0FE4"/>
    <w:rsid w:val="000B70B3"/>
    <w:rsid w:val="000C632A"/>
    <w:rsid w:val="000F1229"/>
    <w:rsid w:val="000F2CC3"/>
    <w:rsid w:val="000F6066"/>
    <w:rsid w:val="000F6517"/>
    <w:rsid w:val="000F6B39"/>
    <w:rsid w:val="000F7732"/>
    <w:rsid w:val="001039E9"/>
    <w:rsid w:val="00104F03"/>
    <w:rsid w:val="0011098D"/>
    <w:rsid w:val="00116D24"/>
    <w:rsid w:val="0012430D"/>
    <w:rsid w:val="001278BD"/>
    <w:rsid w:val="001323DD"/>
    <w:rsid w:val="00137E54"/>
    <w:rsid w:val="001435CC"/>
    <w:rsid w:val="001522B3"/>
    <w:rsid w:val="00153E23"/>
    <w:rsid w:val="00154376"/>
    <w:rsid w:val="001553CE"/>
    <w:rsid w:val="001614FC"/>
    <w:rsid w:val="00165962"/>
    <w:rsid w:val="0017168F"/>
    <w:rsid w:val="00172167"/>
    <w:rsid w:val="001829B2"/>
    <w:rsid w:val="00185449"/>
    <w:rsid w:val="00192701"/>
    <w:rsid w:val="0019371C"/>
    <w:rsid w:val="001A5554"/>
    <w:rsid w:val="001A55E6"/>
    <w:rsid w:val="001B0C22"/>
    <w:rsid w:val="001B454D"/>
    <w:rsid w:val="001C4D6D"/>
    <w:rsid w:val="001D1FF9"/>
    <w:rsid w:val="001D3908"/>
    <w:rsid w:val="001D3F93"/>
    <w:rsid w:val="001E05B3"/>
    <w:rsid w:val="001F032B"/>
    <w:rsid w:val="001F0854"/>
    <w:rsid w:val="001F1C56"/>
    <w:rsid w:val="001F2C76"/>
    <w:rsid w:val="001F7F40"/>
    <w:rsid w:val="00203507"/>
    <w:rsid w:val="00212129"/>
    <w:rsid w:val="00213CE9"/>
    <w:rsid w:val="0021734C"/>
    <w:rsid w:val="002242B0"/>
    <w:rsid w:val="002247F4"/>
    <w:rsid w:val="00230FE9"/>
    <w:rsid w:val="0023223F"/>
    <w:rsid w:val="00244749"/>
    <w:rsid w:val="00247A49"/>
    <w:rsid w:val="00251808"/>
    <w:rsid w:val="002579D1"/>
    <w:rsid w:val="002745F8"/>
    <w:rsid w:val="00283031"/>
    <w:rsid w:val="00292771"/>
    <w:rsid w:val="0029509E"/>
    <w:rsid w:val="00296134"/>
    <w:rsid w:val="002A2925"/>
    <w:rsid w:val="002A7955"/>
    <w:rsid w:val="002B3198"/>
    <w:rsid w:val="002B4E0F"/>
    <w:rsid w:val="002C17A0"/>
    <w:rsid w:val="002C6803"/>
    <w:rsid w:val="002C6E65"/>
    <w:rsid w:val="002D1FA7"/>
    <w:rsid w:val="002D3BA3"/>
    <w:rsid w:val="002E42A8"/>
    <w:rsid w:val="002E43DB"/>
    <w:rsid w:val="002E7789"/>
    <w:rsid w:val="002F1911"/>
    <w:rsid w:val="002F74D2"/>
    <w:rsid w:val="0030543F"/>
    <w:rsid w:val="003063D6"/>
    <w:rsid w:val="00311F89"/>
    <w:rsid w:val="003125EF"/>
    <w:rsid w:val="00313BD3"/>
    <w:rsid w:val="00326352"/>
    <w:rsid w:val="00330554"/>
    <w:rsid w:val="00331B99"/>
    <w:rsid w:val="00336678"/>
    <w:rsid w:val="00340314"/>
    <w:rsid w:val="00343DF4"/>
    <w:rsid w:val="00347614"/>
    <w:rsid w:val="00356B8A"/>
    <w:rsid w:val="00362ADA"/>
    <w:rsid w:val="00363C7E"/>
    <w:rsid w:val="00370977"/>
    <w:rsid w:val="00377C1C"/>
    <w:rsid w:val="00382214"/>
    <w:rsid w:val="00382EDD"/>
    <w:rsid w:val="00386819"/>
    <w:rsid w:val="00386D85"/>
    <w:rsid w:val="003A08CF"/>
    <w:rsid w:val="003A343A"/>
    <w:rsid w:val="003A466E"/>
    <w:rsid w:val="003A5D0E"/>
    <w:rsid w:val="003A60A7"/>
    <w:rsid w:val="003B0906"/>
    <w:rsid w:val="003B2A50"/>
    <w:rsid w:val="003B3345"/>
    <w:rsid w:val="003C1234"/>
    <w:rsid w:val="003C19ED"/>
    <w:rsid w:val="003C4124"/>
    <w:rsid w:val="003E6BFB"/>
    <w:rsid w:val="003F0278"/>
    <w:rsid w:val="003F1E9D"/>
    <w:rsid w:val="003F5952"/>
    <w:rsid w:val="003F76A0"/>
    <w:rsid w:val="00401E30"/>
    <w:rsid w:val="004179C8"/>
    <w:rsid w:val="00427A6E"/>
    <w:rsid w:val="004300EE"/>
    <w:rsid w:val="00436EAC"/>
    <w:rsid w:val="00442705"/>
    <w:rsid w:val="00444A55"/>
    <w:rsid w:val="0044700B"/>
    <w:rsid w:val="0044760A"/>
    <w:rsid w:val="00453528"/>
    <w:rsid w:val="00453C0E"/>
    <w:rsid w:val="004612D7"/>
    <w:rsid w:val="00461A90"/>
    <w:rsid w:val="00474F26"/>
    <w:rsid w:val="004820BD"/>
    <w:rsid w:val="00484A1D"/>
    <w:rsid w:val="00484D69"/>
    <w:rsid w:val="004929AC"/>
    <w:rsid w:val="00492EAC"/>
    <w:rsid w:val="004A6419"/>
    <w:rsid w:val="004B531C"/>
    <w:rsid w:val="004C2337"/>
    <w:rsid w:val="004D3106"/>
    <w:rsid w:val="004D55B5"/>
    <w:rsid w:val="004E11C6"/>
    <w:rsid w:val="004E27FD"/>
    <w:rsid w:val="004E36AB"/>
    <w:rsid w:val="004F503B"/>
    <w:rsid w:val="004F551A"/>
    <w:rsid w:val="005002DF"/>
    <w:rsid w:val="00500EBD"/>
    <w:rsid w:val="00504232"/>
    <w:rsid w:val="00506540"/>
    <w:rsid w:val="00510C66"/>
    <w:rsid w:val="00511F4B"/>
    <w:rsid w:val="0051372C"/>
    <w:rsid w:val="00521ED7"/>
    <w:rsid w:val="00526964"/>
    <w:rsid w:val="00532D5A"/>
    <w:rsid w:val="005354E4"/>
    <w:rsid w:val="00552729"/>
    <w:rsid w:val="005663D6"/>
    <w:rsid w:val="00570701"/>
    <w:rsid w:val="00570FAA"/>
    <w:rsid w:val="0057414B"/>
    <w:rsid w:val="0057576E"/>
    <w:rsid w:val="0058367D"/>
    <w:rsid w:val="00586D66"/>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27E2"/>
    <w:rsid w:val="006177DC"/>
    <w:rsid w:val="00623BD2"/>
    <w:rsid w:val="00626265"/>
    <w:rsid w:val="006269F8"/>
    <w:rsid w:val="00642EBC"/>
    <w:rsid w:val="00643B2E"/>
    <w:rsid w:val="00646AD1"/>
    <w:rsid w:val="00670053"/>
    <w:rsid w:val="00673E71"/>
    <w:rsid w:val="006823DB"/>
    <w:rsid w:val="0069093C"/>
    <w:rsid w:val="00692309"/>
    <w:rsid w:val="0069476E"/>
    <w:rsid w:val="00694DDB"/>
    <w:rsid w:val="006A18AF"/>
    <w:rsid w:val="006A1E31"/>
    <w:rsid w:val="006A2B9B"/>
    <w:rsid w:val="006A390F"/>
    <w:rsid w:val="006A580A"/>
    <w:rsid w:val="006B34CD"/>
    <w:rsid w:val="006C528F"/>
    <w:rsid w:val="006C691E"/>
    <w:rsid w:val="006C6CA7"/>
    <w:rsid w:val="006D59C3"/>
    <w:rsid w:val="006E4386"/>
    <w:rsid w:val="006E5310"/>
    <w:rsid w:val="006F0C81"/>
    <w:rsid w:val="006F1418"/>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3C9C"/>
    <w:rsid w:val="007B7CAA"/>
    <w:rsid w:val="007C28FF"/>
    <w:rsid w:val="007C5AC5"/>
    <w:rsid w:val="007D26E7"/>
    <w:rsid w:val="007D58D1"/>
    <w:rsid w:val="007D68D7"/>
    <w:rsid w:val="007E17CF"/>
    <w:rsid w:val="007F5A15"/>
    <w:rsid w:val="0080157D"/>
    <w:rsid w:val="00813788"/>
    <w:rsid w:val="0082227E"/>
    <w:rsid w:val="00822B10"/>
    <w:rsid w:val="00823F06"/>
    <w:rsid w:val="00827186"/>
    <w:rsid w:val="00832862"/>
    <w:rsid w:val="00832F6E"/>
    <w:rsid w:val="00832F80"/>
    <w:rsid w:val="00833452"/>
    <w:rsid w:val="00834CE8"/>
    <w:rsid w:val="0083551E"/>
    <w:rsid w:val="00845A89"/>
    <w:rsid w:val="00845F36"/>
    <w:rsid w:val="008501F4"/>
    <w:rsid w:val="00851460"/>
    <w:rsid w:val="008527A7"/>
    <w:rsid w:val="00853603"/>
    <w:rsid w:val="00854DF9"/>
    <w:rsid w:val="008550E7"/>
    <w:rsid w:val="00856D92"/>
    <w:rsid w:val="00866267"/>
    <w:rsid w:val="008666C1"/>
    <w:rsid w:val="00866773"/>
    <w:rsid w:val="008706BC"/>
    <w:rsid w:val="00872CCF"/>
    <w:rsid w:val="00873C32"/>
    <w:rsid w:val="00890A44"/>
    <w:rsid w:val="00891DDA"/>
    <w:rsid w:val="00894724"/>
    <w:rsid w:val="008A09D1"/>
    <w:rsid w:val="008A37FE"/>
    <w:rsid w:val="008B2EB9"/>
    <w:rsid w:val="008B5F0B"/>
    <w:rsid w:val="008B78AD"/>
    <w:rsid w:val="008C37F3"/>
    <w:rsid w:val="008C5BE5"/>
    <w:rsid w:val="008C7FED"/>
    <w:rsid w:val="008F5607"/>
    <w:rsid w:val="0090595F"/>
    <w:rsid w:val="0090670A"/>
    <w:rsid w:val="00906781"/>
    <w:rsid w:val="009211BA"/>
    <w:rsid w:val="00922838"/>
    <w:rsid w:val="00924B71"/>
    <w:rsid w:val="009339E2"/>
    <w:rsid w:val="00942CCA"/>
    <w:rsid w:val="00945930"/>
    <w:rsid w:val="00947118"/>
    <w:rsid w:val="009529F5"/>
    <w:rsid w:val="009572C9"/>
    <w:rsid w:val="009607CA"/>
    <w:rsid w:val="0096088C"/>
    <w:rsid w:val="009728CB"/>
    <w:rsid w:val="00975273"/>
    <w:rsid w:val="009764E0"/>
    <w:rsid w:val="0098148B"/>
    <w:rsid w:val="00981B70"/>
    <w:rsid w:val="00983F16"/>
    <w:rsid w:val="00984A71"/>
    <w:rsid w:val="00985B39"/>
    <w:rsid w:val="009866EC"/>
    <w:rsid w:val="0099382A"/>
    <w:rsid w:val="00994C12"/>
    <w:rsid w:val="009A3A67"/>
    <w:rsid w:val="009D1070"/>
    <w:rsid w:val="009D2804"/>
    <w:rsid w:val="009D3350"/>
    <w:rsid w:val="009D66DD"/>
    <w:rsid w:val="009E1315"/>
    <w:rsid w:val="009F0766"/>
    <w:rsid w:val="009F19B6"/>
    <w:rsid w:val="009F4B40"/>
    <w:rsid w:val="00A03853"/>
    <w:rsid w:val="00A11F99"/>
    <w:rsid w:val="00A12210"/>
    <w:rsid w:val="00A156D9"/>
    <w:rsid w:val="00A243BC"/>
    <w:rsid w:val="00A27943"/>
    <w:rsid w:val="00A27E20"/>
    <w:rsid w:val="00A31D43"/>
    <w:rsid w:val="00A36061"/>
    <w:rsid w:val="00A402C6"/>
    <w:rsid w:val="00A5008B"/>
    <w:rsid w:val="00A65CD4"/>
    <w:rsid w:val="00A70F4C"/>
    <w:rsid w:val="00A736E3"/>
    <w:rsid w:val="00A84B5C"/>
    <w:rsid w:val="00A97ADD"/>
    <w:rsid w:val="00AA6478"/>
    <w:rsid w:val="00AA6A67"/>
    <w:rsid w:val="00AB2670"/>
    <w:rsid w:val="00AB2B0F"/>
    <w:rsid w:val="00AB4D31"/>
    <w:rsid w:val="00AC096E"/>
    <w:rsid w:val="00AC5736"/>
    <w:rsid w:val="00AC69B7"/>
    <w:rsid w:val="00AC7691"/>
    <w:rsid w:val="00AD689E"/>
    <w:rsid w:val="00AD7D6F"/>
    <w:rsid w:val="00AE5A16"/>
    <w:rsid w:val="00AF0A71"/>
    <w:rsid w:val="00AF0F45"/>
    <w:rsid w:val="00AF2833"/>
    <w:rsid w:val="00AF2A0E"/>
    <w:rsid w:val="00B03355"/>
    <w:rsid w:val="00B0469B"/>
    <w:rsid w:val="00B127DF"/>
    <w:rsid w:val="00B14566"/>
    <w:rsid w:val="00B237EB"/>
    <w:rsid w:val="00B24D94"/>
    <w:rsid w:val="00B268E1"/>
    <w:rsid w:val="00B269D7"/>
    <w:rsid w:val="00B303C2"/>
    <w:rsid w:val="00B362C3"/>
    <w:rsid w:val="00B43F7F"/>
    <w:rsid w:val="00B60361"/>
    <w:rsid w:val="00B63A00"/>
    <w:rsid w:val="00B651CC"/>
    <w:rsid w:val="00B73F27"/>
    <w:rsid w:val="00B74C14"/>
    <w:rsid w:val="00B92BAD"/>
    <w:rsid w:val="00B9520A"/>
    <w:rsid w:val="00B95BC1"/>
    <w:rsid w:val="00B97852"/>
    <w:rsid w:val="00B979F5"/>
    <w:rsid w:val="00BA07A7"/>
    <w:rsid w:val="00BA3056"/>
    <w:rsid w:val="00BB47F3"/>
    <w:rsid w:val="00BC52B9"/>
    <w:rsid w:val="00BC7A30"/>
    <w:rsid w:val="00BD0ED0"/>
    <w:rsid w:val="00BE7259"/>
    <w:rsid w:val="00C10571"/>
    <w:rsid w:val="00C24E7B"/>
    <w:rsid w:val="00C33EB2"/>
    <w:rsid w:val="00C36E42"/>
    <w:rsid w:val="00C51DAF"/>
    <w:rsid w:val="00C52425"/>
    <w:rsid w:val="00C555AC"/>
    <w:rsid w:val="00C56CDE"/>
    <w:rsid w:val="00C5764E"/>
    <w:rsid w:val="00C64274"/>
    <w:rsid w:val="00C65487"/>
    <w:rsid w:val="00C65987"/>
    <w:rsid w:val="00C708C8"/>
    <w:rsid w:val="00C74F01"/>
    <w:rsid w:val="00C83D98"/>
    <w:rsid w:val="00C87EB0"/>
    <w:rsid w:val="00C9140D"/>
    <w:rsid w:val="00C92139"/>
    <w:rsid w:val="00C94906"/>
    <w:rsid w:val="00CA0830"/>
    <w:rsid w:val="00CA08E7"/>
    <w:rsid w:val="00CA0BB3"/>
    <w:rsid w:val="00CA7C56"/>
    <w:rsid w:val="00CB7617"/>
    <w:rsid w:val="00CC2CF9"/>
    <w:rsid w:val="00CC55CE"/>
    <w:rsid w:val="00CD3458"/>
    <w:rsid w:val="00CE7048"/>
    <w:rsid w:val="00CF0ED4"/>
    <w:rsid w:val="00CF10A0"/>
    <w:rsid w:val="00D043A5"/>
    <w:rsid w:val="00D06294"/>
    <w:rsid w:val="00D170C8"/>
    <w:rsid w:val="00D20CA5"/>
    <w:rsid w:val="00D22F7F"/>
    <w:rsid w:val="00D23039"/>
    <w:rsid w:val="00D25796"/>
    <w:rsid w:val="00D27104"/>
    <w:rsid w:val="00D35DA8"/>
    <w:rsid w:val="00D4161B"/>
    <w:rsid w:val="00D41A51"/>
    <w:rsid w:val="00D44CCF"/>
    <w:rsid w:val="00D4719D"/>
    <w:rsid w:val="00D47863"/>
    <w:rsid w:val="00D51301"/>
    <w:rsid w:val="00D619CB"/>
    <w:rsid w:val="00D66E92"/>
    <w:rsid w:val="00D740E8"/>
    <w:rsid w:val="00D75966"/>
    <w:rsid w:val="00D76DA8"/>
    <w:rsid w:val="00D76EB9"/>
    <w:rsid w:val="00D81F5F"/>
    <w:rsid w:val="00D97840"/>
    <w:rsid w:val="00DC0F80"/>
    <w:rsid w:val="00DC1C67"/>
    <w:rsid w:val="00DD7D0E"/>
    <w:rsid w:val="00DE31D6"/>
    <w:rsid w:val="00DF02D4"/>
    <w:rsid w:val="00DF2AD8"/>
    <w:rsid w:val="00DF7DFF"/>
    <w:rsid w:val="00DF7FCB"/>
    <w:rsid w:val="00E066BD"/>
    <w:rsid w:val="00E1736F"/>
    <w:rsid w:val="00E17FF5"/>
    <w:rsid w:val="00E26009"/>
    <w:rsid w:val="00E3162A"/>
    <w:rsid w:val="00E33CF9"/>
    <w:rsid w:val="00E362D0"/>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12BD"/>
    <w:rsid w:val="00EA7020"/>
    <w:rsid w:val="00EB2FD4"/>
    <w:rsid w:val="00EB7300"/>
    <w:rsid w:val="00EC5664"/>
    <w:rsid w:val="00ED1DAF"/>
    <w:rsid w:val="00EE0CE1"/>
    <w:rsid w:val="00EE1078"/>
    <w:rsid w:val="00EF0BDF"/>
    <w:rsid w:val="00EF79B0"/>
    <w:rsid w:val="00F024DB"/>
    <w:rsid w:val="00F143B1"/>
    <w:rsid w:val="00F1451E"/>
    <w:rsid w:val="00F15071"/>
    <w:rsid w:val="00F1562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523A"/>
    <w:rsid w:val="00FB5471"/>
    <w:rsid w:val="00FB606D"/>
    <w:rsid w:val="00FC18D8"/>
    <w:rsid w:val="00FC4971"/>
    <w:rsid w:val="00FC7BB3"/>
    <w:rsid w:val="00FC7D4F"/>
    <w:rsid w:val="00FD0130"/>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7BF1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0" w:unhideWhenUsed="0" w:qFormat="1"/>
    <w:lsdException w:name="Default Paragraph Font" w:uiPriority="1" w:qFormat="1"/>
    <w:lsdException w:name="Subtitle" w:semiHidden="0" w:uiPriority="11" w:unhideWhenUsed="0" w:qFormat="1"/>
    <w:lsdException w:name="Body Text Indent 2" w:semiHidden="0" w:uiPriority="0" w:unhideWhenUsed="0" w:qFormat="1"/>
    <w:lsdException w:name="Hyperlink" w:semiHidden="0" w:unhideWhenUsed="0" w:qFormat="1"/>
    <w:lsdException w:name="FollowedHyperlink"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1">
    <w:name w:val="heading 1"/>
    <w:basedOn w:val="a"/>
    <w:next w:val="a"/>
    <w:link w:val="1Char"/>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widowControl/>
      <w:jc w:val="left"/>
    </w:pPr>
  </w:style>
  <w:style w:type="paragraph" w:styleId="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4">
    <w:name w:val="Plain Text"/>
    <w:basedOn w:val="a"/>
    <w:link w:val="Char0"/>
    <w:qFormat/>
    <w:pPr>
      <w:spacing w:line="360" w:lineRule="auto"/>
      <w:ind w:firstLineChars="200" w:firstLine="480"/>
    </w:pPr>
    <w:rPr>
      <w:rFonts w:ascii="仿宋_GB2312"/>
      <w:sz w:val="24"/>
    </w:rPr>
  </w:style>
  <w:style w:type="paragraph" w:styleId="20">
    <w:name w:val="Body Text Indent 2"/>
    <w:basedOn w:val="a"/>
    <w:link w:val="2Char0"/>
    <w:qFormat/>
    <w:pPr>
      <w:widowControl/>
      <w:ind w:firstLineChars="200" w:firstLine="562"/>
      <w:jc w:val="left"/>
    </w:pPr>
    <w:rPr>
      <w:b/>
      <w:bCs/>
      <w:sz w:val="28"/>
      <w:szCs w:val="24"/>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21">
    <w:name w:val="toc 2"/>
    <w:basedOn w:val="a"/>
    <w:next w:val="a"/>
    <w:uiPriority w:val="39"/>
    <w:unhideWhenUsed/>
    <w:qFormat/>
    <w:pPr>
      <w:ind w:leftChars="200" w:left="420"/>
    </w:pPr>
  </w:style>
  <w:style w:type="paragraph" w:styleId="a8">
    <w:name w:val="Normal (Web)"/>
    <w:basedOn w:val="a"/>
    <w:unhideWhenUsed/>
    <w:qFormat/>
    <w:pPr>
      <w:widowControl/>
      <w:spacing w:before="100" w:beforeAutospacing="1" w:after="100" w:afterAutospacing="1"/>
      <w:jc w:val="left"/>
    </w:pPr>
    <w:rPr>
      <w:rFonts w:ascii="宋体" w:hAnsi="宋体" w:cs="宋体"/>
      <w:kern w:val="0"/>
      <w:sz w:val="24"/>
      <w:szCs w:val="24"/>
    </w:rPr>
  </w:style>
  <w:style w:type="paragraph" w:styleId="a9">
    <w:name w:val="Title"/>
    <w:basedOn w:val="a"/>
    <w:next w:val="a"/>
    <w:link w:val="Char4"/>
    <w:qFormat/>
    <w:pPr>
      <w:widowControl/>
      <w:spacing w:before="240" w:after="60"/>
      <w:jc w:val="center"/>
      <w:outlineLvl w:val="0"/>
    </w:pPr>
    <w:rPr>
      <w:rFonts w:ascii="Cambria" w:eastAsia="黑体" w:hAnsi="Cambria"/>
      <w:b/>
      <w:bCs/>
      <w:sz w:val="52"/>
      <w:szCs w:val="32"/>
    </w:rPr>
  </w:style>
  <w:style w:type="paragraph" w:styleId="aa">
    <w:name w:val="annotation subject"/>
    <w:basedOn w:val="a3"/>
    <w:next w:val="a3"/>
    <w:link w:val="Char5"/>
    <w:uiPriority w:val="99"/>
    <w:semiHidden/>
    <w:unhideWhenUsed/>
    <w:qFormat/>
    <w:rPr>
      <w:b/>
      <w:bCs/>
    </w:r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qFormat/>
    <w:rPr>
      <w:b/>
      <w:bCs/>
    </w:rPr>
  </w:style>
  <w:style w:type="character" w:styleId="ad">
    <w:name w:val="page number"/>
    <w:basedOn w:val="a0"/>
    <w:qFormat/>
  </w:style>
  <w:style w:type="character" w:styleId="ae">
    <w:name w:val="Hyperlink"/>
    <w:uiPriority w:val="99"/>
    <w:qFormat/>
    <w:rPr>
      <w:color w:val="0000FF"/>
      <w:u w:val="single"/>
    </w:rPr>
  </w:style>
  <w:style w:type="character" w:styleId="af">
    <w:name w:val="annotation reference"/>
    <w:basedOn w:val="a0"/>
    <w:uiPriority w:val="99"/>
    <w:semiHidden/>
    <w:unhideWhenUsed/>
    <w:qFormat/>
    <w:rPr>
      <w:sz w:val="21"/>
      <w:szCs w:val="21"/>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Char1">
    <w:name w:val="批注框文本 Char"/>
    <w:basedOn w:val="a0"/>
    <w:link w:val="a5"/>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0">
    <w:name w:val="纯文本 Char"/>
    <w:basedOn w:val="a0"/>
    <w:link w:val="a4"/>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0">
    <w:name w:val="List Paragraph"/>
    <w:basedOn w:val="a"/>
    <w:uiPriority w:val="34"/>
    <w:qFormat/>
    <w:pPr>
      <w:ind w:firstLineChars="200" w:firstLine="420"/>
    </w:pPr>
    <w:rPr>
      <w:rFonts w:ascii="仿宋_GB2312" w:eastAsia="仿宋_GB2312"/>
      <w:spacing w:val="-4"/>
      <w:sz w:val="32"/>
    </w:rPr>
  </w:style>
  <w:style w:type="character" w:customStyle="1" w:styleId="2Char0">
    <w:name w:val="正文文本缩进 2 Char"/>
    <w:basedOn w:val="a0"/>
    <w:link w:val="20"/>
    <w:qFormat/>
    <w:rPr>
      <w:rFonts w:ascii="Times New Roman" w:eastAsia="宋体" w:hAnsi="Times New Roman" w:cs="Times New Roman"/>
      <w:b/>
      <w:bCs/>
      <w:sz w:val="28"/>
      <w:szCs w:val="24"/>
    </w:rPr>
  </w:style>
  <w:style w:type="character" w:customStyle="1" w:styleId="Char4">
    <w:name w:val="标题 Char"/>
    <w:basedOn w:val="a0"/>
    <w:link w:val="a9"/>
    <w:qFormat/>
    <w:rPr>
      <w:rFonts w:ascii="Cambria" w:eastAsia="黑体" w:hAnsi="Cambria" w:cs="Times New Roman"/>
      <w:b/>
      <w:bCs/>
      <w:sz w:val="52"/>
      <w:szCs w:val="32"/>
    </w:rPr>
  </w:style>
  <w:style w:type="character" w:customStyle="1" w:styleId="Char5">
    <w:name w:val="批注主题 Char"/>
    <w:basedOn w:val="Char"/>
    <w:link w:val="aa"/>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575</Words>
  <Characters>3282</Characters>
  <Application>Microsoft Office Word</Application>
  <DocSecurity>0</DocSecurity>
  <Lines>27</Lines>
  <Paragraphs>7</Paragraphs>
  <ScaleCrop>false</ScaleCrop>
  <Company>Microsoft</Company>
  <LinksUpToDate>false</LinksUpToDate>
  <CharactersWithSpaces>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丁雯</cp:lastModifiedBy>
  <cp:revision>3</cp:revision>
  <cp:lastPrinted>2022-01-27T01:53:00Z</cp:lastPrinted>
  <dcterms:created xsi:type="dcterms:W3CDTF">2024-08-12T01:44:00Z</dcterms:created>
  <dcterms:modified xsi:type="dcterms:W3CDTF">2024-08-12T01:53:00Z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7415A875B6C34A36A16A6087D0DEB524</vt:lpwstr>
  </property>
</Properties>
</file>