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ascii="方正小标宋简体" w:eastAsia="方正小标宋简体"/>
          <w:bCs w:val="0"/>
          <w:color w:val="000000"/>
          <w:sz w:val="36"/>
          <w:szCs w:val="36"/>
        </w:rPr>
      </w:pPr>
      <w:bookmarkStart w:id="0" w:name="_GoBack"/>
      <w:bookmarkEnd w:id="0"/>
      <w:r>
        <w:rPr>
          <w:rStyle w:val="10"/>
          <w:rFonts w:hint="eastAsia" w:ascii="方正小标宋简体" w:eastAsia="方正小标宋简体"/>
          <w:color w:val="000000"/>
          <w:sz w:val="36"/>
          <w:szCs w:val="36"/>
        </w:rPr>
        <w:t>浙江省科学技术奖</w:t>
      </w:r>
      <w:r>
        <w:rPr>
          <w:rStyle w:val="10"/>
          <w:rFonts w:ascii="方正小标宋简体" w:eastAsia="方正小标宋简体"/>
          <w:color w:val="000000"/>
          <w:sz w:val="36"/>
          <w:szCs w:val="36"/>
        </w:rPr>
        <w:t>公示信息表</w:t>
      </w:r>
      <w:r>
        <w:rPr>
          <w:rStyle w:val="10"/>
          <w:rFonts w:hint="eastAsia" w:ascii="仿宋_GB2312" w:eastAsia="仿宋_GB2312"/>
          <w:color w:val="000000"/>
          <w:sz w:val="32"/>
          <w:szCs w:val="32"/>
        </w:rPr>
        <w:t>（单位提名）</w:t>
      </w:r>
    </w:p>
    <w:p>
      <w:pPr>
        <w:spacing w:line="440" w:lineRule="exact"/>
        <w:rPr>
          <w:rFonts w:hint="eastAsia"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5"/>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0"/>
        <w:gridCol w:w="7190"/>
      </w:tblGrid>
      <w:tr>
        <w:trPr>
          <w:trHeight w:val="647" w:hRule="atLeast"/>
          <w:jc w:val="center"/>
        </w:trPr>
        <w:tc>
          <w:tcPr>
            <w:tcW w:w="1710" w:type="dxa"/>
            <w:vAlign w:val="center"/>
          </w:tcPr>
          <w:p>
            <w:pPr>
              <w:jc w:val="center"/>
              <w:rPr>
                <w:rStyle w:val="10"/>
                <w:rFonts w:hint="eastAsia" w:ascii="仿宋_GB2312" w:hAnsi="仿宋" w:eastAsia="仿宋_GB2312" w:cs="仿宋"/>
                <w:b w:val="0"/>
                <w:color w:val="000000"/>
                <w:sz w:val="28"/>
              </w:rPr>
            </w:pPr>
            <w:r>
              <w:rPr>
                <w:rStyle w:val="10"/>
                <w:rFonts w:hint="eastAsia" w:ascii="仿宋_GB2312" w:hAnsi="仿宋" w:eastAsia="仿宋_GB2312" w:cs="仿宋"/>
                <w:color w:val="000000"/>
                <w:sz w:val="28"/>
              </w:rPr>
              <w:t>成果名称</w:t>
            </w:r>
          </w:p>
        </w:tc>
        <w:tc>
          <w:tcPr>
            <w:tcW w:w="7190" w:type="dxa"/>
            <w:vAlign w:val="center"/>
          </w:tcPr>
          <w:p>
            <w:pPr>
              <w:jc w:val="center"/>
              <w:rPr>
                <w:rStyle w:val="10"/>
                <w:rFonts w:hint="eastAsia" w:ascii="仿宋_GB2312" w:hAnsi="仿宋" w:eastAsia="仿宋_GB2312" w:cs="仿宋"/>
                <w:b w:val="0"/>
                <w:color w:val="000000"/>
                <w:sz w:val="28"/>
              </w:rPr>
            </w:pPr>
            <w:r>
              <w:rPr>
                <w:rStyle w:val="10"/>
                <w:rFonts w:hint="eastAsia" w:ascii="仿宋_GB2312" w:hAnsi="仿宋" w:eastAsia="仿宋_GB2312" w:cs="仿宋"/>
                <w:b w:val="0"/>
                <w:color w:val="000000"/>
                <w:sz w:val="28"/>
              </w:rPr>
              <w:t>儿童感音神经性聋精准防控新策略及临床应用推广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1710" w:type="dxa"/>
            <w:vAlign w:val="center"/>
          </w:tcPr>
          <w:p>
            <w:pPr>
              <w:jc w:val="center"/>
              <w:rPr>
                <w:rStyle w:val="10"/>
                <w:rFonts w:hint="eastAsia" w:ascii="仿宋_GB2312" w:hAnsi="仿宋" w:eastAsia="仿宋_GB2312" w:cs="仿宋"/>
                <w:b w:val="0"/>
                <w:color w:val="000000"/>
                <w:sz w:val="28"/>
              </w:rPr>
            </w:pPr>
            <w:r>
              <w:rPr>
                <w:rStyle w:val="10"/>
                <w:rFonts w:hint="eastAsia" w:ascii="仿宋_GB2312" w:hAnsi="仿宋" w:eastAsia="仿宋_GB2312" w:cs="仿宋"/>
                <w:color w:val="000000"/>
                <w:sz w:val="28"/>
              </w:rPr>
              <w:t>提名等级</w:t>
            </w:r>
          </w:p>
        </w:tc>
        <w:tc>
          <w:tcPr>
            <w:tcW w:w="7190" w:type="dxa"/>
            <w:vAlign w:val="center"/>
          </w:tcPr>
          <w:p>
            <w:pPr>
              <w:jc w:val="center"/>
              <w:rPr>
                <w:rStyle w:val="10"/>
                <w:rFonts w:hint="eastAsia" w:ascii="仿宋_GB2312" w:hAnsi="仿宋" w:eastAsia="仿宋_GB2312" w:cs="仿宋"/>
                <w:b w:val="0"/>
                <w:color w:val="000000"/>
                <w:sz w:val="28"/>
              </w:rPr>
            </w:pPr>
            <w:r>
              <w:rPr>
                <w:rStyle w:val="10"/>
                <w:rFonts w:hint="eastAsia" w:ascii="仿宋_GB2312" w:hAnsi="仿宋" w:eastAsia="仿宋_GB2312" w:cs="仿宋"/>
                <w:b w:val="0"/>
                <w:color w:val="000000"/>
                <w:sz w:val="28"/>
              </w:rPr>
              <w:t>一等奖</w:t>
            </w:r>
          </w:p>
        </w:tc>
      </w:tr>
      <w:tr>
        <w:trPr>
          <w:trHeight w:val="2461" w:hRule="atLeast"/>
          <w:jc w:val="center"/>
        </w:trPr>
        <w:tc>
          <w:tcPr>
            <w:tcW w:w="1710" w:type="dxa"/>
            <w:vAlign w:val="center"/>
          </w:tcPr>
          <w:p>
            <w:pPr>
              <w:spacing w:line="440" w:lineRule="exact"/>
              <w:jc w:val="center"/>
              <w:rPr>
                <w:rFonts w:hint="eastAsia"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pPr>
              <w:spacing w:line="440" w:lineRule="exact"/>
              <w:jc w:val="center"/>
              <w:rPr>
                <w:rFonts w:hint="eastAsia"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7190" w:type="dxa"/>
            <w:vAlign w:val="center"/>
          </w:tcPr>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代表性论文（专著）目录：</w:t>
            </w:r>
          </w:p>
          <w:p>
            <w:pPr>
              <w:pStyle w:val="11"/>
              <w:numPr>
                <w:ilvl w:val="0"/>
                <w:numId w:val="1"/>
              </w:numPr>
              <w:ind w:firstLineChars="0"/>
            </w:pPr>
            <w:r>
              <w:rPr>
                <w:rFonts w:hint="eastAsia"/>
              </w:rPr>
              <w:t xml:space="preserve">Meng F, Jia Z, Zheng J, Ji Y, Wang J, Xiao Y, Fu Y, Wang M, Ling F, Guan MX. A deafness-associated mitochondrial DNA mutation caused pleiotropic effects on DNA replication and tRNA metabolism. Nucleic Acids Res. 2022 Sep 9;50(16):9453-9469. </w:t>
            </w:r>
            <w:r>
              <w:tab/>
            </w:r>
          </w:p>
          <w:p>
            <w:pPr>
              <w:pStyle w:val="11"/>
              <w:numPr>
                <w:ilvl w:val="0"/>
                <w:numId w:val="1"/>
              </w:numPr>
              <w:ind w:firstLineChars="0"/>
            </w:pPr>
            <w:r>
              <w:rPr>
                <w:rFonts w:hint="eastAsia"/>
              </w:rPr>
              <w:t>Meng F, Zhou M, Xiao Y, Mao X, Zheng J, Lin J, Lin T, Ye Z, Cang X, Fu Y, Wang M, Guan MX. A deafness-associated tRNA mutation caused pleiotropic effects on the m1G37 modification, processing, stability and aminoacylation of tRNAIle and mitochondrial translation. Nucleic Acids Res. 2021 Jan 25;49(2):1075-1093.</w:t>
            </w:r>
          </w:p>
          <w:p>
            <w:pPr>
              <w:pStyle w:val="11"/>
              <w:numPr>
                <w:ilvl w:val="0"/>
                <w:numId w:val="1"/>
              </w:numPr>
              <w:ind w:firstLineChars="0"/>
            </w:pPr>
            <w:r>
              <w:t>Cui L, Zheng J, Zhao Q, Chen JR, Liu H, Peng G, Wu Y, Chen C, He Q, Shi H, Yin S, Friedman RA, Chen Y, Guan MX.</w:t>
            </w:r>
            <w:r>
              <w:rPr>
                <w:rFonts w:hint="eastAsia"/>
              </w:rPr>
              <w:t xml:space="preserve"> </w:t>
            </w:r>
            <w:r>
              <w:t xml:space="preserve">Mutations of MAP1B encoding a microtubule-associated phosphoprotein cause sensorineural hearing loss. JCI Insight. 2020 Dec 3;5(23):e136046. </w:t>
            </w:r>
          </w:p>
          <w:p>
            <w:pPr>
              <w:pStyle w:val="11"/>
              <w:numPr>
                <w:ilvl w:val="0"/>
                <w:numId w:val="1"/>
              </w:numPr>
              <w:ind w:firstLineChars="0"/>
            </w:pPr>
            <w:r>
              <w:t>Xiao Y, Wang M, He Q, Xu L, Zhang Q, Meng F, Jia Z, Zhang F, Wang H, Guan MX.</w:t>
            </w:r>
            <w:r>
              <w:rPr>
                <w:rFonts w:hint="eastAsia"/>
              </w:rPr>
              <w:t xml:space="preserve"> </w:t>
            </w:r>
            <w:r>
              <w:t>Asymmetrical effects of deafness-associated mitochondrial DNA 7516delA mutation on the processing of RNAs in the H-strand and L-strand polycistronic transcripts. Nucleic Acids Res. 2020 Nov 4;48(19):11113-11129.</w:t>
            </w:r>
          </w:p>
          <w:p>
            <w:pPr>
              <w:pStyle w:val="11"/>
              <w:numPr>
                <w:ilvl w:val="0"/>
                <w:numId w:val="1"/>
              </w:numPr>
              <w:ind w:firstLineChars="0"/>
            </w:pPr>
            <w:r>
              <w:t>Wang M, Peng Y, Zheng J, Zheng B, Jin X, Liu H, Wang Y, Tang X, Huang T, Jiang P, Guan MX.</w:t>
            </w:r>
            <w:r>
              <w:rPr>
                <w:rFonts w:hint="eastAsia"/>
              </w:rPr>
              <w:t xml:space="preserve"> </w:t>
            </w:r>
            <w:r>
              <w:t xml:space="preserve">A deafness-associated tRNAAsp mutation alters the m1G37 modification, aminoacylation and stability of tRNAAsp and mitochondrial function. Nucleic Acids Res. 2016 Dec 15;44(22):10974-10985. </w:t>
            </w:r>
          </w:p>
          <w:p>
            <w:pPr>
              <w:pStyle w:val="11"/>
              <w:numPr>
                <w:ilvl w:val="0"/>
                <w:numId w:val="1"/>
              </w:numPr>
              <w:ind w:firstLineChars="0"/>
            </w:pPr>
            <w:r>
              <w:t>Chen JR, Tang ZH, Zheng J, Shi HS, Ding J, Qian XD, Zhang C, Chen JL, Wang CC, Li L, Chen JZ, Yin SK, Shao JZ, Huang TS, Chen P, Guan MX, Wang JF.</w:t>
            </w:r>
            <w:r>
              <w:rPr>
                <w:rFonts w:hint="eastAsia"/>
              </w:rPr>
              <w:t xml:space="preserve"> </w:t>
            </w:r>
            <w:r>
              <w:t xml:space="preserve">Effects of genetic correction on the differentiation of hair cell-like cells from iPSCs with MYO15A mutation.Cell Death Differ. 2016 Aug;23(8):1347-57. </w:t>
            </w:r>
          </w:p>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主要知识产权和标准规范目录：</w:t>
            </w:r>
          </w:p>
          <w:p>
            <w:pPr>
              <w:numPr>
                <w:ilvl w:val="0"/>
                <w:numId w:val="1"/>
              </w:num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专利名称：一种将诱导多能干细胞定向分化为内耳毛细胞样细胞的方法，发明人：管敏鑫，陈潮，冀延春，孟飞龙，专利申请号：ZL202110251574.6，申请日期：2023年3月28日；</w:t>
            </w:r>
          </w:p>
          <w:p>
            <w:pPr>
              <w:numPr>
                <w:ilvl w:val="0"/>
                <w:numId w:val="1"/>
              </w:num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专利名称：一种先天性和易感性耳聋基因检测试剂盒，发明人：管敏鑫，蒋萍萍，郑静，陈烨，冀延春，授权专利号：ZL201510575047.5，授权日期：2018年5月15日；</w:t>
            </w:r>
          </w:p>
          <w:p>
            <w:pPr>
              <w:numPr>
                <w:ilvl w:val="0"/>
                <w:numId w:val="1"/>
              </w:num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专利名称：检测耳聋相关的线粒体T12201C突变试剂盒及应用，发明人：管敏鑫，蒋萍萍，冀延春，郑静，梁敏，龚莎莎，徐静，专利号：ZL201310172065.X，授权日期：2014年12月17日；</w:t>
            </w:r>
          </w:p>
          <w:p>
            <w:pPr>
              <w:numPr>
                <w:ilvl w:val="0"/>
                <w:numId w:val="1"/>
              </w:num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专利名称：一种自动提高无线传输中E类放大器效率的电路及系统，发明人：</w:t>
            </w:r>
            <w:r>
              <w:rPr>
                <w:rFonts w:ascii="仿宋_GB2312" w:hAnsi="仿宋" w:eastAsia="仿宋_GB2312" w:cs="仿宋"/>
                <w:bCs/>
                <w:color w:val="000000" w:themeColor="text1"/>
                <w:sz w:val="24"/>
                <w:szCs w:val="24"/>
                <w14:textFill>
                  <w14:solidFill>
                    <w14:schemeClr w14:val="tx1"/>
                  </w14:solidFill>
                </w14:textFill>
              </w:rPr>
              <w:t>黄穗、陈辉洪、陈灿锋、罗玉新、孙晓安</w:t>
            </w:r>
            <w:r>
              <w:rPr>
                <w:rFonts w:hint="eastAsia" w:ascii="仿宋_GB2312" w:hAnsi="仿宋" w:eastAsia="仿宋_GB2312" w:cs="仿宋"/>
                <w:bCs/>
                <w:color w:val="000000" w:themeColor="text1"/>
                <w:sz w:val="24"/>
                <w:szCs w:val="24"/>
                <w14:textFill>
                  <w14:solidFill>
                    <w14:schemeClr w14:val="tx1"/>
                  </w14:solidFill>
                </w14:textFill>
              </w:rPr>
              <w:t>，专利号：</w:t>
            </w:r>
            <w:r>
              <w:rPr>
                <w:rFonts w:ascii="仿宋_GB2312" w:hAnsi="仿宋" w:eastAsia="仿宋_GB2312" w:cs="仿宋"/>
                <w:bCs/>
                <w:color w:val="000000" w:themeColor="text1"/>
                <w:sz w:val="24"/>
                <w:szCs w:val="24"/>
                <w14:textFill>
                  <w14:solidFill>
                    <w14:schemeClr w14:val="tx1"/>
                  </w14:solidFill>
                </w14:textFill>
              </w:rPr>
              <w:t>ZL201810584780.7</w:t>
            </w:r>
            <w:r>
              <w:rPr>
                <w:rFonts w:hint="eastAsia" w:ascii="仿宋_GB2312" w:hAnsi="仿宋" w:eastAsia="仿宋_GB2312" w:cs="仿宋"/>
                <w:bCs/>
                <w:color w:val="000000" w:themeColor="text1"/>
                <w:sz w:val="24"/>
                <w:szCs w:val="24"/>
                <w14:textFill>
                  <w14:solidFill>
                    <w14:schemeClr w14:val="tx1"/>
                  </w14:solidFill>
                </w14:textFill>
              </w:rPr>
              <w:t>，授权日期：2023年12月29日；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jc w:val="center"/>
        </w:trPr>
        <w:tc>
          <w:tcPr>
            <w:tcW w:w="1710" w:type="dxa"/>
            <w:tcBorders>
              <w:right w:val="single" w:color="auto" w:sz="4" w:space="0"/>
            </w:tcBorders>
            <w:vAlign w:val="center"/>
          </w:tcPr>
          <w:p>
            <w:pPr>
              <w:spacing w:line="440" w:lineRule="exact"/>
              <w:jc w:val="center"/>
              <w:rPr>
                <w:rFonts w:hint="eastAsia"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7190" w:type="dxa"/>
            <w:tcBorders>
              <w:left w:val="single" w:color="auto" w:sz="4" w:space="0"/>
            </w:tcBorders>
            <w:vAlign w:val="center"/>
          </w:tcPr>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管敏鑫，排名1，教授，浙江大学医学院附属第四医院；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王金福，排名</w:t>
            </w:r>
            <w:r>
              <w:rPr>
                <w:rFonts w:ascii="仿宋_GB2312" w:hAnsi="仿宋" w:eastAsia="仿宋_GB2312" w:cs="仿宋"/>
                <w:bCs/>
                <w:color w:val="000000" w:themeColor="text1"/>
                <w:sz w:val="24"/>
                <w:szCs w:val="24"/>
                <w14:textFill>
                  <w14:solidFill>
                    <w14:schemeClr w14:val="tx1"/>
                  </w14:solidFill>
                </w14:textFill>
              </w:rPr>
              <w:t>2</w:t>
            </w:r>
            <w:r>
              <w:rPr>
                <w:rFonts w:hint="eastAsia" w:ascii="仿宋_GB2312" w:hAnsi="仿宋" w:eastAsia="仿宋_GB2312" w:cs="仿宋"/>
                <w:bCs/>
                <w:color w:val="000000" w:themeColor="text1"/>
                <w:sz w:val="24"/>
                <w:szCs w:val="24"/>
                <w14:textFill>
                  <w14:solidFill>
                    <w14:schemeClr w14:val="tx1"/>
                  </w14:solidFill>
                </w14:textFill>
              </w:rPr>
              <w:t>，教授，浙江大学；</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黄  穗，排名</w:t>
            </w:r>
            <w:r>
              <w:rPr>
                <w:rFonts w:ascii="仿宋_GB2312" w:hAnsi="仿宋" w:eastAsia="仿宋_GB2312" w:cs="仿宋"/>
                <w:bCs/>
                <w:color w:val="000000" w:themeColor="text1"/>
                <w:sz w:val="24"/>
                <w:szCs w:val="24"/>
                <w14:textFill>
                  <w14:solidFill>
                    <w14:schemeClr w14:val="tx1"/>
                  </w14:solidFill>
                </w14:textFill>
              </w:rPr>
              <w:t>3</w:t>
            </w:r>
            <w:r>
              <w:rPr>
                <w:rFonts w:hint="eastAsia" w:ascii="仿宋_GB2312" w:hAnsi="仿宋" w:eastAsia="仿宋_GB2312" w:cs="仿宋"/>
                <w:bCs/>
                <w:color w:val="000000" w:themeColor="text1"/>
                <w:sz w:val="24"/>
                <w:szCs w:val="24"/>
                <w14:textFill>
                  <w14:solidFill>
                    <w14:schemeClr w14:val="tx1"/>
                  </w14:solidFill>
                </w14:textFill>
              </w:rPr>
              <w:t>，正高级工程师，浙江诺尔康神经电子科技股份有限公司；</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冀延春，排名</w:t>
            </w:r>
            <w:r>
              <w:rPr>
                <w:rFonts w:ascii="仿宋_GB2312" w:hAnsi="仿宋" w:eastAsia="仿宋_GB2312" w:cs="仿宋"/>
                <w:bCs/>
                <w:color w:val="000000" w:themeColor="text1"/>
                <w:sz w:val="24"/>
                <w:szCs w:val="24"/>
                <w14:textFill>
                  <w14:solidFill>
                    <w14:schemeClr w14:val="tx1"/>
                  </w14:solidFill>
                </w14:textFill>
              </w:rPr>
              <w:t>4</w:t>
            </w:r>
            <w:r>
              <w:rPr>
                <w:rFonts w:hint="eastAsia" w:ascii="仿宋_GB2312" w:hAnsi="仿宋" w:eastAsia="仿宋_GB2312" w:cs="仿宋"/>
                <w:bCs/>
                <w:color w:val="000000" w:themeColor="text1"/>
                <w:sz w:val="24"/>
                <w:szCs w:val="24"/>
                <w14:textFill>
                  <w14:solidFill>
                    <w14:schemeClr w14:val="tx1"/>
                  </w14:solidFill>
                </w14:textFill>
              </w:rPr>
              <w:t>，副研究员，浙江大学医学院附属儿童医院；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陈  潮，排名</w:t>
            </w:r>
            <w:r>
              <w:rPr>
                <w:rFonts w:ascii="仿宋_GB2312" w:hAnsi="仿宋" w:eastAsia="仿宋_GB2312" w:cs="仿宋"/>
                <w:bCs/>
                <w:color w:val="000000" w:themeColor="text1"/>
                <w:sz w:val="24"/>
                <w:szCs w:val="24"/>
                <w14:textFill>
                  <w14:solidFill>
                    <w14:schemeClr w14:val="tx1"/>
                  </w14:solidFill>
                </w14:textFill>
              </w:rPr>
              <w:t>5</w:t>
            </w:r>
            <w:r>
              <w:rPr>
                <w:rFonts w:hint="eastAsia" w:ascii="仿宋_GB2312" w:hAnsi="仿宋" w:eastAsia="仿宋_GB2312" w:cs="仿宋"/>
                <w:bCs/>
                <w:color w:val="000000" w:themeColor="text1"/>
                <w:sz w:val="24"/>
                <w:szCs w:val="24"/>
                <w14:textFill>
                  <w14:solidFill>
                    <w14:schemeClr w14:val="tx1"/>
                  </w14:solidFill>
                </w14:textFill>
              </w:rPr>
              <w:t>，助理研究员，浙江大学医学院附属第四医院；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蔡万世，排名6，正高级工程师，艾吉泰康（嘉兴）生物科技有限公司；</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付  勇，排名7，主任医师，浙江大学医学院附属儿童医院；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孟飞龙，排名8，助理研究员，浙江大学医学院附属儿童医院；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王  猛，排名9，副教授，浙江大学医学院附属第四医院；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银  力，排名10，主治医师，浙江诺尔康神经电子科技股份有限公司；</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贾子冬，排名11，特聘研究员，浙江大学医学院附属第四医院；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张青海，排名12，特聘研究员，浙江大学医学院附属第四医院；</w:t>
            </w:r>
          </w:p>
          <w:p>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陈加荣，排名13，助理研究员，浙江大学医学院附属第四医院</w:t>
            </w:r>
          </w:p>
        </w:tc>
      </w:tr>
      <w:tr>
        <w:trPr>
          <w:trHeight w:val="1986" w:hRule="atLeast"/>
          <w:jc w:val="center"/>
        </w:trPr>
        <w:tc>
          <w:tcPr>
            <w:tcW w:w="1710" w:type="dxa"/>
            <w:tcBorders>
              <w:right w:val="single" w:color="auto" w:sz="4" w:space="0"/>
            </w:tcBorders>
            <w:vAlign w:val="center"/>
          </w:tcPr>
          <w:p>
            <w:pPr>
              <w:spacing w:line="440" w:lineRule="exact"/>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7190" w:type="dxa"/>
            <w:tcBorders>
              <w:left w:val="single" w:color="auto" w:sz="4" w:space="0"/>
            </w:tcBorders>
            <w:vAlign w:val="center"/>
          </w:tcPr>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1. 浙江大学</w:t>
            </w:r>
          </w:p>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2. 浙江大学医学院附属第四医院</w:t>
            </w:r>
          </w:p>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3. 浙江大学医学院附属儿童医院</w:t>
            </w:r>
          </w:p>
          <w:p>
            <w:pPr>
              <w:spacing w:line="440" w:lineRule="exact"/>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4. 浙江诺尔康神经电子科技股份有限公司</w:t>
            </w:r>
          </w:p>
          <w:p>
            <w:pPr>
              <w:spacing w:line="440" w:lineRule="exact"/>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5. 艾吉泰康（嘉兴）生物科技有限公司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jc w:val="center"/>
        </w:trPr>
        <w:tc>
          <w:tcPr>
            <w:tcW w:w="1710" w:type="dxa"/>
            <w:vAlign w:val="center"/>
          </w:tcPr>
          <w:p>
            <w:pPr>
              <w:jc w:val="center"/>
              <w:rPr>
                <w:rStyle w:val="10"/>
                <w:rFonts w:ascii="仿宋_GB2312" w:eastAsia="仿宋_GB2312"/>
                <w:b w:val="0"/>
                <w:color w:val="000000"/>
                <w:sz w:val="28"/>
                <w:szCs w:val="28"/>
              </w:rPr>
            </w:pPr>
            <w:r>
              <w:rPr>
                <w:rStyle w:val="10"/>
                <w:rFonts w:hint="eastAsia" w:ascii="仿宋_GB2312" w:eastAsia="仿宋_GB2312"/>
                <w:color w:val="000000"/>
                <w:sz w:val="28"/>
                <w:szCs w:val="28"/>
              </w:rPr>
              <w:t>提名单位</w:t>
            </w:r>
          </w:p>
        </w:tc>
        <w:tc>
          <w:tcPr>
            <w:tcW w:w="7190" w:type="dxa"/>
            <w:vAlign w:val="center"/>
          </w:tcPr>
          <w:p>
            <w:pPr>
              <w:contextualSpacing/>
              <w:jc w:val="center"/>
              <w:rPr>
                <w:rStyle w:val="10"/>
                <w:b w:val="0"/>
                <w:color w:val="000000"/>
              </w:rPr>
            </w:pPr>
            <w:r>
              <w:rPr>
                <w:rStyle w:val="10"/>
                <w:rFonts w:hint="eastAsia"/>
                <w:b w:val="0"/>
                <w:color w:val="000000"/>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jc w:val="center"/>
        </w:trPr>
        <w:tc>
          <w:tcPr>
            <w:tcW w:w="1710" w:type="dxa"/>
            <w:vAlign w:val="center"/>
          </w:tcPr>
          <w:p>
            <w:pPr>
              <w:jc w:val="center"/>
              <w:rPr>
                <w:rStyle w:val="10"/>
                <w:rFonts w:ascii="仿宋_GB2312" w:eastAsia="仿宋_GB2312"/>
                <w:b w:val="0"/>
                <w:color w:val="000000"/>
                <w:sz w:val="28"/>
                <w:szCs w:val="28"/>
              </w:rPr>
            </w:pPr>
            <w:r>
              <w:rPr>
                <w:rStyle w:val="10"/>
                <w:rFonts w:hint="eastAsia" w:ascii="仿宋_GB2312" w:eastAsia="仿宋_GB2312"/>
                <w:color w:val="000000"/>
                <w:sz w:val="28"/>
                <w:szCs w:val="28"/>
              </w:rPr>
              <w:t>提名意见</w:t>
            </w:r>
          </w:p>
        </w:tc>
        <w:tc>
          <w:tcPr>
            <w:tcW w:w="7190" w:type="dxa"/>
            <w:vAlign w:val="center"/>
          </w:tcPr>
          <w:p>
            <w:pPr>
              <w:spacing w:line="440" w:lineRule="exact"/>
              <w:ind w:firstLine="480" w:firstLineChars="200"/>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加强耳聋综合防治是国家和社会发展的重大战略需求。耳聋诊治面临着分子病因尚未完全阐明，分子致病机制研究薄弱的世界性难题。在“973”计划、国家重点研发计划、国家自然科学重点项目等持续支持下，申报团队在儿童感音神经性聋领域深耕30年，取得了一系列具有国际领先水平的原创性研究成果并形成重要的理论体系，多项成果得到转化和广泛应用。</w:t>
            </w:r>
          </w:p>
          <w:p>
            <w:pPr>
              <w:spacing w:line="440" w:lineRule="exact"/>
              <w:ind w:firstLine="480" w:firstLineChars="200"/>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团队阐明了新的常染色体隐性遗传致聋基因MAP1B突变引起螺旋神经节细胞微管功能异常的病理生理机制，系统地揭示了线粒体基因组复制、转录后加工剪切、核苷酸修饰等缺陷引发儿童感音神经性聋的致病机制，属重大理论体系原创。通过干细胞与基因编辑技术，实现了患者源诱导多能干细胞分化的听觉关键细胞的功能重建，为耳聋基因治疗提供了新策略。建立了高通量、高覆盖率的耳聋基因筛查诊断技术体系，为儿童感音神经性聋的精准诊治提供了技术支撑。团队自主创新研发了小型化、无线化、智能化的国产人工耳蜗，打破了高端人工耳蜗植入体的国外品牌垄断，取得了重大的社会效益和经济效益。</w:t>
            </w:r>
          </w:p>
          <w:p>
            <w:pPr>
              <w:spacing w:line="440" w:lineRule="exact"/>
              <w:ind w:firstLine="480" w:firstLineChars="200"/>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发表研究论文61篇，论文被Nature Rev Mol Cell Biol等权威期刊引用2000余次，被国际同行高度认可；获国家知识产权21项；2020-2022年实现经济效益1.1亿元。经过本项目的实施，极大地降低了耳聋发病率。</w:t>
            </w:r>
          </w:p>
          <w:p>
            <w:pPr>
              <w:spacing w:line="440" w:lineRule="exact"/>
              <w:ind w:firstLine="480" w:firstLineChars="200"/>
              <w:jc w:val="lef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提名该成果为省科学技术进步奖一等奖。</w:t>
            </w:r>
          </w:p>
          <w:p>
            <w:pPr>
              <w:contextualSpacing/>
              <w:jc w:val="center"/>
              <w:rPr>
                <w:rStyle w:val="10"/>
                <w:b w:val="0"/>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8AE2"/>
    <w:multiLevelType w:val="singleLevel"/>
    <w:tmpl w:val="820A8AE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MGJjMjIzMWUxYjRiMWEyYWI5MmNmNWIyNTUwNDEifQ=="/>
  </w:docVars>
  <w:rsids>
    <w:rsidRoot w:val="00DF5C61"/>
    <w:rsid w:val="00297FDE"/>
    <w:rsid w:val="002D6584"/>
    <w:rsid w:val="00320230"/>
    <w:rsid w:val="0033416A"/>
    <w:rsid w:val="00465ACF"/>
    <w:rsid w:val="00483936"/>
    <w:rsid w:val="006B0E7E"/>
    <w:rsid w:val="007C0422"/>
    <w:rsid w:val="007F51DD"/>
    <w:rsid w:val="00B41DD8"/>
    <w:rsid w:val="00C515D6"/>
    <w:rsid w:val="00DF5C61"/>
    <w:rsid w:val="00F138BF"/>
    <w:rsid w:val="012B5576"/>
    <w:rsid w:val="016F283F"/>
    <w:rsid w:val="03435D32"/>
    <w:rsid w:val="046C3066"/>
    <w:rsid w:val="05922FA0"/>
    <w:rsid w:val="05E80E12"/>
    <w:rsid w:val="063522A9"/>
    <w:rsid w:val="065D710A"/>
    <w:rsid w:val="07277E4A"/>
    <w:rsid w:val="089106F7"/>
    <w:rsid w:val="08B33709"/>
    <w:rsid w:val="0A195A3E"/>
    <w:rsid w:val="0B2E5519"/>
    <w:rsid w:val="0B995089"/>
    <w:rsid w:val="0CA24551"/>
    <w:rsid w:val="0E7C61D3"/>
    <w:rsid w:val="0F3330FE"/>
    <w:rsid w:val="0F4F5A5E"/>
    <w:rsid w:val="1066563E"/>
    <w:rsid w:val="127F665A"/>
    <w:rsid w:val="150B6A51"/>
    <w:rsid w:val="16CA259A"/>
    <w:rsid w:val="175E0F34"/>
    <w:rsid w:val="17A37DC4"/>
    <w:rsid w:val="18FC0A05"/>
    <w:rsid w:val="1A3B0898"/>
    <w:rsid w:val="1D497910"/>
    <w:rsid w:val="1D6848BB"/>
    <w:rsid w:val="1D9531D6"/>
    <w:rsid w:val="1E432C32"/>
    <w:rsid w:val="1F066139"/>
    <w:rsid w:val="1FF266BE"/>
    <w:rsid w:val="2244009E"/>
    <w:rsid w:val="22896CF5"/>
    <w:rsid w:val="229360A4"/>
    <w:rsid w:val="22B97967"/>
    <w:rsid w:val="27054F28"/>
    <w:rsid w:val="2B253DEB"/>
    <w:rsid w:val="2B8723B0"/>
    <w:rsid w:val="2C8A344F"/>
    <w:rsid w:val="2D9E7E85"/>
    <w:rsid w:val="2FE83639"/>
    <w:rsid w:val="30077F63"/>
    <w:rsid w:val="30B50E56"/>
    <w:rsid w:val="32B83D17"/>
    <w:rsid w:val="34160775"/>
    <w:rsid w:val="37184804"/>
    <w:rsid w:val="37691503"/>
    <w:rsid w:val="39A405D1"/>
    <w:rsid w:val="3E66054B"/>
    <w:rsid w:val="3ED6747E"/>
    <w:rsid w:val="3F402B4A"/>
    <w:rsid w:val="40C86D25"/>
    <w:rsid w:val="416C40CA"/>
    <w:rsid w:val="41FF6CEC"/>
    <w:rsid w:val="426923B8"/>
    <w:rsid w:val="43560B8E"/>
    <w:rsid w:val="45C2075D"/>
    <w:rsid w:val="45EF0E26"/>
    <w:rsid w:val="475A49C5"/>
    <w:rsid w:val="47FE6B56"/>
    <w:rsid w:val="48E67393"/>
    <w:rsid w:val="4A9401EE"/>
    <w:rsid w:val="4C35155C"/>
    <w:rsid w:val="4DD3102D"/>
    <w:rsid w:val="4E802F63"/>
    <w:rsid w:val="517766E6"/>
    <w:rsid w:val="53214AE9"/>
    <w:rsid w:val="543071D9"/>
    <w:rsid w:val="54A31759"/>
    <w:rsid w:val="55B022C5"/>
    <w:rsid w:val="580E15DF"/>
    <w:rsid w:val="5B4B48F9"/>
    <w:rsid w:val="5C78796F"/>
    <w:rsid w:val="60B24394"/>
    <w:rsid w:val="61AB7E9F"/>
    <w:rsid w:val="625B18C5"/>
    <w:rsid w:val="6B572E46"/>
    <w:rsid w:val="6E5F273D"/>
    <w:rsid w:val="6E8E4DD0"/>
    <w:rsid w:val="6FE74F7F"/>
    <w:rsid w:val="7049295D"/>
    <w:rsid w:val="70903082"/>
    <w:rsid w:val="7297538B"/>
    <w:rsid w:val="742F4960"/>
    <w:rsid w:val="75D91027"/>
    <w:rsid w:val="776B3F01"/>
    <w:rsid w:val="780F6F82"/>
    <w:rsid w:val="78A21BA4"/>
    <w:rsid w:val="7CA53A11"/>
    <w:rsid w:val="7CCD11BA"/>
    <w:rsid w:val="7E2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481</Words>
  <Characters>2743</Characters>
  <Lines>22</Lines>
  <Paragraphs>6</Paragraphs>
  <TotalTime>1090</TotalTime>
  <ScaleCrop>false</ScaleCrop>
  <LinksUpToDate>false</LinksUpToDate>
  <CharactersWithSpaces>3218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2020-08-28T12:51:00Z</dcterms:created>
  <dc:creator>ZJU</dc:creator>
  <cp:lastModifiedBy>白炽</cp:lastModifiedBy>
  <cp:lastPrinted>2024-08-06T14:19:00Z</cp:lastPrinted>
  <dcterms:modified xsi:type="dcterms:W3CDTF">2024-08-12T16:52:56Z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561AFFB9AF0916E768CDB966012550EB</vt:lpwstr>
  </property>
</Properties>
</file>