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eastAsia="方正小标宋简体"/>
          <w:bCs w:val="0"/>
          <w:color w:val="auto"/>
          <w:sz w:val="36"/>
          <w:szCs w:val="36"/>
        </w:rPr>
      </w:pPr>
      <w:bookmarkStart w:id="0" w:name="_GoBack"/>
      <w:bookmarkEnd w:id="0"/>
      <w:r>
        <w:rPr>
          <w:rStyle w:val="8"/>
          <w:rFonts w:eastAsia="方正小标宋简体"/>
          <w:color w:val="auto"/>
          <w:sz w:val="36"/>
          <w:szCs w:val="36"/>
        </w:rPr>
        <w:t>浙江省科学技术奖公示信息表</w:t>
      </w:r>
      <w:r>
        <w:rPr>
          <w:rStyle w:val="8"/>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jc w:val="center"/>
              <w:rPr>
                <w:rStyle w:val="8"/>
                <w:rFonts w:eastAsia="仿宋_GB2312"/>
                <w:b w:val="0"/>
                <w:color w:val="auto"/>
                <w:sz w:val="28"/>
              </w:rPr>
            </w:pPr>
            <w:r>
              <w:rPr>
                <w:rStyle w:val="8"/>
                <w:rFonts w:eastAsia="仿宋_GB2312"/>
                <w:color w:val="auto"/>
                <w:sz w:val="28"/>
              </w:rPr>
              <w:t>成果名称</w:t>
            </w:r>
          </w:p>
        </w:tc>
        <w:tc>
          <w:tcPr>
            <w:tcW w:w="6237" w:type="dxa"/>
            <w:vAlign w:val="center"/>
          </w:tcPr>
          <w:p>
            <w:pPr>
              <w:jc w:val="center"/>
              <w:rPr>
                <w:rStyle w:val="8"/>
                <w:rFonts w:eastAsia="仿宋_GB2312"/>
                <w:b w:val="0"/>
                <w:color w:val="auto"/>
                <w:sz w:val="28"/>
              </w:rPr>
            </w:pPr>
            <w:r>
              <w:rPr>
                <w:rStyle w:val="8"/>
                <w:rFonts w:hint="eastAsia" w:eastAsia="仿宋_GB2312"/>
                <w:b w:val="0"/>
                <w:color w:val="auto"/>
                <w:sz w:val="28"/>
              </w:rPr>
              <w:t>儿童青少年肥胖代谢性疾病早期诊断与精准评估关键技术创新与应用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jc w:val="center"/>
              <w:rPr>
                <w:rStyle w:val="8"/>
                <w:rFonts w:eastAsia="仿宋_GB2312"/>
                <w:b w:val="0"/>
                <w:color w:val="auto"/>
                <w:sz w:val="28"/>
              </w:rPr>
            </w:pPr>
            <w:r>
              <w:rPr>
                <w:rStyle w:val="8"/>
                <w:rFonts w:eastAsia="仿宋_GB2312"/>
                <w:color w:val="auto"/>
                <w:sz w:val="28"/>
              </w:rPr>
              <w:t>提名等级</w:t>
            </w:r>
          </w:p>
        </w:tc>
        <w:tc>
          <w:tcPr>
            <w:tcW w:w="6237" w:type="dxa"/>
            <w:vAlign w:val="center"/>
          </w:tcPr>
          <w:p>
            <w:pPr>
              <w:jc w:val="center"/>
              <w:rPr>
                <w:rStyle w:val="8"/>
                <w:rFonts w:eastAsia="仿宋_GB2312"/>
                <w:b w:val="0"/>
                <w:color w:val="auto"/>
                <w:sz w:val="28"/>
              </w:rPr>
            </w:pPr>
            <w:r>
              <w:rPr>
                <w:rStyle w:val="8"/>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hint="default" w:ascii="Arial" w:hAnsi="Arial" w:eastAsia="仿宋_GB2312" w:cs="Arial"/>
                <w:sz w:val="24"/>
                <w:szCs w:val="24"/>
              </w:rPr>
            </w:pPr>
            <w:r>
              <w:rPr>
                <w:rFonts w:hint="default" w:ascii="Arial" w:hAnsi="Arial" w:eastAsia="仿宋_GB2312" w:cs="Arial"/>
                <w:sz w:val="24"/>
                <w:szCs w:val="24"/>
              </w:rPr>
              <w:t>（要求10项以内）</w:t>
            </w:r>
          </w:p>
          <w:p>
            <w:pPr>
              <w:spacing w:line="440" w:lineRule="exact"/>
              <w:jc w:val="left"/>
              <w:rPr>
                <w:rFonts w:hint="default" w:ascii="Arial" w:hAnsi="Arial" w:eastAsia="仿宋_GB2312" w:cs="Arial"/>
                <w:sz w:val="24"/>
                <w:szCs w:val="24"/>
              </w:rPr>
            </w:pPr>
            <w:r>
              <w:rPr>
                <w:rFonts w:hint="default" w:ascii="Arial" w:hAnsi="Arial" w:eastAsia="仿宋_GB2312" w:cs="Arial"/>
                <w:sz w:val="24"/>
                <w:szCs w:val="24"/>
              </w:rPr>
              <w:t>1.代表性论文专著目录：</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Zhang L， Chen J， Zhang J， Wu W， Huang K， Chen R， Maimaiti  M， Chen S， Cao B， Zhu M， Wang C， Su Z， Liang Y， Yao H， Wei H， Zheng R， Du H， Luo F， Li P， Mo M， Yu Y， Wang E， Dorazio RM， Fu J. Regional Disparities in Obesity Among a Heterogeneous Population of Chinese Children and Adolescents. JAMA Netw Open. 2021 Oct 1;4(10):e2131040.</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袁金娜，金冰涵，斯淑婷，余运贤，梁黎，王春林，巩纯秀，刘戈力，陈少科，傅君芬. 2009至2019年6～15岁中国儿童超重和肥胖趋势分析[J].中华儿科杂志,2021,59(11):935-941.</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濮佳琦，章建伟，陈瑞敏，米热古丽·买买提，罗静思，陈少科，吴迪，朱岷，王春林，苏喆，梁雁，姚辉，卫海燕，郑荣秀，杜红伟，罗飞宏，李嫔，斯淑婷，吴蔚，黄轲，董关萍，余运贤，傅君芬. 中国城镇儿童不同Tanner分期身高体重现况调查[J]. 中华儿科杂志，2021，59(12):1065-1073.</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Jingjing Cheng, Xiaolin Ma, Chunlu Li, Rahim Ullah, Xiaoyu Wang, Jianmei Long, Zhenxin Yuan, Shuangshuang Liu, Junfen Fu, Zhong Chen, Yi Shen, Yu-Dong Zhou. Diet-induced inflammation in the anterior paraventricular thalamus induces compulsive sucrose-seeking. Nature Neuroscience. 2022 Aug;25(8):1009-1013.</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Fu JF, Liang L, Zou CC, Hong F, Wang CL, Wang XM, Zhao ZY. Prevalence of the metabolic syndrome in Zhejiang Chinese obese children and adolescents and the effect of metformin combined with lifestyle intervention. Int J Obes (Lond). 2007 Jan;31(1):15-22.</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Zhang HX， Fu JF， Lai C， Tian FY， Su XL， Huang K. Feasibility of balanced steady-state free precession sequence at 1.5T for the evaluation of hepatic steatosis in obese children and adolescents. Eur Radiol. 2018 Nov;28(11):4479-4487.</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Ni Y, Yu G, Chen H, Deng Y, Wells PM, Steves CJ, Ju F, Fu J. M2IA: a microbiome and metabolome integrative analysis web server. Bioinformatics. 2020 Jun 1;36(11):3493-3498.</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 xml:space="preserve">中华医学会儿科学分会内分泌遗传代谢学组，中华医学会儿科学分会儿童保健学组，中华医学会儿科学分会临床营养学组，等. 中国儿童肥胖诊断评估与管理专家共识[J]. 中华儿科杂志，2022，60(6) : 507-515. </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中华医学会儿科学分会内分泌遗传代谢学组. 儿童青少年2型糖尿病诊治中国专家共识[J]. 中华儿科杂志，2017，55(6):404-410.</w:t>
            </w:r>
          </w:p>
          <w:p>
            <w:pPr>
              <w:pStyle w:val="11"/>
              <w:numPr>
                <w:ilvl w:val="0"/>
                <w:numId w:val="1"/>
              </w:numPr>
              <w:spacing w:line="440" w:lineRule="exact"/>
              <w:ind w:firstLineChars="0"/>
              <w:jc w:val="left"/>
              <w:rPr>
                <w:rFonts w:hint="default" w:ascii="Arial" w:hAnsi="Arial" w:eastAsia="仿宋_GB2312" w:cs="Arial"/>
                <w:sz w:val="24"/>
                <w:szCs w:val="24"/>
              </w:rPr>
            </w:pPr>
            <w:r>
              <w:rPr>
                <w:rFonts w:hint="default" w:ascii="Arial" w:hAnsi="Arial" w:eastAsia="仿宋_GB2312" w:cs="Arial"/>
                <w:sz w:val="24"/>
                <w:szCs w:val="24"/>
              </w:rPr>
              <w:t>中华医学会儿科学分会内分泌遗传代谢学组，中华医学会儿科学分会消化学组，中华医学会儿科学分会青春期医学专业委员会，等. 儿童非酒精性脂肪肝病诊断与治疗专家共识[J]. 中国实用儿科杂志，2018，33(7):487-492.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傅君芬，排名1，教授、主任医师，浙江大学医学院附属儿童医院；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黄轲，排名2，主任医师，浙江大学医学院附属儿童医院；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吴蔚，排名3，主任医师，浙江大学医学院附属儿童医院；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张黎，排名4，副主任医师，浙江大学医学院附属儿童医院；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王金玲，排名5，副主任医师，浙江大学医学院附属儿童医院；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周雪莲，排名6，副主任医师，浙江大学医学院附属儿童医院；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沈逸，排名7，教授，浙江大学医学院；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张洪锡，排名8，副主任技师，浙江大学医学院附属儿童医院；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张俊峰，排名9，主管技师，浙江大学医学院附属儿童医院；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倪艳，排名10，研究员，浙江大学医学院附属儿童医院；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袁金娜，排名11，副主任医师，浙江大学医学院附属儿童医院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戴阳丽，排名12，副主任医师，浙江大学医学院附属儿童医院；</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董关萍，排名13，主任医师，浙江大学医学院附属儿童医院；</w:t>
            </w:r>
          </w:p>
          <w:p>
            <w:pPr>
              <w:spacing w:line="440" w:lineRule="exact"/>
              <w:rPr>
                <w:rFonts w:hint="default" w:ascii="Arial" w:hAnsi="Arial" w:eastAsia="仿宋_GB2312" w:cs="Arial"/>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pStyle w:val="11"/>
              <w:numPr>
                <w:ilvl w:val="0"/>
                <w:numId w:val="2"/>
              </w:numPr>
              <w:spacing w:line="440" w:lineRule="exact"/>
              <w:ind w:firstLineChars="0"/>
              <w:jc w:val="left"/>
              <w:rPr>
                <w:rFonts w:hint="default" w:ascii="Arial" w:hAnsi="Arial" w:eastAsia="仿宋_GB2312" w:cs="Arial"/>
                <w:bCs/>
                <w:sz w:val="24"/>
                <w:szCs w:val="24"/>
              </w:rPr>
            </w:pPr>
            <w:r>
              <w:rPr>
                <w:rFonts w:hint="default" w:ascii="Arial" w:hAnsi="Arial" w:eastAsia="仿宋_GB2312" w:cs="Arial"/>
                <w:bCs/>
                <w:sz w:val="24"/>
                <w:szCs w:val="24"/>
              </w:rPr>
              <w:t>单位名称：浙江大学医学院附属儿童医院</w:t>
            </w:r>
          </w:p>
          <w:p>
            <w:pPr>
              <w:pStyle w:val="11"/>
              <w:numPr>
                <w:ilvl w:val="0"/>
                <w:numId w:val="2"/>
              </w:numPr>
              <w:spacing w:line="440" w:lineRule="exact"/>
              <w:ind w:firstLineChars="0"/>
              <w:jc w:val="left"/>
              <w:rPr>
                <w:rFonts w:hint="default" w:ascii="Arial" w:hAnsi="Arial" w:eastAsia="仿宋_GB2312" w:cs="Arial"/>
                <w:bCs/>
                <w:sz w:val="24"/>
                <w:szCs w:val="24"/>
              </w:rPr>
            </w:pPr>
            <w:r>
              <w:rPr>
                <w:rFonts w:hint="default" w:ascii="Arial" w:hAnsi="Arial" w:eastAsia="仿宋_GB2312" w:cs="Arial"/>
                <w:bCs/>
                <w:sz w:val="24"/>
                <w:szCs w:val="24"/>
              </w:rPr>
              <w:t>单位名称：浙江大学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pPr>
              <w:jc w:val="center"/>
              <w:rPr>
                <w:rStyle w:val="8"/>
                <w:rFonts w:eastAsia="仿宋_GB2312"/>
                <w:b w:val="0"/>
                <w:color w:val="auto"/>
                <w:sz w:val="28"/>
                <w:szCs w:val="28"/>
              </w:rPr>
            </w:pPr>
            <w:r>
              <w:rPr>
                <w:rStyle w:val="8"/>
                <w:rFonts w:eastAsia="仿宋_GB2312"/>
                <w:color w:val="auto"/>
                <w:sz w:val="28"/>
                <w:szCs w:val="28"/>
              </w:rPr>
              <w:t>提名单位</w:t>
            </w:r>
          </w:p>
        </w:tc>
        <w:tc>
          <w:tcPr>
            <w:tcW w:w="6237" w:type="dxa"/>
            <w:vAlign w:val="center"/>
          </w:tcPr>
          <w:p>
            <w:pPr>
              <w:contextualSpacing/>
              <w:jc w:val="center"/>
              <w:rPr>
                <w:rStyle w:val="8"/>
                <w:rFonts w:hint="default" w:ascii="Arial" w:hAnsi="Arial" w:eastAsia="仿宋_GB2312" w:cs="Arial"/>
                <w:b w:val="0"/>
                <w:color w:val="auto"/>
                <w:sz w:val="24"/>
                <w:szCs w:val="24"/>
              </w:rPr>
            </w:pPr>
            <w:r>
              <w:rPr>
                <w:rStyle w:val="8"/>
                <w:rFonts w:hint="default" w:ascii="Arial" w:hAnsi="Arial" w:eastAsia="仿宋_GB2312" w:cs="Arial"/>
                <w:b w:val="0"/>
                <w:color w:val="auto"/>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pPr>
              <w:jc w:val="center"/>
              <w:rPr>
                <w:rStyle w:val="8"/>
                <w:rFonts w:eastAsia="仿宋_GB2312"/>
                <w:b w:val="0"/>
                <w:color w:val="auto"/>
                <w:sz w:val="28"/>
                <w:szCs w:val="28"/>
              </w:rPr>
            </w:pPr>
            <w:r>
              <w:rPr>
                <w:rStyle w:val="8"/>
                <w:rFonts w:eastAsia="仿宋_GB2312"/>
                <w:color w:val="auto"/>
                <w:sz w:val="28"/>
                <w:szCs w:val="28"/>
              </w:rPr>
              <w:t>提名意见</w:t>
            </w:r>
          </w:p>
        </w:tc>
        <w:tc>
          <w:tcPr>
            <w:tcW w:w="6237" w:type="dxa"/>
            <w:vAlign w:val="center"/>
          </w:tcPr>
          <w:p>
            <w:pPr>
              <w:spacing w:line="440" w:lineRule="exact"/>
              <w:ind w:firstLine="480" w:firstLineChars="200"/>
              <w:rPr>
                <w:rFonts w:hint="default" w:ascii="Arial" w:hAnsi="Arial" w:eastAsia="仿宋_GB2312" w:cs="Arial"/>
                <w:bCs/>
                <w:sz w:val="24"/>
                <w:szCs w:val="24"/>
              </w:rPr>
            </w:pPr>
            <w:r>
              <w:rPr>
                <w:rFonts w:hint="default" w:ascii="Arial" w:hAnsi="Arial" w:eastAsia="仿宋_GB2312" w:cs="Arial"/>
                <w:bCs/>
                <w:sz w:val="24"/>
                <w:szCs w:val="24"/>
              </w:rPr>
              <w:t>儿童青少年肥胖代谢性疾病的早期诊断及精准评估是成人心血管疾病防治窗口前移的关键措施，也是保障儿童青少年健康的重中之重。研究团队开展了大量基础和临床研究，取得了系列成果。</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1、在构建我国最为完整的儿童青少年肥胖代谢性疾病专病队列、临床样本库和数据库基础上，明确了我国儿童青少年肥胖代谢性疾病关键的流行病学、生物学特征，为早期识别、评估和精准诊治提供了依据。</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2、首次构建了符合中国儿童青少年特点的系列饮食量表，发现食物成瘾是中国超重肥胖儿童青少年的显著特质。首次通过饮食结构与下丘脑炎症之间的关系研究，阐明了中枢能量奖赏机制在食物成瘾导致肥胖病理过程中的作用。首次验证了低糖低麦麸饮食干预能有效打破中国肥胖儿童青少年食物成瘾状态，开展了群体饮食干预。</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3、率先构建完整的适合中国儿童青少年的基于MRI-PDFF与SSFP技术 的NAFLD无创定量诊断技术体系。首次构建基于胰岛功能的儿童NAFLD临床分型标准体系及多场景早期预测模型。全新开发了以NAFLD为应用代表的儿童代谢性疾病新型精准诊断网络工具。</w:t>
            </w:r>
          </w:p>
          <w:p>
            <w:pPr>
              <w:spacing w:line="440" w:lineRule="exact"/>
              <w:rPr>
                <w:rFonts w:hint="default" w:ascii="Arial" w:hAnsi="Arial" w:eastAsia="仿宋_GB2312" w:cs="Arial"/>
                <w:bCs/>
                <w:sz w:val="24"/>
                <w:szCs w:val="24"/>
              </w:rPr>
            </w:pPr>
            <w:r>
              <w:rPr>
                <w:rFonts w:hint="default" w:ascii="Arial" w:hAnsi="Arial" w:eastAsia="仿宋_GB2312" w:cs="Arial"/>
                <w:bCs/>
                <w:sz w:val="24"/>
                <w:szCs w:val="24"/>
              </w:rPr>
              <w:t>4、在国内首次提出儿童青少年肥胖代谢性疾病家-校-医全链条协同防控理念，构建并全面推广了适合中国国情的疾病创新防控体系。</w:t>
            </w:r>
          </w:p>
          <w:p>
            <w:pPr>
              <w:spacing w:line="440" w:lineRule="exact"/>
              <w:ind w:firstLine="480" w:firstLineChars="200"/>
              <w:rPr>
                <w:rFonts w:hint="default" w:ascii="Arial" w:hAnsi="Arial" w:eastAsia="仿宋_GB2312" w:cs="Arial"/>
                <w:bCs/>
                <w:sz w:val="24"/>
                <w:szCs w:val="24"/>
              </w:rPr>
            </w:pPr>
            <w:r>
              <w:rPr>
                <w:rFonts w:hint="default" w:ascii="Arial" w:hAnsi="Arial" w:eastAsia="仿宋_GB2312" w:cs="Arial"/>
                <w:bCs/>
                <w:sz w:val="24"/>
                <w:szCs w:val="24"/>
              </w:rPr>
              <w:t>项目组创立的疾病早期诊断与精准评估关键技术在全国50余家核心医院推广应用。为提高我国儿童青少年肥胖代谢性疾病的综合防治水平，为疾病防治“重心前移、重心下移”提供了技术支撑。</w:t>
            </w:r>
          </w:p>
          <w:p>
            <w:pPr>
              <w:spacing w:line="440" w:lineRule="exact"/>
              <w:ind w:firstLine="480" w:firstLineChars="200"/>
              <w:rPr>
                <w:rFonts w:hint="default" w:ascii="Arial" w:hAnsi="Arial" w:eastAsia="仿宋_GB2312" w:cs="Arial"/>
                <w:sz w:val="24"/>
                <w:szCs w:val="24"/>
              </w:rPr>
            </w:pPr>
            <w:r>
              <w:rPr>
                <w:rFonts w:hint="default" w:ascii="Arial" w:hAnsi="Arial" w:eastAsia="仿宋_GB2312" w:cs="Arial"/>
                <w:bCs/>
                <w:sz w:val="24"/>
                <w:szCs w:val="24"/>
              </w:rPr>
              <w:t>提名该成果为省科学技术进步奖一等奖。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C3B84"/>
    <w:multiLevelType w:val="multilevel"/>
    <w:tmpl w:val="1B6C3B84"/>
    <w:lvl w:ilvl="0" w:tentative="0">
      <w:start w:val="1"/>
      <w:numFmt w:val="decimalEnclosedCircle"/>
      <w:lvlText w:val="%1"/>
      <w:lvlJc w:val="left"/>
      <w:pPr>
        <w:ind w:left="420" w:hanging="42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702611"/>
    <w:multiLevelType w:val="multilevel"/>
    <w:tmpl w:val="757026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Yjc3MGRiNzI1MDY1NDgwNjBjYzEyMDk3NjZlNGEifQ=="/>
  </w:docVars>
  <w:rsids>
    <w:rsidRoot w:val="00043CC4"/>
    <w:rsid w:val="00036B29"/>
    <w:rsid w:val="00043CC4"/>
    <w:rsid w:val="000645B3"/>
    <w:rsid w:val="00065320"/>
    <w:rsid w:val="00071A1C"/>
    <w:rsid w:val="00075D24"/>
    <w:rsid w:val="00076382"/>
    <w:rsid w:val="000808C3"/>
    <w:rsid w:val="000906DE"/>
    <w:rsid w:val="000A43ED"/>
    <w:rsid w:val="000B0628"/>
    <w:rsid w:val="000B1625"/>
    <w:rsid w:val="000D171A"/>
    <w:rsid w:val="000D2E93"/>
    <w:rsid w:val="000F494B"/>
    <w:rsid w:val="000F5D97"/>
    <w:rsid w:val="00131E70"/>
    <w:rsid w:val="00140991"/>
    <w:rsid w:val="0014778C"/>
    <w:rsid w:val="001A321B"/>
    <w:rsid w:val="001A7DAD"/>
    <w:rsid w:val="001F6B9C"/>
    <w:rsid w:val="00225257"/>
    <w:rsid w:val="00246FAF"/>
    <w:rsid w:val="0027127D"/>
    <w:rsid w:val="0029314E"/>
    <w:rsid w:val="002C2E81"/>
    <w:rsid w:val="002C4093"/>
    <w:rsid w:val="00307DD5"/>
    <w:rsid w:val="00313875"/>
    <w:rsid w:val="003571F8"/>
    <w:rsid w:val="003A5E4D"/>
    <w:rsid w:val="00456126"/>
    <w:rsid w:val="004573C1"/>
    <w:rsid w:val="004C307C"/>
    <w:rsid w:val="004E0862"/>
    <w:rsid w:val="004E359A"/>
    <w:rsid w:val="004E6B69"/>
    <w:rsid w:val="005027AE"/>
    <w:rsid w:val="005469C3"/>
    <w:rsid w:val="00562CF2"/>
    <w:rsid w:val="00564A80"/>
    <w:rsid w:val="00566A2B"/>
    <w:rsid w:val="00597175"/>
    <w:rsid w:val="005D37A3"/>
    <w:rsid w:val="0060658F"/>
    <w:rsid w:val="00627C80"/>
    <w:rsid w:val="00673E39"/>
    <w:rsid w:val="00675889"/>
    <w:rsid w:val="0068102E"/>
    <w:rsid w:val="006A6D74"/>
    <w:rsid w:val="006C4D73"/>
    <w:rsid w:val="006C681B"/>
    <w:rsid w:val="006F1FF3"/>
    <w:rsid w:val="00702FBA"/>
    <w:rsid w:val="00721A6D"/>
    <w:rsid w:val="007342B4"/>
    <w:rsid w:val="007703AA"/>
    <w:rsid w:val="00774807"/>
    <w:rsid w:val="0078492F"/>
    <w:rsid w:val="007B5FFC"/>
    <w:rsid w:val="007D3F2A"/>
    <w:rsid w:val="007E4B24"/>
    <w:rsid w:val="00810B4C"/>
    <w:rsid w:val="008171FF"/>
    <w:rsid w:val="00881BD0"/>
    <w:rsid w:val="0091765C"/>
    <w:rsid w:val="00921AA4"/>
    <w:rsid w:val="00922096"/>
    <w:rsid w:val="00922A33"/>
    <w:rsid w:val="009265DE"/>
    <w:rsid w:val="00943E3C"/>
    <w:rsid w:val="00953A43"/>
    <w:rsid w:val="009715B5"/>
    <w:rsid w:val="00980153"/>
    <w:rsid w:val="009812C7"/>
    <w:rsid w:val="009C427D"/>
    <w:rsid w:val="009D3366"/>
    <w:rsid w:val="009F3C9B"/>
    <w:rsid w:val="00A223C7"/>
    <w:rsid w:val="00A46691"/>
    <w:rsid w:val="00A7477D"/>
    <w:rsid w:val="00A90245"/>
    <w:rsid w:val="00AB1194"/>
    <w:rsid w:val="00AC7DB5"/>
    <w:rsid w:val="00B02492"/>
    <w:rsid w:val="00B11C21"/>
    <w:rsid w:val="00B34B64"/>
    <w:rsid w:val="00B5125C"/>
    <w:rsid w:val="00B515CE"/>
    <w:rsid w:val="00B53DF1"/>
    <w:rsid w:val="00BA0B43"/>
    <w:rsid w:val="00BD0A79"/>
    <w:rsid w:val="00C06906"/>
    <w:rsid w:val="00C97531"/>
    <w:rsid w:val="00CB7B6B"/>
    <w:rsid w:val="00CE48FA"/>
    <w:rsid w:val="00CF609C"/>
    <w:rsid w:val="00D168AD"/>
    <w:rsid w:val="00D24243"/>
    <w:rsid w:val="00D42B6D"/>
    <w:rsid w:val="00D719AB"/>
    <w:rsid w:val="00DA54FB"/>
    <w:rsid w:val="00DD7F31"/>
    <w:rsid w:val="00E16045"/>
    <w:rsid w:val="00E17C16"/>
    <w:rsid w:val="00E35661"/>
    <w:rsid w:val="00E47BA0"/>
    <w:rsid w:val="00E631EF"/>
    <w:rsid w:val="00E640A7"/>
    <w:rsid w:val="00E662D0"/>
    <w:rsid w:val="00E67474"/>
    <w:rsid w:val="00E842C6"/>
    <w:rsid w:val="00E87E3B"/>
    <w:rsid w:val="00EA7869"/>
    <w:rsid w:val="00EC225F"/>
    <w:rsid w:val="00EC7FD7"/>
    <w:rsid w:val="00EE204B"/>
    <w:rsid w:val="00EF7586"/>
    <w:rsid w:val="00F00946"/>
    <w:rsid w:val="00F03906"/>
    <w:rsid w:val="00F262D0"/>
    <w:rsid w:val="00F740C0"/>
    <w:rsid w:val="00FC6FC8"/>
    <w:rsid w:val="00FE61C7"/>
    <w:rsid w:val="1D8C35FD"/>
    <w:rsid w:val="FBD3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rFonts w:asciiTheme="minorHAnsi" w:hAnsiTheme="minorHAnsi" w:eastAsiaTheme="minorEastAsia" w:cstheme="minorBidi"/>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title1"/>
    <w:qFormat/>
    <w:uiPriority w:val="0"/>
    <w:rPr>
      <w:b/>
      <w:bCs/>
      <w:color w:val="999900"/>
      <w:sz w:val="24"/>
      <w:szCs w:val="24"/>
    </w:rPr>
  </w:style>
  <w:style w:type="character" w:customStyle="1" w:styleId="9">
    <w:name w:val="页眉 字符"/>
    <w:basedOn w:val="7"/>
    <w:link w:val="4"/>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1732</Words>
  <Characters>2721</Characters>
  <Lines>21</Lines>
  <Paragraphs>5</Paragraphs>
  <TotalTime>306</TotalTime>
  <ScaleCrop>false</ScaleCrop>
  <LinksUpToDate>false</LinksUpToDate>
  <CharactersWithSpaces>2941</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2022-02-17T13:58:00Z</dcterms:created>
  <dc:creator>丁雯</dc:creator>
  <cp:lastModifiedBy>白炽</cp:lastModifiedBy>
  <dcterms:modified xsi:type="dcterms:W3CDTF">2024-08-13T22:17:11Z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B539B58FD1364DFDE76ABB6629CC405D</vt:lpwstr>
  </property>
</Properties>
</file>