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8F71" w14:textId="37D90DA9" w:rsidR="00E6367F" w:rsidRPr="00E6367F" w:rsidRDefault="00E6367F" w:rsidP="00E6367F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E6367F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E6367F">
        <w:rPr>
          <w:rStyle w:val="title1"/>
          <w:rFonts w:eastAsia="仿宋_GB2312"/>
          <w:color w:val="auto"/>
          <w:sz w:val="32"/>
          <w:szCs w:val="32"/>
        </w:rPr>
        <w:t>（</w:t>
      </w:r>
      <w:r>
        <w:rPr>
          <w:rStyle w:val="title1"/>
          <w:rFonts w:eastAsia="仿宋_GB2312" w:hint="eastAsia"/>
          <w:color w:val="auto"/>
          <w:sz w:val="32"/>
          <w:szCs w:val="32"/>
        </w:rPr>
        <w:t>单位</w:t>
      </w:r>
      <w:r w:rsidRPr="00E6367F">
        <w:rPr>
          <w:rStyle w:val="title1"/>
          <w:rFonts w:eastAsia="仿宋_GB2312"/>
          <w:color w:val="auto"/>
          <w:sz w:val="32"/>
          <w:szCs w:val="32"/>
        </w:rPr>
        <w:t>提名）</w:t>
      </w:r>
    </w:p>
    <w:p w14:paraId="45E4C64E" w14:textId="629C29C7" w:rsidR="00E6367F" w:rsidRPr="00E6367F" w:rsidRDefault="00E6367F" w:rsidP="00E6367F">
      <w:pPr>
        <w:spacing w:line="440" w:lineRule="exact"/>
        <w:rPr>
          <w:rFonts w:eastAsia="仿宋_GB2312"/>
          <w:sz w:val="28"/>
          <w:szCs w:val="24"/>
        </w:rPr>
      </w:pPr>
      <w:r w:rsidRPr="00E6367F"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E6367F" w:rsidRPr="00E6367F" w14:paraId="3DCA933D" w14:textId="77777777" w:rsidTr="00347F74">
        <w:trPr>
          <w:trHeight w:val="647"/>
        </w:trPr>
        <w:tc>
          <w:tcPr>
            <w:tcW w:w="2269" w:type="dxa"/>
            <w:vAlign w:val="center"/>
          </w:tcPr>
          <w:p w14:paraId="74987985" w14:textId="77777777" w:rsidR="00E6367F" w:rsidRPr="00E6367F" w:rsidRDefault="00E6367F" w:rsidP="00347F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6367F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87AE5B2" w14:textId="5F50EED2" w:rsidR="00E6367F" w:rsidRPr="00E6367F" w:rsidRDefault="00E6367F" w:rsidP="00347F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0" w:name="_Hlk166412044"/>
            <w:r>
              <w:rPr>
                <w:rFonts w:eastAsia="仿宋_GB2312" w:hint="eastAsia"/>
                <w:sz w:val="24"/>
                <w:szCs w:val="24"/>
              </w:rPr>
              <w:t>中国遗传性结直肠癌筛查、诊断与家系管理模式的建立与应用推广</w:t>
            </w:r>
            <w:bookmarkEnd w:id="0"/>
          </w:p>
        </w:tc>
      </w:tr>
      <w:tr w:rsidR="00E6367F" w:rsidRPr="00E6367F" w14:paraId="798AF6FA" w14:textId="77777777" w:rsidTr="00347F74">
        <w:trPr>
          <w:trHeight w:val="561"/>
        </w:trPr>
        <w:tc>
          <w:tcPr>
            <w:tcW w:w="2269" w:type="dxa"/>
            <w:vAlign w:val="center"/>
          </w:tcPr>
          <w:p w14:paraId="1F7F6022" w14:textId="77777777" w:rsidR="00E6367F" w:rsidRPr="00E6367F" w:rsidRDefault="00E6367F" w:rsidP="00347F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6367F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7497AB13" w14:textId="036B167C" w:rsidR="00E6367F" w:rsidRPr="00E6367F" w:rsidRDefault="00E6367F" w:rsidP="00347F74">
            <w:pPr>
              <w:jc w:val="center"/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E6367F" w:rsidRPr="00E6367F" w14:paraId="2E6BC7F0" w14:textId="77777777" w:rsidTr="00347F74">
        <w:trPr>
          <w:trHeight w:val="2319"/>
        </w:trPr>
        <w:tc>
          <w:tcPr>
            <w:tcW w:w="2269" w:type="dxa"/>
            <w:vAlign w:val="center"/>
          </w:tcPr>
          <w:p w14:paraId="6331D76B" w14:textId="77777777" w:rsidR="00E6367F" w:rsidRPr="00E6367F" w:rsidRDefault="00E6367F" w:rsidP="00347F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6367F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A2214CB" w14:textId="77777777" w:rsidR="00E6367F" w:rsidRPr="00E6367F" w:rsidRDefault="00E6367F" w:rsidP="00347F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6367F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3DFDE9C" w14:textId="2BBD53D2" w:rsidR="00E6367F" w:rsidRPr="00E6367F" w:rsidRDefault="00E6367F" w:rsidP="00347F7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6367F">
              <w:rPr>
                <w:rFonts w:eastAsia="仿宋_GB2312"/>
                <w:bCs/>
                <w:sz w:val="24"/>
                <w:szCs w:val="24"/>
              </w:rPr>
              <w:t>科学技术进步奖：提名书的主要知识产权和标准规范目录、代表性论文专著目录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（附后）</w:t>
            </w:r>
            <w:r w:rsidRPr="00E6367F">
              <w:rPr>
                <w:rFonts w:eastAsia="仿宋_GB2312"/>
                <w:bCs/>
                <w:sz w:val="24"/>
                <w:szCs w:val="24"/>
              </w:rPr>
              <w:t>。</w:t>
            </w:r>
          </w:p>
        </w:tc>
      </w:tr>
      <w:tr w:rsidR="00E6367F" w:rsidRPr="00E6367F" w14:paraId="338B8295" w14:textId="77777777" w:rsidTr="00347F74">
        <w:trPr>
          <w:trHeight w:val="197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7E1FDAD" w14:textId="77777777" w:rsidR="00E6367F" w:rsidRPr="00E6367F" w:rsidRDefault="00E6367F" w:rsidP="00347F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6367F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B0D3A70" w14:textId="77777777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袁瑛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587B593" w14:textId="77777777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丁克峰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24DAEE7" w14:textId="77777777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丁培荣</w:t>
            </w:r>
            <w:proofErr w:type="gramEnd"/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中山大学肿瘤防治中心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93BC058" w14:textId="77777777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杨梦园</w:t>
            </w:r>
            <w:proofErr w:type="gramEnd"/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44E9D13" w14:textId="77777777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姜武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中山大学肿瘤防治中心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6ECC914" w14:textId="77777777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徐栋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4EAE2AD" w14:textId="77777777" w:rsidR="00E6367F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李丹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6103A48" w14:textId="35318875" w:rsidR="00E6367F" w:rsidRPr="00E6367F" w:rsidRDefault="00E6367F" w:rsidP="00E6367F">
            <w:pPr>
              <w:spacing w:line="440" w:lineRule="exact"/>
              <w:rPr>
                <w:rFonts w:eastAsia="仿宋_GB2312" w:hint="eastAsia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吴晓丹，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E6367F">
              <w:rPr>
                <w:rFonts w:eastAsia="仿宋_GB2312"/>
                <w:bCs/>
                <w:sz w:val="24"/>
                <w:szCs w:val="24"/>
              </w:rPr>
              <w:t>副主任护师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中山大学肿瘤防治中心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206DB97" w14:textId="48772DCA" w:rsidR="00E6367F" w:rsidRPr="007A378A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张苏展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765B2DD" w14:textId="77D438A5" w:rsidR="00E6367F" w:rsidRPr="00E6367F" w:rsidRDefault="00E6367F" w:rsidP="00E6367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郑树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浙江大学医学院附属第二医院。</w:t>
            </w:r>
          </w:p>
        </w:tc>
      </w:tr>
      <w:tr w:rsidR="00E6367F" w:rsidRPr="00E6367F" w14:paraId="79AFDC57" w14:textId="77777777" w:rsidTr="00347F74">
        <w:trPr>
          <w:trHeight w:val="197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A1D4DBF" w14:textId="77777777" w:rsidR="00E6367F" w:rsidRPr="00E6367F" w:rsidRDefault="00E6367F" w:rsidP="00347F7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E6367F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9A01CC0" w14:textId="3B49A238" w:rsidR="00E6367F" w:rsidRPr="007A378A" w:rsidRDefault="00E6367F" w:rsidP="00E6367F">
            <w:pPr>
              <w:spacing w:line="44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2448504" w14:textId="2E7BB44A" w:rsidR="00E6367F" w:rsidRPr="00E6367F" w:rsidRDefault="00E6367F" w:rsidP="00E6367F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中山大学肿瘤防治中心。</w:t>
            </w:r>
          </w:p>
        </w:tc>
      </w:tr>
      <w:tr w:rsidR="00E6367F" w:rsidRPr="00E6367F" w14:paraId="3D022C2A" w14:textId="77777777" w:rsidTr="00E6367F">
        <w:trPr>
          <w:trHeight w:val="8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F967" w14:textId="76572D26" w:rsidR="00E6367F" w:rsidRPr="00E6367F" w:rsidRDefault="00E6367F" w:rsidP="00347F74">
            <w:pPr>
              <w:spacing w:line="440" w:lineRule="exact"/>
              <w:jc w:val="center"/>
              <w:rPr>
                <w:rStyle w:val="title1"/>
                <w:rFonts w:eastAsia="仿宋" w:hint="eastAsia"/>
                <w:b w:val="0"/>
                <w:bCs w:val="0"/>
                <w:color w:val="auto"/>
                <w:sz w:val="28"/>
              </w:rPr>
            </w:pPr>
            <w:r w:rsidRPr="00E6367F">
              <w:rPr>
                <w:rStyle w:val="title1"/>
                <w:rFonts w:eastAsia="仿宋"/>
                <w:color w:val="auto"/>
                <w:sz w:val="28"/>
              </w:rPr>
              <w:t>提名</w:t>
            </w:r>
            <w:r>
              <w:rPr>
                <w:rStyle w:val="title1"/>
                <w:rFonts w:eastAsia="仿宋" w:hint="eastAsia"/>
                <w:color w:val="auto"/>
                <w:sz w:val="28"/>
              </w:rPr>
              <w:t>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7E12" w14:textId="6EAC6E09" w:rsidR="00E6367F" w:rsidRPr="00E6367F" w:rsidRDefault="00E6367F" w:rsidP="00347F74">
            <w:pPr>
              <w:contextualSpacing/>
              <w:jc w:val="left"/>
              <w:rPr>
                <w:rStyle w:val="title1"/>
                <w:rFonts w:hint="eastAsia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E6367F" w:rsidRPr="00E6367F" w14:paraId="377FD816" w14:textId="77777777" w:rsidTr="00347F74">
        <w:trPr>
          <w:trHeight w:val="17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26DE" w14:textId="77777777" w:rsidR="00E6367F" w:rsidRPr="00E6367F" w:rsidRDefault="00E6367F" w:rsidP="00347F74">
            <w:pPr>
              <w:spacing w:line="440" w:lineRule="exact"/>
              <w:jc w:val="center"/>
              <w:rPr>
                <w:rStyle w:val="title1"/>
                <w:rFonts w:eastAsia="仿宋"/>
                <w:b w:val="0"/>
                <w:bCs w:val="0"/>
                <w:color w:val="auto"/>
                <w:sz w:val="28"/>
              </w:rPr>
            </w:pPr>
            <w:r w:rsidRPr="00E6367F">
              <w:rPr>
                <w:rStyle w:val="title1"/>
                <w:rFonts w:eastAsia="仿宋"/>
                <w:color w:val="auto"/>
                <w:sz w:val="28"/>
              </w:rPr>
              <w:lastRenderedPageBreak/>
              <w:t>提名意见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D121" w14:textId="77777777" w:rsidR="00E6367F" w:rsidRDefault="00E6367F" w:rsidP="00E6367F">
            <w:pPr>
              <w:spacing w:line="276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遗传性结直肠癌是一种“发现难、诊断难、治疗难、管理难”的恶性肿瘤疾病。本成果“中国遗传性结直肠癌</w:t>
            </w:r>
            <w:r w:rsidRPr="00E6367F">
              <w:rPr>
                <w:rFonts w:ascii="仿宋" w:eastAsia="仿宋" w:hAnsi="仿宋" w:hint="eastAsia"/>
                <w:sz w:val="24"/>
                <w:szCs w:val="24"/>
              </w:rPr>
              <w:t>筛查、诊断与家系管理模式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的建立与应用推广”为患者提供了一种简便、高效的、准确的筛查、诊断模式，和一个家系成员健康管理、优生优育的体系，具有极好的推广应用价值与前景。</w:t>
            </w:r>
          </w:p>
          <w:p w14:paraId="614FDC0B" w14:textId="77777777" w:rsidR="00E6367F" w:rsidRDefault="00E6367F" w:rsidP="00EB6823">
            <w:pPr>
              <w:spacing w:line="276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以遗传性结直肠癌中最主要的两类：Lynch综合征和家族性腺瘤性息肉病（FAP）为抓手，分别从遗传性结直肠癌的人群筛查、发生机制与全程管理三方面，取得了一系列科技创新成果，总结如下:基于中国人群提出具有中国特色、更符合中国国情的遗传性结直肠癌筛查策略，大幅提高人群筛查效率与疾病诊断率；对已知基因挖掘致病新机制、从特殊人群发现致病新基因；开设遗传门诊、规范家系管理、发现携带者、提供肿瘤发生前干预、优生优育的指导，撰写指南规范与专家共识、积极组织全国巡讲、提高中国医师对遗传性结直肠癌的关注与认识，建立大规模的中国人遗传性结直肠癌样本库与数据库等管理平台。</w:t>
            </w:r>
          </w:p>
          <w:p w14:paraId="1E90E3CC" w14:textId="72EC1F54" w:rsidR="00E6367F" w:rsidRPr="00E6367F" w:rsidRDefault="00E6367F" w:rsidP="00EB6823">
            <w:pPr>
              <w:spacing w:line="276" w:lineRule="auto"/>
              <w:contextualSpacing/>
              <w:jc w:val="left"/>
              <w:rPr>
                <w:rStyle w:val="title1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该成果辐射至国内省内多家医院，</w:t>
            </w:r>
            <w:r w:rsidRPr="00EB6823">
              <w:rPr>
                <w:rFonts w:ascii="仿宋" w:eastAsia="仿宋" w:hAnsi="仿宋" w:hint="eastAsia"/>
                <w:sz w:val="24"/>
                <w:szCs w:val="24"/>
              </w:rPr>
              <w:t>对约</w:t>
            </w:r>
            <w:r w:rsidR="00EB6823" w:rsidRPr="00EB6823"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proofErr w:type="gramStart"/>
            <w:r w:rsidR="00EB6823" w:rsidRPr="00EB6823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EB6823">
              <w:rPr>
                <w:rFonts w:ascii="仿宋" w:eastAsia="仿宋" w:hAnsi="仿宋" w:hint="eastAsia"/>
                <w:sz w:val="24"/>
                <w:szCs w:val="24"/>
              </w:rPr>
              <w:t>万例结直肠癌</w:t>
            </w:r>
            <w:proofErr w:type="gramEnd"/>
            <w:r w:rsidRPr="00EB6823">
              <w:rPr>
                <w:rFonts w:ascii="仿宋" w:eastAsia="仿宋" w:hAnsi="仿宋" w:hint="eastAsia"/>
                <w:sz w:val="24"/>
                <w:szCs w:val="24"/>
              </w:rPr>
              <w:t>患者进行遗传筛查，已筛</w:t>
            </w:r>
            <w:proofErr w:type="gramStart"/>
            <w:r w:rsidRPr="00EB6823">
              <w:rPr>
                <w:rFonts w:ascii="仿宋" w:eastAsia="仿宋" w:hAnsi="仿宋" w:hint="eastAsia"/>
                <w:sz w:val="24"/>
                <w:szCs w:val="24"/>
              </w:rPr>
              <w:t>査</w:t>
            </w:r>
            <w:proofErr w:type="gramEnd"/>
            <w:r w:rsidRPr="00EB6823">
              <w:rPr>
                <w:rFonts w:ascii="仿宋" w:eastAsia="仿宋" w:hAnsi="仿宋" w:hint="eastAsia"/>
                <w:sz w:val="24"/>
                <w:szCs w:val="24"/>
              </w:rPr>
              <w:t>出</w:t>
            </w:r>
            <w:r w:rsidR="00EB6823" w:rsidRPr="00EB6823">
              <w:rPr>
                <w:rFonts w:ascii="仿宋" w:eastAsia="仿宋" w:hAnsi="仿宋" w:hint="eastAsia"/>
                <w:sz w:val="24"/>
                <w:szCs w:val="24"/>
              </w:rPr>
              <w:t>五千余</w:t>
            </w:r>
            <w:r w:rsidRPr="00EB6823">
              <w:rPr>
                <w:rFonts w:ascii="仿宋" w:eastAsia="仿宋" w:hAnsi="仿宋" w:hint="eastAsia"/>
                <w:sz w:val="24"/>
                <w:szCs w:val="24"/>
              </w:rPr>
              <w:t>例遗传性结直肠癌高风险患者进行后续的遗传咨询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指导遗传性结直肠癌诊治、家系管理以及优生优育的致病基因阻断。该项成果确诊的遗传性结直肠癌家系千余个，推广效益显著，社会经济效益良好，为我国遗传性结直肠癌诊疗发展做出了重大贡献，总体成果达到国际一流、国内领先水平。</w:t>
            </w:r>
          </w:p>
        </w:tc>
      </w:tr>
    </w:tbl>
    <w:p w14:paraId="3E9188B4" w14:textId="77777777" w:rsidR="00E6367F" w:rsidRDefault="00E6367F" w:rsidP="00E6367F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4EB0FAF" w14:textId="77777777" w:rsidR="00EB6823" w:rsidRDefault="00EB6823" w:rsidP="00EB6823">
      <w:pPr>
        <w:pStyle w:val="a7"/>
        <w:jc w:val="center"/>
        <w:rPr>
          <w:rFonts w:eastAsia="方正黑体简体"/>
          <w:sz w:val="32"/>
          <w:szCs w:val="22"/>
        </w:rPr>
        <w:sectPr w:rsidR="00EB6823" w:rsidSect="00EB6823">
          <w:pgSz w:w="12242" w:h="15842"/>
          <w:pgMar w:top="1247" w:right="1134" w:bottom="1247" w:left="1418" w:header="851" w:footer="794" w:gutter="0"/>
          <w:cols w:space="720"/>
        </w:sectPr>
      </w:pPr>
    </w:p>
    <w:p w14:paraId="45F59E6E" w14:textId="77777777" w:rsidR="00EB6823" w:rsidRDefault="00EB6823" w:rsidP="00EB6823">
      <w:pPr>
        <w:pStyle w:val="a7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七、主要知识产权和标准规范目录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215"/>
        <w:gridCol w:w="2215"/>
      </w:tblGrid>
      <w:tr w:rsidR="00EB6823" w14:paraId="4E0A4B7F" w14:textId="77777777" w:rsidTr="00347F74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714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743B614A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ACC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31C6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E0C6593" w14:textId="77777777" w:rsidR="00EB6823" w:rsidRDefault="00EB6823" w:rsidP="00347F74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0ED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5FA78CD9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846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7722AE4B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08855D6C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A8B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D2F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A31F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CE4E" w14:textId="77777777" w:rsidR="00EB6823" w:rsidRDefault="00EB6823" w:rsidP="00347F7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EB6823" w14:paraId="059B2B87" w14:textId="77777777" w:rsidTr="00347F74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13B6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计算机软件著作权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F63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林奇综合征风险预测软件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CC97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C77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021SR1652309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260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021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>11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>05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236" w14:textId="77777777" w:rsidR="00EB6823" w:rsidRDefault="00EB6823" w:rsidP="00347F74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CB0" w14:textId="77777777" w:rsidR="00EB6823" w:rsidRDefault="00EB6823" w:rsidP="00347F74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B6F" w14:textId="77777777" w:rsidR="00EB6823" w:rsidRDefault="00EB6823" w:rsidP="00347F74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F98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EB6823" w14:paraId="52CE538E" w14:textId="77777777" w:rsidTr="00347F74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B16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标准规范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8CD" w14:textId="77777777" w:rsidR="00EB6823" w:rsidRDefault="00EB6823" w:rsidP="00347F74">
            <w:pPr>
              <w:rPr>
                <w:sz w:val="28"/>
                <w:szCs w:val="28"/>
              </w:rPr>
            </w:pPr>
            <w:bookmarkStart w:id="1" w:name="_Hlk129459086"/>
            <w:r>
              <w:rPr>
                <w:rFonts w:eastAsia="仿宋_GB2312" w:hint="eastAsia"/>
                <w:sz w:val="24"/>
                <w:szCs w:val="21"/>
              </w:rPr>
              <w:t>遗传性结直肠癌临床诊治和家系管理中国专家共识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A32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552" w14:textId="77777777" w:rsidR="00EB6823" w:rsidRDefault="00EB6823" w:rsidP="00347F74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683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018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A25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中华肿瘤杂志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43E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中国抗癌协会大肠癌专业委员会遗传学组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A950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袁瑛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AAC" w14:textId="77777777" w:rsidR="00EB6823" w:rsidRDefault="00EB6823" w:rsidP="00347F7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EB6823" w14:paraId="0A9B3F4C" w14:textId="77777777" w:rsidTr="00347F74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E14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标准规范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9E5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结直肠癌及其他相关实体瘤微卫星不稳定性检测中国专家共识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DDC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854" w14:textId="77777777" w:rsidR="00EB6823" w:rsidRDefault="00EB6823" w:rsidP="00347F74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6C54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2019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>10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5E1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中华肿瘤杂志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788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中国临床肿瘤学会结直肠癌专家委员会、中国抗癌协会大肠癌专业委员会遗传学组、中国医师协会结直肠肿瘤专业委员会遗传专委会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821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袁瑛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48C" w14:textId="77777777" w:rsidR="00EB6823" w:rsidRDefault="00EB6823" w:rsidP="00347F74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</w:tbl>
    <w:p w14:paraId="00D7F153" w14:textId="77777777" w:rsidR="00EB6823" w:rsidRDefault="00EB6823" w:rsidP="00EB6823">
      <w:pPr>
        <w:rPr>
          <w:rFonts w:eastAsia="黑体"/>
          <w:sz w:val="32"/>
          <w:szCs w:val="32"/>
        </w:rPr>
      </w:pPr>
    </w:p>
    <w:p w14:paraId="77519ECB" w14:textId="77777777" w:rsidR="00EB6823" w:rsidRDefault="00EB6823" w:rsidP="00EB6823">
      <w:pPr>
        <w:spacing w:beforeAutospacing="1" w:afterAutospacing="1"/>
        <w:rPr>
          <w:rFonts w:eastAsia="黑体"/>
          <w:kern w:val="0"/>
          <w:sz w:val="32"/>
          <w:szCs w:val="32"/>
        </w:rPr>
        <w:sectPr w:rsidR="00EB6823" w:rsidSect="00EB6823">
          <w:pgSz w:w="15842" w:h="12242" w:orient="landscape"/>
          <w:pgMar w:top="1418" w:right="1247" w:bottom="1134" w:left="1247" w:header="851" w:footer="794" w:gutter="0"/>
          <w:cols w:space="720"/>
        </w:sectPr>
      </w:pPr>
    </w:p>
    <w:p w14:paraId="1145C0F2" w14:textId="77777777" w:rsidR="00EB6823" w:rsidRDefault="00EB6823" w:rsidP="00EB6823">
      <w:pPr>
        <w:pStyle w:val="a7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69"/>
        <w:gridCol w:w="963"/>
        <w:gridCol w:w="993"/>
        <w:gridCol w:w="850"/>
      </w:tblGrid>
      <w:tr w:rsidR="00EB6823" w14:paraId="6C29FCB1" w14:textId="77777777" w:rsidTr="00347F74">
        <w:trPr>
          <w:trHeight w:hRule="exact" w:val="677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B1D8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者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9293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论文专著名称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C27C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年卷</w:t>
            </w:r>
          </w:p>
          <w:p w14:paraId="6CF6C18C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0208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发表</w:t>
            </w:r>
          </w:p>
          <w:p w14:paraId="3796D595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  <w:p w14:paraId="308C8574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8231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他引</w:t>
            </w:r>
          </w:p>
          <w:p w14:paraId="07D75D7B" w14:textId="77777777" w:rsidR="00EB6823" w:rsidRDefault="00EB6823" w:rsidP="00347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总次数</w:t>
            </w:r>
          </w:p>
        </w:tc>
      </w:tr>
      <w:tr w:rsidR="00EB6823" w14:paraId="2443D344" w14:textId="77777777" w:rsidTr="00347F74">
        <w:trPr>
          <w:trHeight w:hRule="exact" w:val="3971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F74E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 xml:space="preserve">Mengyuan Yang, Dan Li, Wu Jiang, </w:t>
            </w:r>
            <w:proofErr w:type="spellStart"/>
            <w:r>
              <w:rPr>
                <w:szCs w:val="21"/>
              </w:rPr>
              <w:t>Lizhen</w:t>
            </w:r>
            <w:proofErr w:type="spellEnd"/>
            <w:r>
              <w:rPr>
                <w:szCs w:val="21"/>
              </w:rPr>
              <w:t xml:space="preserve"> Zhu, </w:t>
            </w:r>
            <w:proofErr w:type="spellStart"/>
            <w:r>
              <w:rPr>
                <w:szCs w:val="21"/>
              </w:rPr>
              <w:t>Haixing</w:t>
            </w:r>
            <w:proofErr w:type="spellEnd"/>
            <w:r>
              <w:rPr>
                <w:szCs w:val="21"/>
              </w:rPr>
              <w:t xml:space="preserve"> Ju, Yan Sun, </w:t>
            </w:r>
            <w:proofErr w:type="spellStart"/>
            <w:r>
              <w:rPr>
                <w:szCs w:val="21"/>
              </w:rPr>
              <w:t>Yuqiang</w:t>
            </w:r>
            <w:proofErr w:type="spellEnd"/>
            <w:r>
              <w:rPr>
                <w:szCs w:val="21"/>
              </w:rPr>
              <w:t xml:space="preserve"> Shan, </w:t>
            </w:r>
            <w:proofErr w:type="spellStart"/>
            <w:r>
              <w:rPr>
                <w:szCs w:val="21"/>
              </w:rPr>
              <w:t>Chunkang</w:t>
            </w:r>
            <w:proofErr w:type="spellEnd"/>
            <w:r>
              <w:rPr>
                <w:szCs w:val="21"/>
              </w:rPr>
              <w:t xml:space="preserve"> Yang, Jian Dong, Lin Wang, </w:t>
            </w:r>
            <w:proofErr w:type="spellStart"/>
            <w:r>
              <w:rPr>
                <w:szCs w:val="21"/>
              </w:rPr>
              <w:t>Baoping</w:t>
            </w:r>
            <w:proofErr w:type="spellEnd"/>
            <w:r>
              <w:rPr>
                <w:szCs w:val="21"/>
              </w:rPr>
              <w:t xml:space="preserve"> Wu, Meng Qiu, </w:t>
            </w:r>
            <w:proofErr w:type="spellStart"/>
            <w:r>
              <w:rPr>
                <w:szCs w:val="21"/>
              </w:rPr>
              <w:t>Xianli</w:t>
            </w:r>
            <w:proofErr w:type="spellEnd"/>
            <w:r>
              <w:rPr>
                <w:szCs w:val="21"/>
              </w:rPr>
              <w:t xml:space="preserve"> Yin, Xicheng Wang, Bin Xiong, Wei Yan, Tao Liu, </w:t>
            </w:r>
            <w:proofErr w:type="spellStart"/>
            <w:r>
              <w:rPr>
                <w:szCs w:val="21"/>
              </w:rPr>
              <w:t>Chenglin</w:t>
            </w:r>
            <w:proofErr w:type="spellEnd"/>
            <w:r>
              <w:rPr>
                <w:szCs w:val="21"/>
              </w:rPr>
              <w:t xml:space="preserve"> Liu, </w:t>
            </w:r>
            <w:proofErr w:type="spellStart"/>
            <w:r>
              <w:rPr>
                <w:szCs w:val="21"/>
              </w:rPr>
              <w:t>Xinru</w:t>
            </w:r>
            <w:proofErr w:type="spellEnd"/>
            <w:r>
              <w:rPr>
                <w:szCs w:val="21"/>
              </w:rPr>
              <w:t xml:space="preserve"> Mao, </w:t>
            </w:r>
            <w:proofErr w:type="spellStart"/>
            <w:r>
              <w:rPr>
                <w:szCs w:val="21"/>
              </w:rPr>
              <w:t>Kefeng</w:t>
            </w:r>
            <w:proofErr w:type="spellEnd"/>
            <w:r>
              <w:rPr>
                <w:szCs w:val="21"/>
              </w:rPr>
              <w:t xml:space="preserve"> Ding, </w:t>
            </w:r>
            <w:proofErr w:type="spellStart"/>
            <w:r>
              <w:rPr>
                <w:szCs w:val="21"/>
              </w:rPr>
              <w:t>Suzhan</w:t>
            </w:r>
            <w:proofErr w:type="spellEnd"/>
            <w:r>
              <w:rPr>
                <w:szCs w:val="21"/>
              </w:rPr>
              <w:t xml:space="preserve"> Zhang, Shu Zheng, Dong Xu*, </w:t>
            </w:r>
            <w:proofErr w:type="spellStart"/>
            <w:r>
              <w:rPr>
                <w:szCs w:val="21"/>
              </w:rPr>
              <w:t>Peirong</w:t>
            </w:r>
            <w:proofErr w:type="spellEnd"/>
            <w:r>
              <w:rPr>
                <w:szCs w:val="21"/>
              </w:rPr>
              <w:t xml:space="preserve"> Ding*, Ying Yuan*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3F7B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Development and external validation of a novel nomogram for screening Chinese Lynch syndrome: based on a multicenter, population study/Ther Adv Med Oncol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2AD8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2021; 13:175883592110232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A684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EE25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EB6823" w14:paraId="3359A1C0" w14:textId="77777777" w:rsidTr="00347F74">
        <w:trPr>
          <w:trHeight w:hRule="exact" w:val="5806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98AA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Wu Jiang, Mu</w:t>
            </w: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 xml:space="preserve">an Cai, Shi-Yong Li, </w:t>
            </w:r>
            <w:proofErr w:type="spellStart"/>
            <w:r>
              <w:rPr>
                <w:szCs w:val="21"/>
              </w:rPr>
              <w:t>Jin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in</w:t>
            </w:r>
            <w:proofErr w:type="spellEnd"/>
            <w:r>
              <w:rPr>
                <w:szCs w:val="21"/>
              </w:rPr>
              <w:t xml:space="preserve"> Bei, Fang Wang, Heather Hampel, Yi-Hong Ling, Ian M </w:t>
            </w:r>
            <w:proofErr w:type="spellStart"/>
            <w:r>
              <w:rPr>
                <w:szCs w:val="21"/>
              </w:rPr>
              <w:t>Frayling</w:t>
            </w:r>
            <w:proofErr w:type="spellEnd"/>
            <w:r>
              <w:rPr>
                <w:szCs w:val="21"/>
              </w:rPr>
              <w:t xml:space="preserve">, Frank A Sinicrope, Miguel A Rodriguez-Bigas, James J Dignam, David J Kerr, Rafael Rosell, Mao </w:t>
            </w:r>
            <w:proofErr w:type="spellStart"/>
            <w:r>
              <w:rPr>
                <w:szCs w:val="21"/>
              </w:rPr>
              <w:t>Mao</w:t>
            </w:r>
            <w:proofErr w:type="spellEnd"/>
            <w:r>
              <w:rPr>
                <w:szCs w:val="21"/>
              </w:rPr>
              <w:t>, Ji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 xml:space="preserve">in Li, </w:t>
            </w:r>
            <w:proofErr w:type="spellStart"/>
            <w:r>
              <w:rPr>
                <w:szCs w:val="21"/>
              </w:rPr>
              <w:t>Yun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iao</w:t>
            </w:r>
            <w:proofErr w:type="spellEnd"/>
            <w:r>
              <w:rPr>
                <w:szCs w:val="21"/>
              </w:rPr>
              <w:t xml:space="preserve"> Guo, Xiao</w:t>
            </w: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 xml:space="preserve">an Wu, </w:t>
            </w:r>
            <w:proofErr w:type="spellStart"/>
            <w:r>
              <w:rPr>
                <w:szCs w:val="21"/>
              </w:rPr>
              <w:t>Ling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eng</w:t>
            </w:r>
            <w:proofErr w:type="spellEnd"/>
            <w:r>
              <w:rPr>
                <w:szCs w:val="21"/>
              </w:rPr>
              <w:t xml:space="preserve"> Kong, Jing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ua Tang, Xiao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an Wu, </w:t>
            </w:r>
            <w:proofErr w:type="spellStart"/>
            <w:r>
              <w:rPr>
                <w:szCs w:val="21"/>
              </w:rPr>
              <w:t>Chao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eng</w:t>
            </w:r>
            <w:proofErr w:type="spellEnd"/>
            <w:r>
              <w:rPr>
                <w:szCs w:val="21"/>
              </w:rPr>
              <w:t xml:space="preserve"> Li, </w:t>
            </w:r>
            <w:proofErr w:type="spellStart"/>
            <w:r>
              <w:rPr>
                <w:szCs w:val="21"/>
              </w:rPr>
              <w:t>Jie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ong</w:t>
            </w:r>
            <w:proofErr w:type="spellEnd"/>
            <w:r>
              <w:rPr>
                <w:szCs w:val="21"/>
              </w:rPr>
              <w:t xml:space="preserve"> Chen, </w:t>
            </w:r>
            <w:proofErr w:type="spellStart"/>
            <w:r>
              <w:rPr>
                <w:szCs w:val="21"/>
              </w:rPr>
              <w:t>Qing</w:t>
            </w: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ian</w:t>
            </w:r>
            <w:proofErr w:type="spellEnd"/>
            <w:r>
              <w:rPr>
                <w:szCs w:val="21"/>
              </w:rPr>
              <w:t xml:space="preserve"> Ou, Ming</w:t>
            </w: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 xml:space="preserve">hi Ye, </w:t>
            </w:r>
            <w:proofErr w:type="spellStart"/>
            <w:r>
              <w:rPr>
                <w:szCs w:val="21"/>
              </w:rPr>
              <w:t>Feng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ing</w:t>
            </w:r>
            <w:proofErr w:type="spellEnd"/>
            <w:r>
              <w:rPr>
                <w:szCs w:val="21"/>
              </w:rPr>
              <w:t xml:space="preserve"> Guo, Peng Han, Qi</w:t>
            </w: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ei Wang, De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 xml:space="preserve">en Wan, Li </w:t>
            </w:r>
            <w:proofErr w:type="spellStart"/>
            <w:r>
              <w:rPr>
                <w:szCs w:val="21"/>
              </w:rPr>
              <w:t>Li</w:t>
            </w:r>
            <w:proofErr w:type="spellEnd"/>
            <w:r>
              <w:rPr>
                <w:szCs w:val="21"/>
              </w:rPr>
              <w:t xml:space="preserve">, </w:t>
            </w:r>
            <w:proofErr w:type="spellStart"/>
            <w:r>
              <w:rPr>
                <w:szCs w:val="21"/>
              </w:rPr>
              <w:t>Rui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ua</w:t>
            </w:r>
            <w:proofErr w:type="spellEnd"/>
            <w:r>
              <w:rPr>
                <w:szCs w:val="21"/>
              </w:rPr>
              <w:t xml:space="preserve"> Xu, </w:t>
            </w:r>
            <w:proofErr w:type="spellStart"/>
            <w:r>
              <w:rPr>
                <w:szCs w:val="21"/>
              </w:rPr>
              <w:t>Zhi</w:t>
            </w: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</w:t>
            </w:r>
            <w:proofErr w:type="spellEnd"/>
            <w:r>
              <w:rPr>
                <w:szCs w:val="21"/>
              </w:rPr>
              <w:t xml:space="preserve"> Pan, </w:t>
            </w:r>
            <w:proofErr w:type="spellStart"/>
            <w:r>
              <w:rPr>
                <w:szCs w:val="21"/>
              </w:rPr>
              <w:t>Pei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ong</w:t>
            </w:r>
            <w:proofErr w:type="spellEnd"/>
            <w:r>
              <w:rPr>
                <w:szCs w:val="21"/>
              </w:rPr>
              <w:t xml:space="preserve"> Ding*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9E1A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Universal screening for Lynch syndrome in a large consecutive cohort of Chinese colorectal cancer patients: High prevalence and unique molecular features/Int J Cancer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3E4F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2019, 144(9): 2161-2168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4800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DFAC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B6823" w14:paraId="69B2A82E" w14:textId="77777777" w:rsidTr="00347F74">
        <w:trPr>
          <w:trHeight w:hRule="exact" w:val="1979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1B8B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 xml:space="preserve">Mengyuan Yang, </w:t>
            </w:r>
            <w:proofErr w:type="spellStart"/>
            <w:r>
              <w:rPr>
                <w:szCs w:val="21"/>
              </w:rPr>
              <w:t>Yingxin</w:t>
            </w:r>
            <w:proofErr w:type="spellEnd"/>
            <w:r>
              <w:rPr>
                <w:szCs w:val="21"/>
              </w:rPr>
              <w:t xml:space="preserve"> Zhao, Yuwei Ding, Juan Wang, Yinuo Tan, Dong Xu, Ying Yuan*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6057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A truncated protein product of the germline variant of the DUOX2 gene leads to adenomatous polyposis/Cancer Biol Med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AFF7" w14:textId="77777777" w:rsidR="00EB6823" w:rsidRDefault="00EB6823" w:rsidP="00347F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021; 18(1):215–26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5FB5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9FCF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EB6823" w14:paraId="35C487E3" w14:textId="77777777" w:rsidTr="00347F74">
        <w:trPr>
          <w:trHeight w:hRule="exact" w:val="1857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E0B4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Mengyuan Yang, Lila Zhu, </w:t>
            </w:r>
            <w:proofErr w:type="spellStart"/>
            <w:r>
              <w:rPr>
                <w:szCs w:val="21"/>
              </w:rPr>
              <w:t>Lizhen</w:t>
            </w:r>
            <w:proofErr w:type="spellEnd"/>
            <w:r>
              <w:rPr>
                <w:szCs w:val="21"/>
              </w:rPr>
              <w:t xml:space="preserve"> Zhu, Dong Xu, Ying Yuan*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13C3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Role of a Rare Variant in APC Gene Promoter 1B Region in Classic Familial Adenomatous Polyposis/Digestion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E66D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2021; 102(4):527–33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9B1F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BE97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EB6823" w14:paraId="70D64874" w14:textId="77777777" w:rsidTr="00347F74">
        <w:trPr>
          <w:trHeight w:hRule="exact" w:val="2712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F1EC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 xml:space="preserve">Wu Jiang, </w:t>
            </w:r>
            <w:proofErr w:type="spellStart"/>
            <w:r>
              <w:rPr>
                <w:szCs w:val="21"/>
              </w:rPr>
              <w:t>Qiao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i</w:t>
            </w:r>
            <w:proofErr w:type="spellEnd"/>
            <w:r>
              <w:rPr>
                <w:szCs w:val="21"/>
              </w:rPr>
              <w:t xml:space="preserve"> Sui, Wen</w:t>
            </w: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 xml:space="preserve">iang Li, </w:t>
            </w:r>
            <w:proofErr w:type="spellStart"/>
            <w:r>
              <w:rPr>
                <w:szCs w:val="21"/>
              </w:rPr>
              <w:t>Chuan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eng</w:t>
            </w:r>
            <w:proofErr w:type="spellEnd"/>
            <w:r>
              <w:rPr>
                <w:szCs w:val="21"/>
              </w:rPr>
              <w:t xml:space="preserve"> Ke, Yi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ong Ling, Le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 xml:space="preserve">n Liao, Zhu </w:t>
            </w:r>
            <w:proofErr w:type="spellStart"/>
            <w:r>
              <w:rPr>
                <w:szCs w:val="21"/>
              </w:rPr>
              <w:t>Zhu</w:t>
            </w:r>
            <w:proofErr w:type="spellEnd"/>
            <w:r>
              <w:rPr>
                <w:szCs w:val="21"/>
              </w:rPr>
              <w:t>, Mu</w:t>
            </w: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 xml:space="preserve">an Cai, Jun Luo, </w:t>
            </w:r>
            <w:proofErr w:type="spellStart"/>
            <w:r>
              <w:rPr>
                <w:szCs w:val="21"/>
              </w:rPr>
              <w:t>Lin</w:t>
            </w: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in</w:t>
            </w:r>
            <w:proofErr w:type="spellEnd"/>
            <w:r>
              <w:rPr>
                <w:szCs w:val="21"/>
              </w:rPr>
              <w:t xml:space="preserve"> Mao, Hui</w:t>
            </w: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 Zhang, De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 xml:space="preserve">en Wan, </w:t>
            </w:r>
            <w:proofErr w:type="spellStart"/>
            <w:r>
              <w:rPr>
                <w:szCs w:val="21"/>
              </w:rPr>
              <w:t>Zhi</w:t>
            </w: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</w:t>
            </w:r>
            <w:proofErr w:type="spellEnd"/>
            <w:r>
              <w:rPr>
                <w:szCs w:val="21"/>
              </w:rPr>
              <w:t xml:space="preserve"> Pan, </w:t>
            </w:r>
            <w:proofErr w:type="spellStart"/>
            <w:r>
              <w:rPr>
                <w:szCs w:val="21"/>
              </w:rPr>
              <w:t>Hai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ing</w:t>
            </w:r>
            <w:proofErr w:type="spellEnd"/>
            <w:r>
              <w:rPr>
                <w:szCs w:val="21"/>
              </w:rPr>
              <w:t xml:space="preserve"> Ju*, </w:t>
            </w:r>
            <w:proofErr w:type="spellStart"/>
            <w:r>
              <w:rPr>
                <w:szCs w:val="21"/>
              </w:rPr>
              <w:t>Pei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ong</w:t>
            </w:r>
            <w:proofErr w:type="spellEnd"/>
            <w:r>
              <w:rPr>
                <w:szCs w:val="21"/>
              </w:rPr>
              <w:t xml:space="preserve"> Ding*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B822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Low prevalence of mismatch repair deficiency in Chinese colorectal cancers: a multicenter study/ Gastroenterol Rep (</w:t>
            </w:r>
            <w:proofErr w:type="spellStart"/>
            <w:r>
              <w:rPr>
                <w:szCs w:val="21"/>
              </w:rPr>
              <w:t>Oxf</w:t>
            </w:r>
            <w:proofErr w:type="spellEnd"/>
            <w:r>
              <w:rPr>
                <w:szCs w:val="21"/>
              </w:rPr>
              <w:t>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E28C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2020;8(5):399-403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C171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EE8D0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EB6823" w14:paraId="3B5A90E4" w14:textId="77777777" w:rsidTr="00347F74">
        <w:trPr>
          <w:trHeight w:hRule="exact" w:val="1551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82A0" w14:textId="77777777" w:rsidR="00EB6823" w:rsidRDefault="00EB6823" w:rsidP="00347F74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Lizhen</w:t>
            </w:r>
            <w:proofErr w:type="spellEnd"/>
            <w:r>
              <w:rPr>
                <w:szCs w:val="21"/>
              </w:rPr>
              <w:t xml:space="preserve"> Z</w:t>
            </w:r>
            <w:r>
              <w:rPr>
                <w:rFonts w:hint="eastAsia"/>
                <w:szCs w:val="21"/>
              </w:rPr>
              <w:t>hu</w:t>
            </w:r>
            <w:r>
              <w:rPr>
                <w:szCs w:val="21"/>
              </w:rPr>
              <w:t xml:space="preserve">, </w:t>
            </w:r>
            <w:proofErr w:type="spellStart"/>
            <w:r>
              <w:rPr>
                <w:szCs w:val="21"/>
              </w:rPr>
              <w:t>Yanqin</w:t>
            </w:r>
            <w:proofErr w:type="spellEnd"/>
            <w:r>
              <w:rPr>
                <w:szCs w:val="21"/>
              </w:rPr>
              <w:t xml:space="preserve"> Huang, </w:t>
            </w:r>
            <w:proofErr w:type="spellStart"/>
            <w:r>
              <w:rPr>
                <w:szCs w:val="21"/>
              </w:rPr>
              <w:t>Xuefeng</w:t>
            </w:r>
            <w:proofErr w:type="spellEnd"/>
            <w:r>
              <w:rPr>
                <w:szCs w:val="21"/>
              </w:rPr>
              <w:t xml:space="preserve"> Fang, </w:t>
            </w:r>
            <w:proofErr w:type="spellStart"/>
            <w:r>
              <w:rPr>
                <w:szCs w:val="21"/>
              </w:rPr>
              <w:t>Chenglin</w:t>
            </w:r>
            <w:proofErr w:type="spellEnd"/>
            <w:r>
              <w:rPr>
                <w:szCs w:val="21"/>
              </w:rPr>
              <w:t xml:space="preserve"> Liu, </w:t>
            </w:r>
            <w:proofErr w:type="spellStart"/>
            <w:r>
              <w:rPr>
                <w:szCs w:val="21"/>
              </w:rPr>
              <w:t>Wanglong</w:t>
            </w:r>
            <w:proofErr w:type="spellEnd"/>
            <w:r>
              <w:rPr>
                <w:szCs w:val="21"/>
              </w:rPr>
              <w:t xml:space="preserve"> Deng, </w:t>
            </w:r>
            <w:proofErr w:type="spellStart"/>
            <w:r>
              <w:rPr>
                <w:szCs w:val="21"/>
              </w:rPr>
              <w:t>Chenhan</w:t>
            </w:r>
            <w:proofErr w:type="spellEnd"/>
            <w:r>
              <w:rPr>
                <w:szCs w:val="21"/>
              </w:rPr>
              <w:t xml:space="preserve"> Zhong, </w:t>
            </w:r>
            <w:proofErr w:type="spellStart"/>
            <w:r>
              <w:rPr>
                <w:szCs w:val="21"/>
              </w:rPr>
              <w:t>Jinghong</w:t>
            </w:r>
            <w:proofErr w:type="spellEnd"/>
            <w:r>
              <w:rPr>
                <w:szCs w:val="21"/>
              </w:rPr>
              <w:t xml:space="preserve"> Xu, Dong Xu, Ying Yuan*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E10F5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A Novel and Reliable Method to Detect Microsatellite Instability in Colorectal Cancer by Next-Generation Sequencing/J Mol Diagnostics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893B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2018; 20:225-31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6A95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C147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</w:tr>
      <w:tr w:rsidR="00EB6823" w14:paraId="02F02DFE" w14:textId="77777777" w:rsidTr="00347F74">
        <w:trPr>
          <w:trHeight w:hRule="exact" w:val="1551"/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5B57" w14:textId="77777777" w:rsidR="00EB6823" w:rsidRDefault="00EB6823" w:rsidP="00347F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唐秀珺，杨梦园，朱丽珍，徐栋，袁瑛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CA48" w14:textId="77777777" w:rsidR="00EB6823" w:rsidRDefault="00EB6823" w:rsidP="00347F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错配修复缺陷与完整的结直肠癌相关基因体细胞突变差异分析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中华肿瘤杂志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1668" w14:textId="77777777" w:rsidR="00EB6823" w:rsidRDefault="00EB6823" w:rsidP="00347F74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;</w:t>
            </w:r>
            <w:r>
              <w:rPr>
                <w:rFonts w:hint="eastAsia"/>
                <w:szCs w:val="21"/>
              </w:rPr>
              <w:t>43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):</w:t>
            </w:r>
            <w:r>
              <w:rPr>
                <w:rFonts w:hint="eastAsia"/>
                <w:szCs w:val="21"/>
              </w:rPr>
              <w:t>1088-109</w:t>
            </w:r>
            <w:r>
              <w:rPr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5CFE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1B25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EB6823" w14:paraId="5819903F" w14:textId="77777777" w:rsidTr="00347F74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211628" w14:textId="77777777" w:rsidR="00EB6823" w:rsidRDefault="00EB6823" w:rsidP="00347F74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  <w:r>
              <w:rPr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5BCECE" w14:textId="77777777" w:rsidR="00EB6823" w:rsidRDefault="00EB6823" w:rsidP="00347F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</w:tr>
    </w:tbl>
    <w:p w14:paraId="11BACA75" w14:textId="77777777" w:rsidR="00EB6823" w:rsidRPr="00E6367F" w:rsidRDefault="00EB6823" w:rsidP="00E6367F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</w:p>
    <w:p w14:paraId="378F63B7" w14:textId="77777777" w:rsidR="005E657A" w:rsidRPr="00E6367F" w:rsidRDefault="005E657A"/>
    <w:sectPr w:rsidR="005E657A" w:rsidRPr="00E6367F" w:rsidSect="00EB6823">
      <w:pgSz w:w="12242" w:h="15842"/>
      <w:pgMar w:top="1247" w:right="1134" w:bottom="1247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D1DB9" w14:textId="77777777" w:rsidR="00855A7A" w:rsidRDefault="00855A7A" w:rsidP="00E6367F">
      <w:pPr>
        <w:rPr>
          <w:rFonts w:hint="eastAsia"/>
        </w:rPr>
      </w:pPr>
      <w:r>
        <w:separator/>
      </w:r>
    </w:p>
  </w:endnote>
  <w:endnote w:type="continuationSeparator" w:id="0">
    <w:p w14:paraId="1DE6AEF7" w14:textId="77777777" w:rsidR="00855A7A" w:rsidRDefault="00855A7A" w:rsidP="00E636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44F6" w14:textId="77777777" w:rsidR="00855A7A" w:rsidRDefault="00855A7A" w:rsidP="00E6367F">
      <w:pPr>
        <w:rPr>
          <w:rFonts w:hint="eastAsia"/>
        </w:rPr>
      </w:pPr>
      <w:r>
        <w:separator/>
      </w:r>
    </w:p>
  </w:footnote>
  <w:footnote w:type="continuationSeparator" w:id="0">
    <w:p w14:paraId="20DFA1FC" w14:textId="77777777" w:rsidR="00855A7A" w:rsidRDefault="00855A7A" w:rsidP="00E636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7A"/>
    <w:rsid w:val="005E657A"/>
    <w:rsid w:val="00855A7A"/>
    <w:rsid w:val="00E6367F"/>
    <w:rsid w:val="00EB6823"/>
    <w:rsid w:val="00E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FADD2"/>
  <w15:chartTrackingRefBased/>
  <w15:docId w15:val="{E3E30E96-0A3C-42ED-9487-E7885621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67F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67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63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67F"/>
    <w:rPr>
      <w:sz w:val="18"/>
      <w:szCs w:val="18"/>
    </w:rPr>
  </w:style>
  <w:style w:type="character" w:customStyle="1" w:styleId="title1">
    <w:name w:val="title1"/>
    <w:qFormat/>
    <w:rsid w:val="00E6367F"/>
    <w:rPr>
      <w:b/>
      <w:bCs/>
      <w:color w:val="999900"/>
      <w:sz w:val="24"/>
      <w:szCs w:val="24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B6823"/>
    <w:pPr>
      <w:widowControl/>
      <w:jc w:val="left"/>
    </w:pPr>
  </w:style>
  <w:style w:type="character" w:customStyle="1" w:styleId="a8">
    <w:name w:val="批注文字 字符"/>
    <w:basedOn w:val="a0"/>
    <w:link w:val="a7"/>
    <w:uiPriority w:val="99"/>
    <w:semiHidden/>
    <w:qFormat/>
    <w:rsid w:val="00EB6823"/>
    <w:rPr>
      <w:rFonts w:ascii="Times New Roman" w:eastAsia="宋体" w:hAnsi="Times New Roman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yang</dc:creator>
  <cp:keywords/>
  <dc:description/>
  <cp:lastModifiedBy>mengyuan yang</cp:lastModifiedBy>
  <cp:revision>2</cp:revision>
  <dcterms:created xsi:type="dcterms:W3CDTF">2024-08-02T02:21:00Z</dcterms:created>
  <dcterms:modified xsi:type="dcterms:W3CDTF">2024-08-02T02:40:00Z</dcterms:modified>
</cp:coreProperties>
</file>