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42500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25007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生理模型驱动的心脏多参数成像与计算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42500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25007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9E2B1B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9E2B1B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Pr="009E2B1B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9E2B1B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9E2B1B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9E2B1B"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1D1391" w:rsidRPr="009E2B1B" w:rsidRDefault="001D1391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9E2B1B">
              <w:rPr>
                <w:rFonts w:eastAsia="方正黑体简体"/>
                <w:szCs w:val="21"/>
              </w:rPr>
              <w:t xml:space="preserve">Fang J, </w:t>
            </w:r>
            <w:proofErr w:type="spellStart"/>
            <w:r w:rsidRPr="009E2B1B">
              <w:rPr>
                <w:rFonts w:eastAsia="方正黑体简体"/>
                <w:szCs w:val="21"/>
              </w:rPr>
              <w:t>Ohba</w:t>
            </w:r>
            <w:proofErr w:type="spellEnd"/>
            <w:r w:rsidRPr="009E2B1B">
              <w:rPr>
                <w:rFonts w:eastAsia="方正黑体简体"/>
                <w:szCs w:val="21"/>
              </w:rPr>
              <w:t xml:space="preserve"> H, Hashimoto F, et al. Imaging mitochondrial complex I activation during a vibrotactile stimulation: A PET study using [18F] BCPP-EF in the conscious monkey brain[J]. Journal of Cerebral Blood Flow &amp; Metabolism, 2020, 40(12): 2521-2532.</w:t>
            </w:r>
          </w:p>
          <w:p w:rsidR="007A378A" w:rsidRPr="00370796" w:rsidRDefault="009D47A1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370796">
              <w:rPr>
                <w:rFonts w:eastAsia="方正黑体简体"/>
                <w:szCs w:val="21"/>
              </w:rPr>
              <w:t>Xu J, Liu H. Three-dimensional convolutional neural networks for simultaneous dual-tracer PET imaging[J]. Physics in Medicine &amp; Biology, 2019, 64(18): 185016.</w:t>
            </w:r>
          </w:p>
          <w:p w:rsidR="006F5691" w:rsidRPr="00370796" w:rsidRDefault="00CA0A4F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370796">
              <w:rPr>
                <w:rFonts w:eastAsia="方正黑体简体"/>
                <w:szCs w:val="21"/>
              </w:rPr>
              <w:t xml:space="preserve">Guo M, Chen L, Shen X, et al. System model enabling fast tomographic phase microscopy with total variation </w:t>
            </w:r>
            <w:proofErr w:type="spellStart"/>
            <w:r w:rsidRPr="00370796">
              <w:rPr>
                <w:rFonts w:eastAsia="方正黑体简体"/>
                <w:szCs w:val="21"/>
              </w:rPr>
              <w:t>regularisation</w:t>
            </w:r>
            <w:proofErr w:type="spellEnd"/>
            <w:r w:rsidRPr="00370796">
              <w:rPr>
                <w:rFonts w:eastAsia="方正黑体简体"/>
                <w:szCs w:val="21"/>
              </w:rPr>
              <w:t>[J]. Physics in Medicine &amp; Biology, 2015, 60(23): 9059</w:t>
            </w:r>
            <w:r w:rsidR="002F5334" w:rsidRPr="00370796">
              <w:rPr>
                <w:rFonts w:eastAsia="方正黑体简体" w:hint="eastAsia"/>
                <w:szCs w:val="21"/>
              </w:rPr>
              <w:t>-</w:t>
            </w:r>
            <w:r w:rsidR="002F5334" w:rsidRPr="00370796">
              <w:rPr>
                <w:rFonts w:eastAsia="方正黑体简体"/>
                <w:szCs w:val="21"/>
              </w:rPr>
              <w:t>9077</w:t>
            </w:r>
            <w:r w:rsidRPr="00370796">
              <w:rPr>
                <w:rFonts w:eastAsia="方正黑体简体"/>
                <w:szCs w:val="21"/>
              </w:rPr>
              <w:t>.</w:t>
            </w:r>
          </w:p>
          <w:p w:rsidR="005D764F" w:rsidRPr="00370796" w:rsidRDefault="008F355E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370796">
              <w:rPr>
                <w:rFonts w:eastAsia="方正黑体简体" w:hint="eastAsia"/>
                <w:szCs w:val="21"/>
              </w:rPr>
              <w:t>Zhong J, Liu P, Li S, et al. A Comparison of Three</w:t>
            </w:r>
            <w:r w:rsidRPr="00370796">
              <w:rPr>
                <w:rFonts w:eastAsia="方正黑体简体" w:hint="eastAsia"/>
                <w:szCs w:val="21"/>
              </w:rPr>
              <w:t>‐</w:t>
            </w:r>
            <w:r w:rsidRPr="00370796">
              <w:rPr>
                <w:rFonts w:eastAsia="方正黑体简体" w:hint="eastAsia"/>
                <w:szCs w:val="21"/>
              </w:rPr>
              <w:t>Dimensional Speckle Tracking Echocardiography Parameters in Predicting Left Ventricular Remodeling[J]. Journal of healthcare engineering, 2020, 2020: 8847144.</w:t>
            </w:r>
          </w:p>
          <w:p w:rsidR="00CA0A4F" w:rsidRPr="00370796" w:rsidRDefault="009D47A1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370796">
              <w:rPr>
                <w:rFonts w:eastAsia="方正黑体简体"/>
                <w:szCs w:val="21"/>
              </w:rPr>
              <w:t>Wang T, Nakamoto K, Zhang H, et al. Reweighted anisotropic total variation minimization for limited-angle CT reconstruction[J]. IEEE Transactions on Nuclear Science, 2017, 64(10): 2742-2760.</w:t>
            </w:r>
          </w:p>
          <w:p w:rsidR="00B201D8" w:rsidRPr="00370796" w:rsidRDefault="00B201D8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/>
                <w:szCs w:val="21"/>
              </w:rPr>
            </w:pPr>
            <w:r w:rsidRPr="00370796">
              <w:rPr>
                <w:rFonts w:eastAsia="方正黑体简体"/>
                <w:szCs w:val="21"/>
              </w:rPr>
              <w:t>Chen S, Liu H, Hu Z, et al. Simultaneous reconstruction and segmentation of dynamic PET via low-rank and sparse matrix decomposition[J]. IEEE Transactions on Biomedical Engineering, 2015, 62(7): 1784-1795.</w:t>
            </w:r>
          </w:p>
          <w:p w:rsidR="004E120D" w:rsidRPr="004E120D" w:rsidRDefault="004E120D" w:rsidP="004E120D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rFonts w:eastAsia="方正黑体简体" w:hint="eastAsia"/>
                <w:szCs w:val="21"/>
              </w:rPr>
            </w:pPr>
            <w:r w:rsidRPr="004E120D">
              <w:rPr>
                <w:rFonts w:eastAsia="方正黑体简体"/>
                <w:szCs w:val="21"/>
              </w:rPr>
              <w:t>Ye H, Gao F, Yin Y, et al. Precise diagnosis of intracranial hemorrhage and subtypes using a three-dimensional joint convolutional and recurrent neural network[J]. European radiology, 2019, 29</w:t>
            </w:r>
            <w:r w:rsidR="000302E8">
              <w:rPr>
                <w:rFonts w:eastAsia="方正黑体简体" w:hint="eastAsia"/>
                <w:szCs w:val="21"/>
              </w:rPr>
              <w:t>(</w:t>
            </w:r>
            <w:r w:rsidR="000302E8">
              <w:rPr>
                <w:rFonts w:eastAsia="方正黑体简体"/>
                <w:szCs w:val="21"/>
              </w:rPr>
              <w:t>11)</w:t>
            </w:r>
            <w:r w:rsidRPr="004E120D">
              <w:rPr>
                <w:rFonts w:eastAsia="方正黑体简体"/>
                <w:szCs w:val="21"/>
              </w:rPr>
              <w:t>: 6191-6201.</w:t>
            </w:r>
            <w:bookmarkStart w:id="0" w:name="_GoBack"/>
            <w:bookmarkEnd w:id="0"/>
          </w:p>
          <w:p w:rsidR="000A2658" w:rsidRDefault="000A2658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0A2658">
              <w:rPr>
                <w:szCs w:val="21"/>
              </w:rPr>
              <w:t>Zhang D, Yang G, Zhao S, et al. Direct quantification of coronary artery stenosis through hierarchical attentive multi-view learning[J]. IEEE transactions on medical imaging, 2020, 39(12): 4322-4334.</w:t>
            </w:r>
          </w:p>
          <w:p w:rsidR="00265591" w:rsidRPr="009E2B1B" w:rsidRDefault="00265591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9E2B1B">
              <w:rPr>
                <w:rFonts w:hint="eastAsia"/>
                <w:szCs w:val="21"/>
              </w:rPr>
              <w:t>刘华锋、郭敏、胡正珲</w:t>
            </w:r>
            <w:r w:rsidRPr="009E2B1B">
              <w:rPr>
                <w:szCs w:val="21"/>
              </w:rPr>
              <w:t>，</w:t>
            </w:r>
            <w:r w:rsidRPr="009E2B1B">
              <w:rPr>
                <w:rFonts w:hint="eastAsia"/>
                <w:szCs w:val="21"/>
              </w:rPr>
              <w:t>一种基于</w:t>
            </w:r>
            <w:r w:rsidRPr="009E2B1B">
              <w:rPr>
                <w:rFonts w:hint="eastAsia"/>
                <w:szCs w:val="21"/>
              </w:rPr>
              <w:t>H</w:t>
            </w:r>
            <w:r w:rsidRPr="009E2B1B">
              <w:rPr>
                <w:rFonts w:hint="eastAsia"/>
                <w:szCs w:val="21"/>
              </w:rPr>
              <w:t>无穷滤波的</w:t>
            </w:r>
            <w:r w:rsidRPr="009E2B1B">
              <w:rPr>
                <w:rFonts w:hint="eastAsia"/>
                <w:szCs w:val="21"/>
              </w:rPr>
              <w:t>PET</w:t>
            </w:r>
            <w:r w:rsidRPr="009E2B1B">
              <w:rPr>
                <w:rFonts w:hint="eastAsia"/>
                <w:szCs w:val="21"/>
              </w:rPr>
              <w:t>生理参数的重构方法</w:t>
            </w:r>
            <w:r w:rsidRPr="009E2B1B">
              <w:rPr>
                <w:szCs w:val="21"/>
              </w:rPr>
              <w:t>，中国，发明专利，授权，</w:t>
            </w:r>
            <w:r w:rsidRPr="009E2B1B">
              <w:rPr>
                <w:szCs w:val="21"/>
              </w:rPr>
              <w:t>ZL201310159418.2</w:t>
            </w:r>
            <w:r w:rsidRPr="009E2B1B">
              <w:rPr>
                <w:szCs w:val="21"/>
              </w:rPr>
              <w:t>，</w:t>
            </w:r>
            <w:r w:rsidRPr="009E2B1B">
              <w:rPr>
                <w:szCs w:val="21"/>
              </w:rPr>
              <w:t>2015.05.13</w:t>
            </w:r>
          </w:p>
          <w:p w:rsidR="00331B1C" w:rsidRPr="000E4399" w:rsidRDefault="00265591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9E2B1B">
              <w:rPr>
                <w:rFonts w:hint="eastAsia"/>
                <w:szCs w:val="21"/>
              </w:rPr>
              <w:t>刘华锋、郭敏、胡正珲</w:t>
            </w:r>
            <w:r w:rsidRPr="009E2B1B">
              <w:rPr>
                <w:szCs w:val="21"/>
              </w:rPr>
              <w:t>，</w:t>
            </w:r>
            <w:r w:rsidRPr="009E2B1B">
              <w:rPr>
                <w:rFonts w:hint="eastAsia"/>
                <w:szCs w:val="21"/>
              </w:rPr>
              <w:t>一种</w:t>
            </w:r>
            <w:r w:rsidRPr="009E2B1B">
              <w:rPr>
                <w:rFonts w:hint="eastAsia"/>
                <w:szCs w:val="21"/>
              </w:rPr>
              <w:t>PET</w:t>
            </w:r>
            <w:r w:rsidRPr="009E2B1B">
              <w:rPr>
                <w:rFonts w:hint="eastAsia"/>
                <w:szCs w:val="21"/>
              </w:rPr>
              <w:t>浓度与衰减系数的同时重建方法</w:t>
            </w:r>
            <w:r w:rsidRPr="009E2B1B">
              <w:rPr>
                <w:szCs w:val="21"/>
              </w:rPr>
              <w:t>，中国，发明专利，授权，</w:t>
            </w:r>
            <w:r w:rsidRPr="009E2B1B">
              <w:rPr>
                <w:szCs w:val="21"/>
              </w:rPr>
              <w:t>ZL201310326239.3</w:t>
            </w:r>
            <w:r w:rsidRPr="009E2B1B">
              <w:rPr>
                <w:szCs w:val="21"/>
              </w:rPr>
              <w:t>，</w:t>
            </w:r>
            <w:r w:rsidRPr="009E2B1B">
              <w:rPr>
                <w:szCs w:val="21"/>
              </w:rPr>
              <w:t>2016.01.20</w:t>
            </w:r>
          </w:p>
          <w:p w:rsidR="00553E4F" w:rsidRPr="009E2B1B" w:rsidRDefault="00553E4F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9E2B1B">
              <w:rPr>
                <w:szCs w:val="21"/>
              </w:rPr>
              <w:t>刘华锋、</w:t>
            </w:r>
            <w:r w:rsidRPr="009E2B1B">
              <w:rPr>
                <w:rFonts w:hint="eastAsia"/>
                <w:szCs w:val="21"/>
              </w:rPr>
              <w:t>卿敏</w:t>
            </w:r>
            <w:proofErr w:type="gramStart"/>
            <w:r w:rsidRPr="009E2B1B">
              <w:rPr>
                <w:rFonts w:hint="eastAsia"/>
                <w:szCs w:val="21"/>
              </w:rPr>
              <w:t>敏</w:t>
            </w:r>
            <w:proofErr w:type="gramEnd"/>
            <w:r w:rsidRPr="009E2B1B">
              <w:rPr>
                <w:szCs w:val="21"/>
              </w:rPr>
              <w:t>，</w:t>
            </w:r>
            <w:r w:rsidRPr="009E2B1B">
              <w:rPr>
                <w:rFonts w:hint="eastAsia"/>
                <w:szCs w:val="21"/>
              </w:rPr>
              <w:t>一种基于</w:t>
            </w:r>
            <w:r w:rsidRPr="009E2B1B">
              <w:rPr>
                <w:rFonts w:hint="eastAsia"/>
                <w:szCs w:val="21"/>
              </w:rPr>
              <w:t>DSN</w:t>
            </w:r>
            <w:r w:rsidRPr="009E2B1B">
              <w:rPr>
                <w:rFonts w:hint="eastAsia"/>
                <w:szCs w:val="21"/>
              </w:rPr>
              <w:t>的</w:t>
            </w:r>
            <w:proofErr w:type="gramStart"/>
            <w:r w:rsidRPr="009E2B1B">
              <w:rPr>
                <w:rFonts w:hint="eastAsia"/>
                <w:szCs w:val="21"/>
              </w:rPr>
              <w:t>动态</w:t>
            </w:r>
            <w:proofErr w:type="gramEnd"/>
            <w:r w:rsidRPr="009E2B1B">
              <w:rPr>
                <w:rFonts w:hint="eastAsia"/>
                <w:szCs w:val="21"/>
              </w:rPr>
              <w:t>双示踪</w:t>
            </w:r>
            <w:r w:rsidRPr="009E2B1B">
              <w:rPr>
                <w:rFonts w:hint="eastAsia"/>
                <w:szCs w:val="21"/>
              </w:rPr>
              <w:t>PET</w:t>
            </w:r>
            <w:r w:rsidRPr="009E2B1B">
              <w:rPr>
                <w:rFonts w:hint="eastAsia"/>
                <w:szCs w:val="21"/>
              </w:rPr>
              <w:t>重建方法</w:t>
            </w:r>
            <w:r w:rsidRPr="009E2B1B">
              <w:rPr>
                <w:szCs w:val="21"/>
              </w:rPr>
              <w:t>，中国，发明专利，授权，</w:t>
            </w:r>
            <w:r w:rsidRPr="009E2B1B">
              <w:rPr>
                <w:szCs w:val="21"/>
              </w:rPr>
              <w:t>ZL201910196556.5</w:t>
            </w:r>
            <w:r w:rsidRPr="009E2B1B">
              <w:rPr>
                <w:szCs w:val="21"/>
              </w:rPr>
              <w:t>，</w:t>
            </w:r>
            <w:r w:rsidRPr="009E2B1B">
              <w:rPr>
                <w:szCs w:val="21"/>
              </w:rPr>
              <w:t>2020.11.10</w:t>
            </w:r>
          </w:p>
          <w:p w:rsidR="009D47A1" w:rsidRDefault="00553E4F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9E2B1B">
              <w:rPr>
                <w:szCs w:val="21"/>
              </w:rPr>
              <w:t>刘华锋、</w:t>
            </w:r>
            <w:r w:rsidRPr="009E2B1B">
              <w:rPr>
                <w:rFonts w:hint="eastAsia"/>
                <w:szCs w:val="21"/>
              </w:rPr>
              <w:t>谢淑婷</w:t>
            </w:r>
            <w:r w:rsidRPr="009E2B1B">
              <w:rPr>
                <w:szCs w:val="21"/>
              </w:rPr>
              <w:t>，</w:t>
            </w:r>
            <w:r w:rsidRPr="009E2B1B">
              <w:rPr>
                <w:rFonts w:hint="eastAsia"/>
                <w:szCs w:val="21"/>
              </w:rPr>
              <w:t>一种</w:t>
            </w:r>
            <w:proofErr w:type="gramStart"/>
            <w:r w:rsidRPr="009E2B1B">
              <w:rPr>
                <w:rFonts w:hint="eastAsia"/>
                <w:szCs w:val="21"/>
              </w:rPr>
              <w:t>基于图总变分</w:t>
            </w:r>
            <w:proofErr w:type="gramEnd"/>
            <w:r w:rsidRPr="009E2B1B">
              <w:rPr>
                <w:rFonts w:hint="eastAsia"/>
                <w:szCs w:val="21"/>
              </w:rPr>
              <w:t>约束的无创心脏电生理反演方法</w:t>
            </w:r>
            <w:r w:rsidRPr="009E2B1B">
              <w:rPr>
                <w:szCs w:val="21"/>
              </w:rPr>
              <w:t>，中国，发明专利，授权，</w:t>
            </w:r>
            <w:r w:rsidRPr="009E2B1B">
              <w:rPr>
                <w:szCs w:val="21"/>
              </w:rPr>
              <w:t>ZL201910577062.1</w:t>
            </w:r>
            <w:r w:rsidRPr="009E2B1B">
              <w:rPr>
                <w:szCs w:val="21"/>
              </w:rPr>
              <w:t>，</w:t>
            </w:r>
            <w:r w:rsidRPr="009E2B1B">
              <w:rPr>
                <w:szCs w:val="21"/>
              </w:rPr>
              <w:t>2021.04.20</w:t>
            </w:r>
          </w:p>
          <w:p w:rsidR="000E4399" w:rsidRPr="000E4399" w:rsidRDefault="000E4399" w:rsidP="006F5691">
            <w:pPr>
              <w:pStyle w:val="a6"/>
              <w:numPr>
                <w:ilvl w:val="0"/>
                <w:numId w:val="1"/>
              </w:numPr>
              <w:snapToGrid w:val="0"/>
              <w:spacing w:afterLines="30" w:after="93"/>
              <w:ind w:firstLineChars="0"/>
              <w:rPr>
                <w:szCs w:val="21"/>
              </w:rPr>
            </w:pPr>
            <w:r w:rsidRPr="000E4399">
              <w:rPr>
                <w:rFonts w:hint="eastAsia"/>
                <w:szCs w:val="21"/>
              </w:rPr>
              <w:t>刘华锋、童珺</w:t>
            </w:r>
            <w:proofErr w:type="gramStart"/>
            <w:r w:rsidRPr="000E4399">
              <w:rPr>
                <w:rFonts w:hint="eastAsia"/>
                <w:szCs w:val="21"/>
              </w:rPr>
              <w:t>怡</w:t>
            </w:r>
            <w:proofErr w:type="gramEnd"/>
            <w:r w:rsidRPr="000E4399">
              <w:rPr>
                <w:rFonts w:hint="eastAsia"/>
                <w:szCs w:val="21"/>
              </w:rPr>
              <w:t>，基于</w:t>
            </w:r>
            <w:proofErr w:type="gramStart"/>
            <w:r w:rsidRPr="000E4399">
              <w:rPr>
                <w:rFonts w:hint="eastAsia"/>
                <w:szCs w:val="21"/>
              </w:rPr>
              <w:t>预训</w:t>
            </w:r>
            <w:proofErr w:type="gramEnd"/>
            <w:r w:rsidRPr="000E4399">
              <w:rPr>
                <w:rFonts w:hint="eastAsia"/>
                <w:szCs w:val="21"/>
              </w:rPr>
              <w:t>练</w:t>
            </w:r>
            <w:r w:rsidRPr="000E4399">
              <w:rPr>
                <w:rFonts w:hint="eastAsia"/>
                <w:szCs w:val="21"/>
              </w:rPr>
              <w:t>GRU</w:t>
            </w:r>
            <w:r w:rsidRPr="000E4399">
              <w:rPr>
                <w:rFonts w:hint="eastAsia"/>
                <w:szCs w:val="21"/>
              </w:rPr>
              <w:t>的单扫描双示踪剂</w:t>
            </w:r>
            <w:r w:rsidRPr="000E4399">
              <w:rPr>
                <w:rFonts w:hint="eastAsia"/>
                <w:szCs w:val="21"/>
              </w:rPr>
              <w:t>PET</w:t>
            </w:r>
            <w:r w:rsidRPr="000E4399">
              <w:rPr>
                <w:rFonts w:hint="eastAsia"/>
                <w:szCs w:val="21"/>
              </w:rPr>
              <w:t>信号分离方法，中国，发明专利，授权，</w:t>
            </w:r>
            <w:r w:rsidRPr="000E4399">
              <w:rPr>
                <w:rFonts w:hint="eastAsia"/>
                <w:szCs w:val="21"/>
              </w:rPr>
              <w:t>ZL201911317631.5</w:t>
            </w:r>
            <w:r w:rsidRPr="000E4399">
              <w:rPr>
                <w:rFonts w:hint="eastAsia"/>
                <w:szCs w:val="21"/>
              </w:rPr>
              <w:t>，</w:t>
            </w:r>
            <w:r w:rsidRPr="000E4399">
              <w:rPr>
                <w:rFonts w:hint="eastAsia"/>
                <w:szCs w:val="21"/>
              </w:rPr>
              <w:t>2021.07.23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刘华锋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教授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浙江大学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张贺晔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教授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中山大学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徐琳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="00493AAD" w:rsidRPr="00493AAD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中国人民解放军南部战区总医院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郭敏，排名</w:t>
            </w:r>
            <w:r w:rsidR="009D47A1" w:rsidRPr="009D47A1">
              <w:rPr>
                <w:rFonts w:eastAsia="仿宋_GB2312"/>
                <w:bCs/>
                <w:sz w:val="24"/>
                <w:szCs w:val="24"/>
              </w:rPr>
              <w:t>4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，研究员，浙江大学。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中山大学</w:t>
            </w:r>
          </w:p>
          <w:p w:rsidR="007A378A" w:rsidRPr="00425007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中国人民解放军南部战区总医院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887AC2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553E4F" w:rsidRDefault="00553E4F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“生理模型驱动的心脏多参数成像与计算”项目取得了一些重大科学发现，解决了诸多心脏成像的理论和技术难题，发表了一系列高水平学术论文，并获得了多项国家发明专利。</w:t>
            </w: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在活体状态下无创观测心脏能量代谢、电生理与力学特性，存在因成像原理受限引起两种代谢信号混叠而“辨不出”，受躯干传导等影响而“看不远”，若不注射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造影剂因观测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对象与背景强度低而“认不清”等难题。项目提出生理模型约束的成像理论与方法，首次提出了结合房室模型的双示踪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PET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成像技术，实现了两种能量代谢信号“辨得出”；首次设计了融合结构、功能图像序列、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体表电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生理信息的基于生理组模型的心脏电特性成像框架和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无创血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流储备分数定量技术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技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术，实现了“看得远”；构建了无需造影剂的心肌梗死定量技术。这些成果实现了多个“首次”，挖掘了新的信息维度，获批三类医疗器械注册证，被国家药品监督管理局评价为“国际领先水平”且“国内尚无同品种产品注册上市”，已应用在全国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50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多家医院，展现出显著的社会效益。</w:t>
            </w: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这些原创的研究成果形成了心脏多参数成像、计算理论和方法，引领了心脏成像研究方向，赢得了国际同行的广泛认可，并多次获得国际奖项。已被成功采用并促成了生物医学新发现，对我国成像物理学科和生物医学研究、诊断的科技进步，具有重要的推动作用。</w:t>
            </w:r>
          </w:p>
          <w:p w:rsidR="007A378A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提名该成果为省自然科学奖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 xml:space="preserve"> 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一等奖。</w:t>
            </w:r>
          </w:p>
          <w:p w:rsidR="00553E4F" w:rsidRPr="007A378A" w:rsidRDefault="00553E4F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</w:p>
        </w:tc>
      </w:tr>
    </w:tbl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324" w:rsidRDefault="00C35324" w:rsidP="002756C1">
      <w:r>
        <w:separator/>
      </w:r>
    </w:p>
  </w:endnote>
  <w:endnote w:type="continuationSeparator" w:id="0">
    <w:p w:rsidR="00C35324" w:rsidRDefault="00C35324" w:rsidP="0027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324" w:rsidRDefault="00C35324" w:rsidP="002756C1">
      <w:r>
        <w:separator/>
      </w:r>
    </w:p>
  </w:footnote>
  <w:footnote w:type="continuationSeparator" w:id="0">
    <w:p w:rsidR="00C35324" w:rsidRDefault="00C35324" w:rsidP="0027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06C"/>
    <w:multiLevelType w:val="hybridMultilevel"/>
    <w:tmpl w:val="C61CC8D6"/>
    <w:lvl w:ilvl="0" w:tplc="7EB8BA0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302E8"/>
    <w:rsid w:val="000A2658"/>
    <w:rsid w:val="000E4399"/>
    <w:rsid w:val="000F221D"/>
    <w:rsid w:val="0012185D"/>
    <w:rsid w:val="00133845"/>
    <w:rsid w:val="001857BF"/>
    <w:rsid w:val="00186A03"/>
    <w:rsid w:val="00193BD6"/>
    <w:rsid w:val="001D1391"/>
    <w:rsid w:val="0022045C"/>
    <w:rsid w:val="00265591"/>
    <w:rsid w:val="002756C1"/>
    <w:rsid w:val="002E6126"/>
    <w:rsid w:val="002F5334"/>
    <w:rsid w:val="00331B1C"/>
    <w:rsid w:val="00370796"/>
    <w:rsid w:val="00393DE9"/>
    <w:rsid w:val="003D4BC5"/>
    <w:rsid w:val="00415141"/>
    <w:rsid w:val="00425007"/>
    <w:rsid w:val="004530C5"/>
    <w:rsid w:val="00493AAD"/>
    <w:rsid w:val="004D3794"/>
    <w:rsid w:val="004E120D"/>
    <w:rsid w:val="00553E4F"/>
    <w:rsid w:val="005545C6"/>
    <w:rsid w:val="005563E0"/>
    <w:rsid w:val="005956FF"/>
    <w:rsid w:val="005A42D4"/>
    <w:rsid w:val="005D764F"/>
    <w:rsid w:val="00632A0C"/>
    <w:rsid w:val="00653BB3"/>
    <w:rsid w:val="00676992"/>
    <w:rsid w:val="006D4542"/>
    <w:rsid w:val="006F5691"/>
    <w:rsid w:val="00716FF2"/>
    <w:rsid w:val="007229CC"/>
    <w:rsid w:val="007A378A"/>
    <w:rsid w:val="007D6D54"/>
    <w:rsid w:val="00821DF8"/>
    <w:rsid w:val="008308B2"/>
    <w:rsid w:val="00846E91"/>
    <w:rsid w:val="00857D70"/>
    <w:rsid w:val="00874F3C"/>
    <w:rsid w:val="00887AC2"/>
    <w:rsid w:val="008B76F6"/>
    <w:rsid w:val="008F355E"/>
    <w:rsid w:val="00920E25"/>
    <w:rsid w:val="00945F39"/>
    <w:rsid w:val="009D47A1"/>
    <w:rsid w:val="009D63D3"/>
    <w:rsid w:val="009E2B1B"/>
    <w:rsid w:val="00A2366E"/>
    <w:rsid w:val="00A7598D"/>
    <w:rsid w:val="00AB01B1"/>
    <w:rsid w:val="00AB4AF3"/>
    <w:rsid w:val="00AB630C"/>
    <w:rsid w:val="00AD31C2"/>
    <w:rsid w:val="00B128F1"/>
    <w:rsid w:val="00B201D8"/>
    <w:rsid w:val="00B272D7"/>
    <w:rsid w:val="00C03F73"/>
    <w:rsid w:val="00C35324"/>
    <w:rsid w:val="00C94389"/>
    <w:rsid w:val="00CA0A4F"/>
    <w:rsid w:val="00CC64D3"/>
    <w:rsid w:val="00CC6820"/>
    <w:rsid w:val="00D16105"/>
    <w:rsid w:val="00D83443"/>
    <w:rsid w:val="00D97E04"/>
    <w:rsid w:val="00DB5E63"/>
    <w:rsid w:val="00E175E5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D308D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9D47A1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27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756C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7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756C1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7699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769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AAAA</cp:lastModifiedBy>
  <cp:revision>47</cp:revision>
  <cp:lastPrinted>2024-08-12T03:14:00Z</cp:lastPrinted>
  <dcterms:created xsi:type="dcterms:W3CDTF">2024-08-01T10:47:00Z</dcterms:created>
  <dcterms:modified xsi:type="dcterms:W3CDTF">2024-08-14T08:02:00Z</dcterms:modified>
</cp:coreProperties>
</file>