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6797">
      <w:pPr>
        <w:jc w:val="center"/>
        <w:rPr>
          <w:rStyle w:val="7"/>
          <w:rFonts w:eastAsia="方正小标宋简体"/>
          <w:bCs w:val="0"/>
          <w:color w:val="auto"/>
          <w:sz w:val="36"/>
          <w:szCs w:val="36"/>
        </w:rPr>
      </w:pPr>
      <w:r>
        <w:rPr>
          <w:rStyle w:val="7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7"/>
          <w:rFonts w:eastAsia="仿宋_GB2312"/>
          <w:b w:val="0"/>
          <w:color w:val="auto"/>
          <w:sz w:val="32"/>
          <w:szCs w:val="32"/>
        </w:rPr>
        <w:t>（单位提名）</w:t>
      </w:r>
    </w:p>
    <w:p w14:paraId="55F172EB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提名奖项：（科学技术进步奖）</w:t>
      </w:r>
    </w:p>
    <w:tbl>
      <w:tblPr>
        <w:tblStyle w:val="4"/>
        <w:tblW w:w="857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475"/>
      </w:tblGrid>
      <w:tr w14:paraId="6B9B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8" w:type="dxa"/>
            <w:noWrap w:val="0"/>
            <w:vAlign w:val="center"/>
          </w:tcPr>
          <w:p w14:paraId="1FFEF40D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475" w:type="dxa"/>
            <w:noWrap w:val="0"/>
            <w:vAlign w:val="center"/>
          </w:tcPr>
          <w:p w14:paraId="5F1EC212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阿尔茨海默病防治关键技术创新与应用</w:t>
            </w:r>
          </w:p>
        </w:tc>
      </w:tr>
      <w:tr w14:paraId="4CD01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8" w:type="dxa"/>
            <w:noWrap w:val="0"/>
            <w:vAlign w:val="center"/>
          </w:tcPr>
          <w:p w14:paraId="475D82DF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475" w:type="dxa"/>
            <w:noWrap w:val="0"/>
            <w:vAlign w:val="center"/>
          </w:tcPr>
          <w:p w14:paraId="56C63196">
            <w:pPr>
              <w:jc w:val="center"/>
              <w:rPr>
                <w:rStyle w:val="7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sz w:val="28"/>
                <w:szCs w:val="28"/>
                <w:lang w:val="en-US" w:eastAsia="zh-CN"/>
              </w:rPr>
              <w:t>一等奖</w:t>
            </w:r>
          </w:p>
        </w:tc>
      </w:tr>
      <w:tr w14:paraId="3FDD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098" w:type="dxa"/>
            <w:noWrap w:val="0"/>
            <w:vAlign w:val="center"/>
          </w:tcPr>
          <w:p w14:paraId="0A6FACB4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46B84601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475" w:type="dxa"/>
            <w:noWrap w:val="0"/>
            <w:vAlign w:val="center"/>
          </w:tcPr>
          <w:p w14:paraId="1DC98EA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自然科学奖：提名书的六、代表性论文专著目录（不超过8篇）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八、主要知识产权和标准规范目录（不超过5件）</w:t>
            </w:r>
          </w:p>
          <w:p w14:paraId="21B4EFE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技术发明奖：提名书的七、主要知识产权和标准规范目录（不超过10件）</w:t>
            </w:r>
          </w:p>
          <w:p w14:paraId="4ADD50C4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科学技术进步奖：提名书的七、主要知识产权和标准规范目录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（两表加起来不超过1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hint="eastAsia" w:eastAsia="仿宋_GB2312"/>
                <w:bCs/>
                <w:sz w:val="24"/>
                <w:szCs w:val="24"/>
              </w:rPr>
              <w:t>件）</w:t>
            </w:r>
          </w:p>
          <w:p w14:paraId="78E611AD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7103D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98" w:type="dxa"/>
            <w:tcBorders>
              <w:right w:val="single" w:color="auto" w:sz="4" w:space="0"/>
            </w:tcBorders>
            <w:noWrap w:val="0"/>
            <w:vAlign w:val="center"/>
          </w:tcPr>
          <w:p w14:paraId="55AAE853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475" w:type="dxa"/>
            <w:tcBorders>
              <w:left w:val="single" w:color="auto" w:sz="4" w:space="0"/>
            </w:tcBorders>
            <w:noWrap w:val="0"/>
            <w:vAlign w:val="center"/>
          </w:tcPr>
          <w:p w14:paraId="44095BBB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陈炜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55108A0C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王华丽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北京大学第六医院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6F6D5282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沈悦娣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教授，杭州师范大学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641D8EA7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孔祥祯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排名4，研究员，浙江大学；</w:t>
            </w:r>
          </w:p>
          <w:p w14:paraId="21776478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魏丽丽，排名5，主治医师，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浙江大学；</w:t>
            </w:r>
          </w:p>
          <w:p w14:paraId="08A806E6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章迎春，排名6，副主任医师，浙江大学；</w:t>
            </w:r>
          </w:p>
          <w:p w14:paraId="79B259F7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许洛伊，排名7，主治医师，浙江大学；</w:t>
            </w:r>
          </w:p>
          <w:p w14:paraId="42335F72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杨科华，排名8，副主任护师，浙江大学；</w:t>
            </w:r>
          </w:p>
        </w:tc>
      </w:tr>
      <w:tr w14:paraId="08537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098" w:type="dxa"/>
            <w:tcBorders>
              <w:right w:val="single" w:color="auto" w:sz="4" w:space="0"/>
            </w:tcBorders>
            <w:noWrap w:val="0"/>
            <w:vAlign w:val="center"/>
          </w:tcPr>
          <w:p w14:paraId="2579C97A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475" w:type="dxa"/>
            <w:tcBorders>
              <w:left w:val="single" w:color="auto" w:sz="4" w:space="0"/>
            </w:tcBorders>
            <w:noWrap w:val="0"/>
            <w:vAlign w:val="center"/>
          </w:tcPr>
          <w:p w14:paraId="100BE371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1.单位名称：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 w14:paraId="7C2E0B4B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2.单位名称：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北京大学第六医院</w:t>
            </w:r>
          </w:p>
          <w:p w14:paraId="298A5D37"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3.单位名称：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杭州师范大学</w:t>
            </w:r>
          </w:p>
        </w:tc>
      </w:tr>
      <w:tr w14:paraId="0C329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8" w:type="dxa"/>
            <w:noWrap w:val="0"/>
            <w:vAlign w:val="center"/>
          </w:tcPr>
          <w:p w14:paraId="2406921F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475" w:type="dxa"/>
            <w:noWrap w:val="0"/>
            <w:vAlign w:val="center"/>
          </w:tcPr>
          <w:p w14:paraId="67D99587">
            <w:pPr>
              <w:contextualSpacing/>
              <w:jc w:val="center"/>
              <w:rPr>
                <w:rStyle w:val="7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浙江大学</w:t>
            </w:r>
          </w:p>
        </w:tc>
      </w:tr>
      <w:tr w14:paraId="1600E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098" w:type="dxa"/>
            <w:noWrap w:val="0"/>
            <w:vAlign w:val="center"/>
          </w:tcPr>
          <w:p w14:paraId="6291CFE7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475" w:type="dxa"/>
            <w:noWrap w:val="0"/>
            <w:vAlign w:val="center"/>
          </w:tcPr>
          <w:p w14:paraId="08C29F31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阿尔茨海默病（</w:t>
            </w:r>
            <w:r>
              <w:rPr>
                <w:rFonts w:eastAsia="仿宋_GB2312"/>
                <w:sz w:val="24"/>
              </w:rPr>
              <w:t>AD</w:t>
            </w:r>
            <w:r>
              <w:rPr>
                <w:rFonts w:hint="eastAsia" w:eastAsia="仿宋_GB2312"/>
                <w:sz w:val="24"/>
              </w:rPr>
              <w:t>）所致痴呆是导致老年人失智、失能的首要因素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</w:rPr>
              <w:t>给</w:t>
            </w:r>
            <w:r>
              <w:rPr>
                <w:rFonts w:eastAsia="仿宋_GB2312"/>
                <w:sz w:val="24"/>
              </w:rPr>
              <w:t>家庭与社会带来沉重负担</w:t>
            </w:r>
            <w:r>
              <w:rPr>
                <w:rFonts w:hint="eastAsia" w:eastAsia="仿宋_GB2312"/>
                <w:sz w:val="24"/>
              </w:rPr>
              <w:t>，建立AD早期防</w:t>
            </w:r>
            <w:r>
              <w:rPr>
                <w:rFonts w:eastAsia="仿宋_GB2312"/>
                <w:sz w:val="24"/>
              </w:rPr>
              <w:t>治关键理论与</w:t>
            </w:r>
            <w:r>
              <w:rPr>
                <w:rFonts w:hint="eastAsia" w:eastAsia="仿宋_GB2312"/>
                <w:sz w:val="24"/>
              </w:rPr>
              <w:t>技术创新意义重大</w:t>
            </w:r>
            <w:r>
              <w:rPr>
                <w:rFonts w:eastAsia="仿宋_GB2312"/>
                <w:sz w:val="24"/>
              </w:rPr>
              <w:t>。</w:t>
            </w:r>
          </w:p>
          <w:p w14:paraId="199743B3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经16年积累，取得多个标志性成果：</w:t>
            </w:r>
            <w:r>
              <w:rPr>
                <w:rFonts w:eastAsia="仿宋_GB2312"/>
                <w:sz w:val="24"/>
              </w:rPr>
              <w:t>1. 建立了</w:t>
            </w:r>
            <w:r>
              <w:rPr>
                <w:rFonts w:hint="eastAsia"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hint="eastAsia" w:eastAsia="仿宋_GB2312"/>
                <w:sz w:val="24"/>
              </w:rPr>
              <w:t>早期诊断</w:t>
            </w:r>
            <w:r>
              <w:rPr>
                <w:rFonts w:eastAsia="仿宋_GB2312"/>
                <w:sz w:val="24"/>
              </w:rPr>
              <w:t>体系。</w:t>
            </w:r>
            <w:r>
              <w:rPr>
                <w:rFonts w:hint="eastAsia" w:eastAsia="仿宋_GB2312"/>
                <w:sz w:val="24"/>
              </w:rPr>
              <w:t>① 揭示了早期AD诊断的影像学特征。提出大脑结构及功能不对称性是早期AD特征的理论，建立国际最大规模全生命周期大脑结构形态学不对称图谱；发现早期AD左右扣带回磁共振波谱非对称性特征，指导AD早期诊断、量表研制。② 编制数字化“轻度认知损害筛查量表”，本土化AD8量表，广泛应用于AD早期筛查。③ 首次发现空间边界信息影响记忆功能的促进与抑制的双重效应，为进一步完善早期诊断理论提供支持。2</w:t>
            </w:r>
            <w:r>
              <w:rPr>
                <w:rFonts w:eastAsia="仿宋_GB2312"/>
                <w:sz w:val="24"/>
              </w:rPr>
              <w:t xml:space="preserve">. </w:t>
            </w:r>
            <w:r>
              <w:rPr>
                <w:rFonts w:hint="eastAsia" w:eastAsia="仿宋_GB2312"/>
                <w:sz w:val="24"/>
              </w:rPr>
              <w:t>创新多个AD防治关键技术。①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开展精准</w:t>
            </w:r>
            <w:r>
              <w:rPr>
                <w:rFonts w:eastAsia="仿宋_GB2312"/>
                <w:sz w:val="24"/>
              </w:rPr>
              <w:t>定位</w:t>
            </w:r>
            <w:r>
              <w:rPr>
                <w:rFonts w:hint="eastAsia" w:eastAsia="仿宋_GB2312"/>
                <w:sz w:val="24"/>
              </w:rPr>
              <w:t>神经调控，探索出AD有效治疗新途径，改善了AD认知功能。② 致力于提高照护者与患者的沟通技巧、护理能力，改善了A</w:t>
            </w:r>
            <w:r>
              <w:rPr>
                <w:rFonts w:eastAsia="仿宋_GB2312"/>
                <w:sz w:val="24"/>
              </w:rPr>
              <w:t>D症状，</w:t>
            </w:r>
            <w:r>
              <w:rPr>
                <w:rFonts w:hint="eastAsia" w:eastAsia="仿宋_GB2312"/>
                <w:sz w:val="24"/>
              </w:rPr>
              <w:t>填补痴呆照护技术空白。</w:t>
            </w:r>
          </w:p>
          <w:p w14:paraId="28350B7D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该成果创新的理论与关键技术，</w:t>
            </w:r>
            <w:r>
              <w:rPr>
                <w:rFonts w:eastAsia="仿宋_GB2312"/>
                <w:sz w:val="24"/>
              </w:rPr>
              <w:t>被</w:t>
            </w:r>
            <w:r>
              <w:rPr>
                <w:rFonts w:hint="eastAsia" w:eastAsia="仿宋_GB2312"/>
                <w:sz w:val="24"/>
              </w:rPr>
              <w:t>世界卫生组织、国家卫生健康委员会</w:t>
            </w:r>
            <w:r>
              <w:rPr>
                <w:rFonts w:eastAsia="仿宋_GB2312"/>
                <w:sz w:val="24"/>
              </w:rPr>
              <w:t>等</w:t>
            </w:r>
            <w:r>
              <w:rPr>
                <w:rFonts w:hint="eastAsia" w:eastAsia="仿宋_GB2312"/>
                <w:sz w:val="24"/>
              </w:rPr>
              <w:t>采用，写入中华医学会《中国老年期痴呆防治指南（2</w:t>
            </w:r>
            <w:r>
              <w:rPr>
                <w:rFonts w:eastAsia="仿宋_GB2312"/>
                <w:sz w:val="24"/>
              </w:rPr>
              <w:t>021</w:t>
            </w:r>
            <w:r>
              <w:rPr>
                <w:rFonts w:hint="eastAsia" w:eastAsia="仿宋_GB2312"/>
                <w:sz w:val="24"/>
              </w:rPr>
              <w:t>）》，在全国29家医疗机构推广应用；连续举办全国学习班15届，培养专业人员两千余人，社会效益十分显著。在国内外发表论文</w:t>
            </w:r>
            <w:r>
              <w:rPr>
                <w:rFonts w:eastAsia="仿宋_GB2312"/>
                <w:sz w:val="24"/>
              </w:rPr>
              <w:t>13</w:t>
            </w:r>
            <w:r>
              <w:rPr>
                <w:rFonts w:hint="eastAsia" w:eastAsia="仿宋_GB2312"/>
                <w:sz w:val="24"/>
              </w:rPr>
              <w:t>篇，获发明专利3项，软件专利1项，专著1本。</w:t>
            </w:r>
            <w:bookmarkStart w:id="4" w:name="_GoBack"/>
            <w:bookmarkEnd w:id="4"/>
          </w:p>
          <w:p w14:paraId="2B1E0056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提名该成果为省科学技术进步奖一等奖。</w:t>
            </w:r>
          </w:p>
          <w:p w14:paraId="6BF58F1E">
            <w:pPr>
              <w:spacing w:line="4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35928F">
            <w:pPr>
              <w:ind w:firstLine="480" w:firstLineChars="200"/>
              <w:rPr>
                <w:rStyle w:val="7"/>
                <w:b w:val="0"/>
                <w:color w:val="auto"/>
              </w:rPr>
            </w:pPr>
          </w:p>
        </w:tc>
      </w:tr>
    </w:tbl>
    <w:p w14:paraId="18F66E94"/>
    <w:p w14:paraId="77BD0F9C"/>
    <w:p w14:paraId="2674703B"/>
    <w:p w14:paraId="16EF233C"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65"/>
        <w:gridCol w:w="696"/>
        <w:gridCol w:w="1686"/>
        <w:gridCol w:w="1266"/>
        <w:gridCol w:w="1057"/>
        <w:gridCol w:w="696"/>
        <w:gridCol w:w="879"/>
        <w:gridCol w:w="1105"/>
      </w:tblGrid>
      <w:tr w14:paraId="5675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FDE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5557088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CC8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705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4F6ECA81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D83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368FD6D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246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12A7C40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04C354A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B43B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7A7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4A4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12C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57E2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84BB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发明专利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744D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计算机辅助筛查老年轻度认知损害的装置.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D8C2B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中国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81B5">
            <w:pP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  <w:t>发明专利号：ZL 201010508406.2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041C">
            <w:pP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  <w:t>2012-7-4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3E716">
            <w:pP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  <w:t>993604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CCD5C">
            <w:p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浙江大学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54692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陈炜，沈悦娣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，许百华.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90D3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有效</w:t>
            </w:r>
          </w:p>
        </w:tc>
      </w:tr>
      <w:tr w14:paraId="2BC7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8241">
            <w:p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发明专利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215F">
            <w:p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一种磁共振图像数据的处理方法、装置和存储介质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8720">
            <w:p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中国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074E">
            <w:pP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  <w:t>发明专利号：ZL 202310502624.2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FC55">
            <w:pP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  <w:t>2023-8-23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27A3">
            <w:pP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Cs w:val="21"/>
              </w:rPr>
              <w:t>6263616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C66A">
            <w:p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杭州师范大学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A160E">
            <w:p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沈悦娣，陈炜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6C899">
            <w:p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有效</w:t>
            </w:r>
          </w:p>
        </w:tc>
      </w:tr>
      <w:tr w14:paraId="34D9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D63AF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发明专利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02DCF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一种基于权重功能连接的个体化靶点定位方法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9ABFF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413BCA">
            <w:pP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发明专利号：ZL 202011332987.9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5CE6A">
            <w:pP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2024年07月23日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6871B">
            <w:pP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7225675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E34839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浙江大学医学院附属邵逸夫医院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25416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陈炜、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沈悦娣</w:t>
            </w: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钱敏才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4C8D86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有效</w:t>
            </w:r>
          </w:p>
        </w:tc>
      </w:tr>
      <w:tr w14:paraId="5B87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85D39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计算机软件著作权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4E64B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基于个体EEG特征频率的TMS干预系统V1.0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21347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中国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2AD94">
            <w:pP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登记号：2023SR1420826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E9FD3">
            <w:pP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2023-02-10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31EF7">
            <w:pPr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12007999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DAE91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BA2FE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陈炜，魏丽丽，沈悦娣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，凌鹏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D4FBC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有效</w:t>
            </w:r>
          </w:p>
        </w:tc>
      </w:tr>
      <w:tr w14:paraId="3B7C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3F6DB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C0256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7C9EA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D4D47">
            <w:pP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F7D02">
            <w:pP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7734BA">
            <w:pP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3833F">
            <w:pP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72BA2">
            <w:pP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CD4F0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</w:tbl>
    <w:p w14:paraId="015946F4">
      <w:pPr>
        <w:rPr>
          <w:rFonts w:eastAsia="黑体"/>
          <w:sz w:val="32"/>
          <w:szCs w:val="32"/>
        </w:rPr>
      </w:pPr>
    </w:p>
    <w:p w14:paraId="65805B9B"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八、代表性论文专著目录</w:t>
      </w:r>
    </w:p>
    <w:tbl>
      <w:tblPr>
        <w:tblStyle w:val="4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 w14:paraId="02FBF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83D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154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AF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789F098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481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5F9063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033776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36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0FE5573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14:paraId="233DE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80859">
            <w:pPr>
              <w:spacing w:line="0" w:lineRule="atLeas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李涛，</w:t>
            </w:r>
            <w:r>
              <w:rPr>
                <w:rFonts w:hint="eastAsia" w:eastAsia="仿宋_GB2312"/>
                <w:b/>
                <w:bCs/>
                <w:sz w:val="18"/>
                <w:szCs w:val="18"/>
                <w:u w:val="single"/>
              </w:rPr>
              <w:t>王华丽</w:t>
            </w:r>
            <w:r>
              <w:rPr>
                <w:rFonts w:hint="eastAsia" w:eastAsia="仿宋_GB2312"/>
                <w:bCs/>
                <w:sz w:val="18"/>
                <w:szCs w:val="18"/>
              </w:rPr>
              <w:t>*，杨渊韩，Galvin JE，Morris JC，于欣.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F62F8">
            <w:pPr>
              <w:spacing w:line="0" w:lineRule="atLeas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中文版《AD8》信度与效度的初步研究. </w:t>
            </w:r>
            <w:r>
              <w:rPr>
                <w:rFonts w:hint="eastAsia" w:eastAsia="仿宋_GB2312"/>
                <w:bCs/>
                <w:i/>
                <w:sz w:val="18"/>
                <w:szCs w:val="18"/>
              </w:rPr>
              <w:t>中华内科杂志</w:t>
            </w:r>
            <w:r>
              <w:rPr>
                <w:rFonts w:eastAsia="仿宋_GB2312"/>
                <w:bCs/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1A04A">
            <w:pPr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2012;55:777-780.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8B8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012</w:t>
            </w:r>
            <w:r>
              <w:rPr>
                <w:rFonts w:hint="eastAsia"/>
                <w:sz w:val="18"/>
                <w:szCs w:val="18"/>
              </w:rPr>
              <w:t>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C8EE9"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</w:tr>
      <w:tr w14:paraId="39AF1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E333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Guo Z</w:t>
            </w:r>
            <w:r>
              <w:rPr>
                <w:rFonts w:hint="eastAsia" w:eastAsia="仿宋_GB2312"/>
                <w:bCs/>
                <w:sz w:val="18"/>
                <w:szCs w:val="18"/>
              </w:rPr>
              <w:t>W</w:t>
            </w:r>
            <w:r>
              <w:rPr>
                <w:rFonts w:eastAsia="仿宋_GB2312"/>
                <w:bCs/>
                <w:sz w:val="18"/>
                <w:szCs w:val="18"/>
              </w:rPr>
              <w:t>, Liu X</w:t>
            </w:r>
            <w:r>
              <w:rPr>
                <w:rFonts w:hint="eastAsia" w:eastAsia="仿宋_GB2312"/>
                <w:bCs/>
                <w:sz w:val="18"/>
                <w:szCs w:val="18"/>
              </w:rPr>
              <w:t>Z</w:t>
            </w:r>
            <w:r>
              <w:rPr>
                <w:rFonts w:eastAsia="仿宋_GB2312"/>
                <w:bCs/>
                <w:sz w:val="18"/>
                <w:szCs w:val="18"/>
              </w:rPr>
              <w:t>, Hou H</w:t>
            </w:r>
            <w:r>
              <w:rPr>
                <w:rFonts w:hint="eastAsia" w:eastAsia="仿宋_GB2312"/>
                <w:bCs/>
                <w:sz w:val="18"/>
                <w:szCs w:val="18"/>
              </w:rPr>
              <w:t>T</w:t>
            </w:r>
            <w:r>
              <w:rPr>
                <w:rFonts w:eastAsia="仿宋_GB2312"/>
                <w:bCs/>
                <w:sz w:val="18"/>
                <w:szCs w:val="18"/>
              </w:rPr>
              <w:t>, Cao Y</w:t>
            </w:r>
            <w:r>
              <w:rPr>
                <w:rFonts w:hint="eastAsia" w:eastAsia="仿宋_GB2312"/>
                <w:bCs/>
                <w:sz w:val="18"/>
                <w:szCs w:val="18"/>
              </w:rPr>
              <w:t>L</w:t>
            </w:r>
            <w:r>
              <w:rPr>
                <w:rFonts w:eastAsia="仿宋_GB2312"/>
                <w:bCs/>
                <w:sz w:val="18"/>
                <w:szCs w:val="18"/>
              </w:rPr>
              <w:t>, Wei F</w:t>
            </w:r>
            <w:r>
              <w:rPr>
                <w:rFonts w:hint="eastAsia" w:eastAsia="仿宋_GB2312"/>
                <w:bCs/>
                <w:sz w:val="18"/>
                <w:szCs w:val="18"/>
              </w:rPr>
              <w:t>Q</w:t>
            </w:r>
            <w:r>
              <w:rPr>
                <w:rFonts w:eastAsia="仿宋_GB2312"/>
                <w:bCs/>
                <w:sz w:val="18"/>
                <w:szCs w:val="18"/>
              </w:rPr>
              <w:t>, Cheng Y</w:t>
            </w:r>
            <w:r>
              <w:rPr>
                <w:rFonts w:hint="eastAsia" w:eastAsia="仿宋_GB2312"/>
                <w:bCs/>
                <w:sz w:val="18"/>
                <w:szCs w:val="18"/>
              </w:rPr>
              <w:t>G</w:t>
            </w:r>
            <w:r>
              <w:rPr>
                <w:rFonts w:eastAsia="仿宋_GB2312"/>
                <w:bCs/>
                <w:sz w:val="18"/>
                <w:szCs w:val="18"/>
              </w:rPr>
              <w:t>, Wang G, Chen X</w:t>
            </w:r>
            <w:r>
              <w:rPr>
                <w:rFonts w:hint="eastAsia" w:eastAsia="仿宋_GB2312"/>
                <w:bCs/>
                <w:sz w:val="18"/>
                <w:szCs w:val="18"/>
              </w:rPr>
              <w:t>L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, </w:t>
            </w:r>
            <w:r>
              <w:rPr>
                <w:rFonts w:eastAsia="仿宋_GB2312"/>
                <w:b/>
                <w:bCs/>
                <w:sz w:val="18"/>
                <w:szCs w:val="18"/>
                <w:u w:val="single"/>
              </w:rPr>
              <w:t>Chen W</w:t>
            </w:r>
            <w:r>
              <w:rPr>
                <w:rFonts w:eastAsia="仿宋_GB2312"/>
                <w:bCs/>
                <w:sz w:val="18"/>
                <w:szCs w:val="18"/>
              </w:rPr>
              <w:t>*</w:t>
            </w:r>
            <w:r>
              <w:rPr>
                <w:rFonts w:hint="eastAsia" w:eastAsia="仿宋_GB2312"/>
                <w:bCs/>
                <w:sz w:val="18"/>
                <w:szCs w:val="18"/>
              </w:rPr>
              <w:t>.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6390A">
            <w:pPr>
              <w:pStyle w:val="3"/>
              <w:spacing w:line="0" w:lineRule="atLeast"/>
              <w:ind w:firstLine="0" w:firstLineChars="0"/>
              <w:rPr>
                <w:rFonts w:ascii="Times New Roman" w:eastAsia="仿宋_GB2312"/>
                <w:bCs/>
                <w:sz w:val="18"/>
                <w:szCs w:val="18"/>
              </w:rPr>
            </w:pPr>
            <w:r>
              <w:rPr>
                <w:rFonts w:ascii="Times New Roman" w:eastAsia="仿宋_GB2312"/>
                <w:bCs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仿宋_GB2312"/>
                <w:bCs/>
                <w:sz w:val="18"/>
                <w:szCs w:val="18"/>
              </w:rPr>
              <w:t>H-MRS asymmetry changes in the anterior and posterior cingulate gyrus in patients with mild cognitive impairment and mild Alzheimer's disease</w:t>
            </w:r>
            <w:r>
              <w:rPr>
                <w:rFonts w:hint="eastAsia" w:ascii="Times New Roman" w:eastAsia="仿宋_GB2312"/>
                <w:bCs/>
                <w:sz w:val="18"/>
                <w:szCs w:val="18"/>
              </w:rPr>
              <w:t>.</w:t>
            </w:r>
            <w:r>
              <w:rPr>
                <w:rFonts w:ascii="Times New Roman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/>
                <w:bCs/>
                <w:i/>
                <w:sz w:val="18"/>
                <w:szCs w:val="18"/>
              </w:rPr>
              <w:t>Compr Psychiatry</w:t>
            </w:r>
            <w:r>
              <w:rPr>
                <w:rFonts w:ascii="Times New Roman" w:eastAsia="仿宋_GB2312"/>
                <w:bCs/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147D5">
            <w:pPr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2016</w:t>
            </w:r>
            <w:r>
              <w:rPr>
                <w:rFonts w:hint="eastAsia" w:eastAsia="仿宋_GB2312"/>
                <w:bCs/>
                <w:sz w:val="18"/>
                <w:szCs w:val="18"/>
              </w:rPr>
              <w:t>;</w:t>
            </w:r>
            <w:r>
              <w:rPr>
                <w:rFonts w:eastAsia="仿宋_GB2312"/>
                <w:bCs/>
                <w:sz w:val="18"/>
                <w:szCs w:val="18"/>
              </w:rPr>
              <w:t>69:179</w:t>
            </w:r>
            <w:r>
              <w:rPr>
                <w:rFonts w:hint="eastAsia" w:eastAsia="仿宋_GB2312"/>
                <w:bCs/>
                <w:sz w:val="18"/>
                <w:szCs w:val="18"/>
              </w:rPr>
              <w:t>-1</w:t>
            </w:r>
            <w:r>
              <w:rPr>
                <w:rFonts w:eastAsia="仿宋_GB2312"/>
                <w:bCs/>
                <w:sz w:val="18"/>
                <w:szCs w:val="18"/>
              </w:rPr>
              <w:t>85.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C98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2016,08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B6D20"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 w14:paraId="48408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07DD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  <w:u w:val="single"/>
              </w:rPr>
              <w:t>Kong XZ</w:t>
            </w:r>
            <w:r>
              <w:rPr>
                <w:rFonts w:hint="eastAsia" w:eastAsia="仿宋_GB2312"/>
                <w:bCs/>
                <w:sz w:val="18"/>
                <w:szCs w:val="18"/>
              </w:rPr>
              <w:t>*</w:t>
            </w:r>
            <w:r>
              <w:rPr>
                <w:rFonts w:eastAsia="仿宋_GB2312"/>
                <w:bCs/>
                <w:sz w:val="18"/>
                <w:szCs w:val="18"/>
              </w:rPr>
              <w:t>, Mathias SR, Guadalupe T; ENIGMA Laterality Working Group, Glahn DC, Franke B, Crivello F, Tzourio-Mazoyer N, Fisher SE, Thompson PM, Francks C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vertAlign w:val="superscript"/>
              </w:rPr>
              <w:t>＊</w:t>
            </w:r>
            <w:r>
              <w:rPr>
                <w:rFonts w:eastAsia="仿宋_GB2312"/>
                <w:bCs/>
                <w:sz w:val="18"/>
                <w:szCs w:val="18"/>
              </w:rPr>
              <w:t>.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CD74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Mapping cortical brain asymmetry in 17,141 healthy individuals worldwide via the ENIGMA Consortium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. </w:t>
            </w:r>
            <w:r>
              <w:rPr>
                <w:rFonts w:eastAsia="仿宋_GB2312"/>
                <w:bCs/>
                <w:i/>
                <w:sz w:val="18"/>
                <w:szCs w:val="18"/>
              </w:rPr>
              <w:t>PNAS</w:t>
            </w:r>
            <w:r>
              <w:rPr>
                <w:rFonts w:eastAsia="仿宋_GB2312"/>
                <w:bCs/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3EFF2">
            <w:pPr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2018;115:E5154-E5163.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2C7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</w:t>
            </w:r>
            <w:r>
              <w:rPr>
                <w:rFonts w:hint="eastAsia"/>
                <w:sz w:val="18"/>
                <w:szCs w:val="18"/>
              </w:rPr>
              <w:t>,05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906C8"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 w14:paraId="5D23E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14A5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 Y, </w:t>
            </w:r>
            <w:r>
              <w:rPr>
                <w:rFonts w:eastAsia="仿宋_GB2312"/>
                <w:b/>
                <w:bCs/>
                <w:sz w:val="18"/>
                <w:szCs w:val="18"/>
                <w:u w:val="single"/>
              </w:rPr>
              <w:t>Kong XZ</w:t>
            </w:r>
            <w:r>
              <w:rPr>
                <w:rFonts w:hint="eastAsia" w:eastAsia="仿宋_GB2312"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, Ranganath C, Melloni L.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26E5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boundaries shape temporal organization of memory by resetting temporal context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Nat Commun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CD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2022;13:622.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9FCE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2022, 02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D8015"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 w14:paraId="0DC68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EA9B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>Wei L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>Zhang</w:t>
            </w:r>
            <w:r>
              <w:rPr>
                <w:rFonts w:hint="eastAsia"/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 xml:space="preserve"> Y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Wang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 J,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>Xu</w:t>
            </w:r>
            <w:r>
              <w:rPr>
                <w:rFonts w:hint="eastAsia"/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 xml:space="preserve"> L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>Yang</w:t>
            </w:r>
            <w:r>
              <w:rPr>
                <w:rFonts w:hint="eastAsia"/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 xml:space="preserve"> K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Lv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 X, 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Zhu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 Z, 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Gong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 Q, 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Hu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 W,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 xml:space="preserve"> Li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 X, 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Qian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 M, </w:t>
            </w:r>
            <w:r>
              <w:rPr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>Shen</w:t>
            </w:r>
            <w:r>
              <w:rPr>
                <w:rFonts w:hint="eastAsia"/>
                <w:b/>
                <w:color w:val="4A4A4A"/>
                <w:sz w:val="18"/>
                <w:szCs w:val="18"/>
                <w:u w:val="single"/>
                <w:shd w:val="clear" w:color="auto" w:fill="FFFFFF"/>
              </w:rPr>
              <w:t xml:space="preserve"> Y</w:t>
            </w:r>
            <w:r>
              <w:rPr>
                <w:rFonts w:hint="eastAsia" w:eastAsia="仿宋_GB2312"/>
                <w:bCs/>
                <w:sz w:val="18"/>
                <w:szCs w:val="18"/>
              </w:rPr>
              <w:t>*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Chen W</w:t>
            </w:r>
            <w:r>
              <w:rPr>
                <w:rFonts w:hint="eastAsia" w:eastAsia="仿宋_GB2312"/>
                <w:bCs/>
                <w:sz w:val="18"/>
                <w:szCs w:val="18"/>
              </w:rPr>
              <w:t>*</w:t>
            </w:r>
            <w:r>
              <w:rPr>
                <w:rFonts w:hint="eastAsia"/>
                <w:color w:val="4A4A4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F8400">
            <w:pPr>
              <w:spacing w:line="0" w:lineRule="atLeast"/>
              <w:rPr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color w:val="000000"/>
                <w:sz w:val="18"/>
                <w:szCs w:val="18"/>
              </w:rPr>
              <w:t>Parietal-hippocampal rTMS Improves Cognitive Function in Alzheimer's disease and Increases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Dynamic Functional Connectivity of Default Mode Network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 xml:space="preserve">. </w:t>
            </w:r>
            <w:bookmarkStart w:id="2" w:name="OLE_LINK5"/>
            <w:bookmarkStart w:id="3" w:name="OLE_LINK6"/>
            <w:r>
              <w:rPr>
                <w:i/>
                <w:color w:val="4A4A4A"/>
                <w:sz w:val="18"/>
                <w:szCs w:val="18"/>
                <w:shd w:val="clear" w:color="auto" w:fill="FFFFFF"/>
              </w:rPr>
              <w:t>Psychiatry Res</w:t>
            </w:r>
            <w:bookmarkEnd w:id="0"/>
            <w:bookmarkEnd w:id="1"/>
            <w:bookmarkEnd w:id="2"/>
            <w:bookmarkEnd w:id="3"/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8060F">
            <w:pPr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2022;</w:t>
            </w:r>
            <w:r>
              <w:rPr>
                <w:rFonts w:hint="eastAsia" w:eastAsia="仿宋_GB2312"/>
                <w:bCs/>
                <w:sz w:val="18"/>
                <w:szCs w:val="18"/>
              </w:rPr>
              <w:t>315:114721</w:t>
            </w:r>
            <w:r>
              <w:rPr>
                <w:rFonts w:eastAsia="仿宋_GB2312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C8BF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2022,07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43600"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</w:tr>
      <w:tr w14:paraId="4BC9D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6A101">
            <w:pPr>
              <w:spacing w:line="0" w:lineRule="atLeast"/>
              <w:rPr>
                <w:rFonts w:hint="eastAsia" w:eastAsia="宋体"/>
                <w:b/>
                <w:color w:val="4A4A4A"/>
                <w:sz w:val="18"/>
                <w:szCs w:val="1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18"/>
                <w:szCs w:val="18"/>
                <w:lang w:val="en-US" w:eastAsia="zh-CN"/>
              </w:rPr>
              <w:t>王华丽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C500E">
            <w:pPr>
              <w:spacing w:line="0" w:lineRule="atLeas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val="en-US" w:eastAsia="zh-CN"/>
              </w:rPr>
              <w:t>痴呆居家照护辅导-辅导员工作手册.</w:t>
            </w:r>
            <w:r>
              <w:rPr>
                <w:rFonts w:hint="eastAsia" w:eastAsia="仿宋_GB2312"/>
                <w:bCs/>
                <w:sz w:val="18"/>
                <w:szCs w:val="18"/>
                <w:lang w:val="en-US" w:eastAsia="zh-CN"/>
              </w:rPr>
              <w:t>北京大学医学出版社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B6626">
            <w:pPr>
              <w:rPr>
                <w:rFonts w:hint="default" w:eastAsia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val="en-US" w:eastAsia="zh-CN"/>
              </w:rPr>
              <w:t>ISBN:97875659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9A516"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0F24D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50BE5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4DF2A3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EFF8894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296</w:t>
            </w:r>
          </w:p>
        </w:tc>
      </w:tr>
    </w:tbl>
    <w:p w14:paraId="337BC802"/>
    <w:sectPr>
      <w:pgSz w:w="11906" w:h="16838"/>
      <w:pgMar w:top="1327" w:right="140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TM1NGQ1OWM5NTVmNzU5NzdmNTgyNGQyMzQyODkifQ=="/>
  </w:docVars>
  <w:rsids>
    <w:rsidRoot w:val="00000000"/>
    <w:rsid w:val="02833336"/>
    <w:rsid w:val="0499715C"/>
    <w:rsid w:val="050C13ED"/>
    <w:rsid w:val="09330EBC"/>
    <w:rsid w:val="27E46300"/>
    <w:rsid w:val="4937125E"/>
    <w:rsid w:val="62C4302B"/>
    <w:rsid w:val="727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styleId="6">
    <w:name w:val="annotation reference"/>
    <w:qFormat/>
    <w:uiPriority w:val="99"/>
    <w:rPr>
      <w:sz w:val="21"/>
      <w:szCs w:val="21"/>
    </w:rPr>
  </w:style>
  <w:style w:type="character" w:customStyle="1" w:styleId="7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1559</Words>
  <Characters>2453</Characters>
  <Lines>0</Lines>
  <Paragraphs>0</Paragraphs>
  <TotalTime>0</TotalTime>
  <ScaleCrop>false</ScaleCrop>
  <LinksUpToDate>false</LinksUpToDate>
  <CharactersWithSpaces>2606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2024-08-01T10:48:00Z</dcterms:created>
  <dc:creator>86158</dc:creator>
  <cp:lastModifiedBy>马马丹</cp:lastModifiedBy>
  <dcterms:modified xsi:type="dcterms:W3CDTF">2024-08-13T09:54:23Z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9FA340C788A74FC4AC4862E239D82E9E_13</vt:lpwstr>
  </property>
</Properties>
</file>