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C1D2A">
      <w:pPr>
        <w:jc w:val="center"/>
        <w:rPr>
          <w:rStyle w:val="9"/>
          <w:rFonts w:eastAsia="方正小标宋简体"/>
          <w:bCs w:val="0"/>
          <w:color w:val="auto"/>
          <w:sz w:val="36"/>
          <w:szCs w:val="36"/>
        </w:rPr>
      </w:pPr>
      <w:r>
        <w:rPr>
          <w:rStyle w:val="9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Style w:val="9"/>
          <w:rFonts w:eastAsia="仿宋_GB2312"/>
          <w:b w:val="0"/>
          <w:color w:val="auto"/>
          <w:sz w:val="32"/>
          <w:szCs w:val="32"/>
        </w:rPr>
        <w:t>（单位提名）</w:t>
      </w:r>
    </w:p>
    <w:p w14:paraId="74779EA9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提名奖项：（科学技术进步奖）</w:t>
      </w:r>
    </w:p>
    <w:tbl>
      <w:tblPr>
        <w:tblStyle w:val="6"/>
        <w:tblW w:w="857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158"/>
      </w:tblGrid>
      <w:tr w14:paraId="1FB9A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15" w:type="dxa"/>
            <w:vAlign w:val="center"/>
          </w:tcPr>
          <w:p w14:paraId="2C0EA166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7158" w:type="dxa"/>
            <w:vAlign w:val="center"/>
          </w:tcPr>
          <w:p w14:paraId="48527E07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新型医学检验诊断标志物的研发关键技术创新与临床应用</w:t>
            </w:r>
          </w:p>
        </w:tc>
      </w:tr>
      <w:tr w14:paraId="1D41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5" w:type="dxa"/>
            <w:vAlign w:val="center"/>
          </w:tcPr>
          <w:p w14:paraId="2F483219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7158" w:type="dxa"/>
            <w:vAlign w:val="center"/>
          </w:tcPr>
          <w:p w14:paraId="7FB6A76B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9"/>
                <w:rFonts w:hint="eastAsia" w:ascii="仿宋" w:hAnsi="仿宋" w:eastAsia="仿宋" w:cs="仿宋"/>
                <w:b w:val="0"/>
                <w:color w:val="auto"/>
                <w:sz w:val="28"/>
                <w:szCs w:val="28"/>
              </w:rPr>
              <w:t>二等奖</w:t>
            </w:r>
          </w:p>
        </w:tc>
      </w:tr>
      <w:tr w14:paraId="2F9A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415" w:type="dxa"/>
            <w:vAlign w:val="center"/>
          </w:tcPr>
          <w:p w14:paraId="7D5E06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B274FA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7158" w:type="dxa"/>
            <w:vAlign w:val="center"/>
          </w:tcPr>
          <w:p w14:paraId="4E280EF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自然科学奖：提名书的代表性论文专著目录、主要知识产权和标准规范目录；</w:t>
            </w:r>
          </w:p>
          <w:p w14:paraId="71D3DEC4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技术发明奖：提名书的主要知识产权和标准规范目录；</w:t>
            </w:r>
          </w:p>
          <w:p w14:paraId="681603C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科学技术进步奖：提名书的主要知识产权和标准规范目录、代表性论文专著目录。</w:t>
            </w:r>
          </w:p>
        </w:tc>
      </w:tr>
      <w:tr w14:paraId="52801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7AA59C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7158" w:type="dxa"/>
            <w:tcBorders>
              <w:left w:val="single" w:color="auto" w:sz="4" w:space="0"/>
            </w:tcBorders>
            <w:vAlign w:val="center"/>
          </w:tcPr>
          <w:p w14:paraId="0D441C11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张钧，排名1，教授，浙江大学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08F55EB1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谢鑫友，排名2，教授，浙江大学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483E6DB7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阮陟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，排名3，副研究员，浙江大学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1E03CEEA">
            <w:pPr>
              <w:spacing w:line="4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金红，排名4，副主任技师，浙江大学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13259AC9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吴胜军，排名5，主任技师，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24AFD834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李风英，排名6，副主任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09060BCD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于海涛，排名7，副主任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47FF60D5">
            <w:pPr>
              <w:spacing w:line="4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王燕忠，排名8，副主任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；</w:t>
            </w:r>
          </w:p>
          <w:p w14:paraId="2B32AF69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马义磊，排名9，副主任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，浙江大学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医学院附属邵逸夫医院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</w:tc>
      </w:tr>
      <w:tr w14:paraId="4D992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6C2DEFA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7158" w:type="dxa"/>
            <w:tcBorders>
              <w:left w:val="single" w:color="auto" w:sz="4" w:space="0"/>
            </w:tcBorders>
            <w:vAlign w:val="center"/>
          </w:tcPr>
          <w:p w14:paraId="4CF0D145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1.单位名称：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浙江大学</w:t>
            </w:r>
          </w:p>
        </w:tc>
      </w:tr>
      <w:tr w14:paraId="7A67E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15" w:type="dxa"/>
            <w:vAlign w:val="center"/>
          </w:tcPr>
          <w:p w14:paraId="06F79521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7158" w:type="dxa"/>
            <w:vAlign w:val="center"/>
          </w:tcPr>
          <w:p w14:paraId="6320BFB8">
            <w:pPr>
              <w:contextualSpacing/>
              <w:jc w:val="center"/>
              <w:rPr>
                <w:rStyle w:val="9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浙江大学</w:t>
            </w:r>
          </w:p>
        </w:tc>
      </w:tr>
      <w:tr w14:paraId="4AAAD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415" w:type="dxa"/>
            <w:vAlign w:val="center"/>
          </w:tcPr>
          <w:p w14:paraId="7E1E0125">
            <w:pPr>
              <w:jc w:val="center"/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9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7158" w:type="dxa"/>
            <w:vAlign w:val="center"/>
          </w:tcPr>
          <w:p w14:paraId="7E37ECBD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依托浙江省医学创新学科——个体化检验诊断学及浙江省医学精准检验与监测研究重点实验室，在省内率先建立医学精准检测与监测研究平台。该平台借助代谢组学、蛋白质组学等在内的多组学、人工智能与大数据技术，整合多维度检验数据，有效提高了临床重大疾病诊断的精准性。在以下方面实现了关键技术创新：① 筛选新型肿瘤早期诊断和精准诊疗生物标志物，对乳腺癌、结直肠癌及非小细胞癌进行快速检测并对治疗效果进行评估预测，助力肿瘤精准化诊疗；② 研发一站式病原微生物流行病学监测与快速药敏分析系统，在临床重要病原菌传播早期预警方面的应用处于国内领先地位，为院感防控及抗菌药物合理应用提供精确导向。建立新冠病毒感染的精准检测与监测新技术，为新冠肺炎科学防治提供重要支撑，发布并实施国家团体标准《应急核酸检测实验室运行管理规范》；③ 建立基于代谢组学技术鉴定与慢病诊断相关的代谢标志物，为疾病诊断和治疗提供新思路。运用数字化技术建立了替代人工进行骨髓片精准阅片、诊断白血病的人工智能精准诊断方法，大幅度降低了人力成本并提升了标准化程度。上述技术成果已在全国二十余家医疗机构推广应用，连续举办全国学习班15届，培养专业人员两千余人，具有显著的创新性和社会公益价值。在国内外学术期刊发表论文100余篇，授权国家发明专利3项，登记计算机软件著作权6项。</w:t>
            </w:r>
          </w:p>
          <w:p w14:paraId="1BC75F97">
            <w:pPr>
              <w:ind w:firstLine="560" w:firstLineChars="200"/>
              <w:rPr>
                <w:rStyle w:val="9"/>
                <w:b w:val="0"/>
                <w:color w:val="auto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提名该成果为浙江省科学技术进步奖二等奖。</w:t>
            </w:r>
          </w:p>
        </w:tc>
      </w:tr>
    </w:tbl>
    <w:p w14:paraId="17614610"/>
    <w:p w14:paraId="09C98AAA"/>
    <w:p w14:paraId="13D94DBD"/>
    <w:p w14:paraId="1288050F"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七、主要知识产权和标准规范目录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66"/>
        <w:gridCol w:w="696"/>
        <w:gridCol w:w="1686"/>
        <w:gridCol w:w="1266"/>
        <w:gridCol w:w="1056"/>
        <w:gridCol w:w="697"/>
        <w:gridCol w:w="879"/>
        <w:gridCol w:w="1104"/>
      </w:tblGrid>
      <w:tr w14:paraId="25614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C92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</w:t>
            </w:r>
          </w:p>
          <w:p w14:paraId="5BD063B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4F4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256C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</w:t>
            </w:r>
          </w:p>
          <w:p w14:paraId="08F98205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AEDD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授权号</w:t>
            </w:r>
          </w:p>
          <w:p w14:paraId="2D2A453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AB77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授权</w:t>
            </w:r>
          </w:p>
          <w:p w14:paraId="2697CA53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2839A0AE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F479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A7D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B8F1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E25A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14:paraId="54506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BDCBB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发明专利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FABDA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一种基于代谢组学的代谢物组合模型的数据迭代处理方法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0B3B3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中国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A83E9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发明专利号：ZL 202311403314.1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7017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2024</w:t>
            </w:r>
            <w:r>
              <w:rPr>
                <w:rFonts w:hint="eastAsia" w:eastAsia="仿宋"/>
                <w:bCs/>
                <w:szCs w:val="21"/>
              </w:rPr>
              <w:t>-</w:t>
            </w:r>
            <w:r>
              <w:rPr>
                <w:rFonts w:eastAsia="仿宋"/>
                <w:bCs/>
                <w:szCs w:val="21"/>
              </w:rPr>
              <w:t>07</w:t>
            </w:r>
            <w:r>
              <w:rPr>
                <w:rFonts w:hint="eastAsia" w:eastAsia="仿宋"/>
                <w:bCs/>
                <w:szCs w:val="21"/>
              </w:rPr>
              <w:t>-</w:t>
            </w:r>
            <w:r>
              <w:rPr>
                <w:rFonts w:eastAsia="仿宋"/>
                <w:bCs/>
                <w:szCs w:val="21"/>
              </w:rPr>
              <w:t>16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FF229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7194923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9AD2A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浙江大学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0CC9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张钧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谢鑫友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于海涛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，安瑞，王燕忠，李国丽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48DF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有效</w:t>
            </w:r>
          </w:p>
        </w:tc>
      </w:tr>
      <w:tr w14:paraId="4085B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6B1B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发明专利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A375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一种非小细胞肺癌患者疗效及预后预测系统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7F44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中国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243A6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发明专利号：ZL 202010808966.3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9F92A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202</w:t>
            </w:r>
            <w:r>
              <w:rPr>
                <w:rFonts w:hint="eastAsia" w:eastAsia="仿宋"/>
                <w:bCs/>
                <w:szCs w:val="21"/>
              </w:rPr>
              <w:t>4</w:t>
            </w:r>
            <w:r>
              <w:rPr>
                <w:rFonts w:eastAsia="仿宋"/>
                <w:bCs/>
                <w:szCs w:val="21"/>
              </w:rPr>
              <w:t>-</w:t>
            </w:r>
            <w:r>
              <w:rPr>
                <w:rFonts w:hint="eastAsia" w:eastAsia="仿宋"/>
                <w:bCs/>
                <w:szCs w:val="21"/>
              </w:rPr>
              <w:t>05</w:t>
            </w:r>
            <w:r>
              <w:rPr>
                <w:rFonts w:eastAsia="仿宋"/>
                <w:bCs/>
                <w:szCs w:val="21"/>
              </w:rPr>
              <w:t>-</w:t>
            </w:r>
            <w:r>
              <w:rPr>
                <w:rFonts w:hint="eastAsia" w:eastAsia="仿宋"/>
                <w:bCs/>
                <w:szCs w:val="21"/>
              </w:rPr>
              <w:t>10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8B380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6989416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F70F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浙江大学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4F82E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张钧，谢鑫友，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夏艳，袁世进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CEC3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有效</w:t>
            </w:r>
          </w:p>
        </w:tc>
      </w:tr>
      <w:tr w14:paraId="72CA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415F3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计算机软件著作权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FF43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细菌基因组分型与溯源系统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B46F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中国</w:t>
            </w:r>
          </w:p>
        </w:tc>
        <w:tc>
          <w:tcPr>
            <w:tcW w:w="9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F358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登记号：2016SR079830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5BD2">
            <w:pPr>
              <w:rPr>
                <w:rFonts w:eastAsia="仿宋"/>
                <w:bCs/>
                <w:szCs w:val="21"/>
              </w:rPr>
            </w:pPr>
            <w:r>
              <w:rPr>
                <w:rFonts w:eastAsia="仿宋"/>
                <w:bCs/>
                <w:szCs w:val="21"/>
              </w:rPr>
              <w:t>2016</w:t>
            </w:r>
            <w:r>
              <w:rPr>
                <w:rFonts w:hint="eastAsia" w:eastAsia="仿宋"/>
                <w:bCs/>
                <w:szCs w:val="21"/>
              </w:rPr>
              <w:t>-</w:t>
            </w:r>
            <w:r>
              <w:rPr>
                <w:rFonts w:eastAsia="仿宋"/>
                <w:bCs/>
                <w:szCs w:val="21"/>
              </w:rPr>
              <w:t>04</w:t>
            </w:r>
            <w:r>
              <w:rPr>
                <w:rFonts w:hint="eastAsia" w:eastAsia="仿宋"/>
                <w:bCs/>
                <w:szCs w:val="21"/>
              </w:rPr>
              <w:t>-</w:t>
            </w:r>
            <w:r>
              <w:rPr>
                <w:rFonts w:eastAsia="仿宋"/>
                <w:bCs/>
                <w:szCs w:val="21"/>
              </w:rPr>
              <w:t>19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73DD">
            <w:pPr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1258447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DA068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浙江大学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7552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阮陟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A5D5">
            <w:pPr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有效</w:t>
            </w:r>
          </w:p>
        </w:tc>
      </w:tr>
    </w:tbl>
    <w:p w14:paraId="1428467D">
      <w:pPr>
        <w:pStyle w:val="2"/>
        <w:jc w:val="center"/>
        <w:rPr>
          <w:rFonts w:eastAsia="方正黑体简体"/>
          <w:sz w:val="32"/>
          <w:szCs w:val="22"/>
        </w:rPr>
      </w:pPr>
    </w:p>
    <w:p w14:paraId="6A31F703">
      <w:pPr>
        <w:pStyle w:val="2"/>
        <w:jc w:val="center"/>
        <w:rPr>
          <w:rFonts w:eastAsia="方正黑体简体"/>
          <w:sz w:val="32"/>
          <w:szCs w:val="22"/>
        </w:rPr>
      </w:pPr>
    </w:p>
    <w:p w14:paraId="243BD2EA">
      <w:pPr>
        <w:pStyle w:val="2"/>
        <w:jc w:val="center"/>
        <w:rPr>
          <w:rFonts w:eastAsia="方正黑体简体"/>
          <w:sz w:val="32"/>
          <w:szCs w:val="22"/>
        </w:rPr>
      </w:pPr>
      <w:r>
        <w:rPr>
          <w:rFonts w:eastAsia="方正黑体简体"/>
          <w:sz w:val="32"/>
          <w:szCs w:val="22"/>
        </w:rPr>
        <w:t>八、代表性论文专著目录</w:t>
      </w:r>
    </w:p>
    <w:tbl>
      <w:tblPr>
        <w:tblStyle w:val="6"/>
        <w:tblW w:w="80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3481"/>
        <w:gridCol w:w="1053"/>
        <w:gridCol w:w="993"/>
        <w:gridCol w:w="850"/>
      </w:tblGrid>
      <w:tr w14:paraId="4C6D6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17327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 者</w:t>
            </w:r>
          </w:p>
        </w:tc>
        <w:tc>
          <w:tcPr>
            <w:tcW w:w="34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F73E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论文专著名称/刊物</w:t>
            </w:r>
          </w:p>
        </w:tc>
        <w:tc>
          <w:tcPr>
            <w:tcW w:w="10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03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年卷</w:t>
            </w:r>
          </w:p>
          <w:p w14:paraId="073BC55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D70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发表</w:t>
            </w:r>
          </w:p>
          <w:p w14:paraId="235CE0E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时间</w:t>
            </w:r>
          </w:p>
          <w:p w14:paraId="3D2C7C7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DCA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他引</w:t>
            </w:r>
          </w:p>
          <w:p w14:paraId="120E5F5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总次数</w:t>
            </w:r>
          </w:p>
        </w:tc>
      </w:tr>
      <w:tr w14:paraId="5546C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1B284">
            <w:pPr>
              <w:spacing w:line="0" w:lineRule="atLeas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Liu W, Yu Y, Wang Y, Yang T, Kong Y, Xie X,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A4174">
            <w:pPr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Deciphering the genetic basis of resistome and virulome diversity among multidrug-resistant Mycoplasma hominis</w:t>
            </w:r>
            <w:r>
              <w:rPr>
                <w:rFonts w:hint="eastAsia" w:eastAsia="仿宋_GB2312"/>
                <w:bCs/>
                <w:sz w:val="18"/>
                <w:szCs w:val="18"/>
              </w:rPr>
              <w:t>/Drug Resistance Updates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DDCE44">
            <w:pPr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2024</w:t>
            </w:r>
            <w:r>
              <w:rPr>
                <w:rFonts w:hint="eastAsia" w:eastAsia="仿宋_GB2312"/>
                <w:bCs/>
                <w:sz w:val="18"/>
                <w:szCs w:val="18"/>
              </w:rPr>
              <w:t>,</w:t>
            </w:r>
            <w:r>
              <w:rPr>
                <w:rFonts w:eastAsia="仿宋_GB2312"/>
                <w:bCs/>
                <w:sz w:val="18"/>
                <w:szCs w:val="18"/>
              </w:rPr>
              <w:t>72:101029</w:t>
            </w:r>
            <w:r>
              <w:rPr>
                <w:rFonts w:hint="eastAsia" w:eastAsia="仿宋_GB2312"/>
                <w:bCs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3ED95A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.01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512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14:paraId="1017C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722D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Gao Y, Chen S, Wang H, Wu C, An R, Li G, Yang M, Zhou Y, Zhou Y, Xie X, Yu H,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0C9C1">
            <w:pPr>
              <w:pStyle w:val="3"/>
              <w:spacing w:line="0" w:lineRule="atLeast"/>
              <w:ind w:firstLine="0" w:firstLineChars="0"/>
              <w:rPr>
                <w:rFonts w:ascii="Times New Roman" w:eastAsia="仿宋_GB2312"/>
                <w:bCs/>
                <w:sz w:val="18"/>
                <w:szCs w:val="18"/>
              </w:rPr>
            </w:pPr>
            <w:r>
              <w:rPr>
                <w:rFonts w:ascii="Times New Roman" w:eastAsia="仿宋_GB2312"/>
                <w:bCs/>
                <w:sz w:val="18"/>
                <w:szCs w:val="18"/>
              </w:rPr>
              <w:t>Liver metastases across cancer types sharing tumor environment immunotolerance can impede immune response therapy and immune monitoring</w:t>
            </w:r>
            <w:r>
              <w:rPr>
                <w:rFonts w:hint="eastAsia" w:ascii="Times New Roman" w:eastAsia="仿宋_GB2312"/>
                <w:bCs/>
                <w:sz w:val="18"/>
                <w:szCs w:val="18"/>
              </w:rPr>
              <w:t>/Journal of Advanced Research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98D2AB">
            <w:pPr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61:151-164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D6D7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.07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8650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</w:tr>
      <w:tr w14:paraId="65501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2BD1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 Y, Zhao R, Guo H, Tong Q, Langdon WY, Liu W, Zhang J,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C5D17">
            <w:pPr>
              <w:spacing w:line="0" w:lineRule="atLeast"/>
              <w:rPr>
                <w:rFonts w:eastAsia="仿宋_GB2312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Cytosolic LPS-induced caspase-11 oligomerization and activation is regulated by extended synaptotagmin 1</w:t>
            </w:r>
            <w:r>
              <w:rPr>
                <w:rFonts w:hint="eastAsia"/>
                <w:sz w:val="18"/>
                <w:szCs w:val="18"/>
              </w:rPr>
              <w:t>/Cell Reports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7C1772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42(7):112726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9C2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.07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7583D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6AF8B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41F79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Ruan Z, Sun Q, Jia H, Huang C, Zhou W, Xie X,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C4237C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Emergence of a ST2570 Klebsiella pneumoniae isolate carrying mcr-1 and blaCTX-M-14 recovered from a bloodstream infection in China</w:t>
            </w:r>
            <w:r>
              <w:rPr>
                <w:rFonts w:hint="eastAsia"/>
                <w:sz w:val="18"/>
                <w:szCs w:val="18"/>
              </w:rPr>
              <w:t>/Clinical Microbiology and Infection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23E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25(7):916-918.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E9C46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</w:t>
            </w:r>
            <w:r>
              <w:rPr>
                <w:rFonts w:hint="eastAsia"/>
                <w:sz w:val="18"/>
                <w:szCs w:val="18"/>
              </w:rPr>
              <w:t>.07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3E16A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</w:tr>
      <w:tr w14:paraId="5464B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A730B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R, Yu H, Wang Y, Lu J, Gao Y, Xie X,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55877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Integrative analysis of plasma metabolomics and proteomics reveals the metabolic landscape of breast cancer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Cancer Metab</w:t>
            </w:r>
            <w:r>
              <w:rPr>
                <w:rFonts w:hint="eastAsia"/>
                <w:sz w:val="18"/>
                <w:szCs w:val="18"/>
              </w:rPr>
              <w:t>olism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FA19A">
            <w:pPr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10(1):13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758A7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.08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60D1FE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</w:tr>
      <w:tr w14:paraId="345E4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C68875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Wang Y, An R, Yu H, Dai Y, Lou L, Quan S, Chen R, Ding Y, Zhao H, Wu X, Liu Z, Wang Q, Gao Y, Xie X, Zhang J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6DC48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Largescale multicenter study of a serum metabolite biomarker panel for the diagnosis of breast cancer</w:t>
            </w:r>
            <w:r>
              <w:rPr>
                <w:rFonts w:hint="eastAsia" w:eastAsia="仿宋_GB2312"/>
                <w:bCs/>
                <w:sz w:val="18"/>
                <w:szCs w:val="18"/>
              </w:rPr>
              <w:t>/</w:t>
            </w:r>
            <w:r>
              <w:rPr>
                <w:rFonts w:eastAsia="仿宋_GB2312"/>
                <w:bCs/>
                <w:sz w:val="18"/>
                <w:szCs w:val="18"/>
              </w:rPr>
              <w:t xml:space="preserve"> iScience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82DBB">
            <w:pPr>
              <w:rPr>
                <w:sz w:val="18"/>
                <w:szCs w:val="18"/>
              </w:rPr>
            </w:pPr>
            <w:r>
              <w:rPr>
                <w:rFonts w:eastAsia="仿宋_GB2312"/>
                <w:bCs/>
                <w:sz w:val="18"/>
                <w:szCs w:val="18"/>
              </w:rPr>
              <w:t>2024</w:t>
            </w:r>
            <w:r>
              <w:rPr>
                <w:rFonts w:hint="eastAsia" w:eastAsia="仿宋_GB2312"/>
                <w:bCs/>
                <w:sz w:val="18"/>
                <w:szCs w:val="18"/>
              </w:rPr>
              <w:t>,</w:t>
            </w:r>
            <w:r>
              <w:rPr>
                <w:rFonts w:eastAsia="仿宋_GB2312"/>
                <w:bCs/>
                <w:sz w:val="18"/>
                <w:szCs w:val="18"/>
              </w:rPr>
              <w:t>27(7):110345.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F207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>
              <w:rPr>
                <w:rFonts w:hint="eastAsia"/>
                <w:sz w:val="18"/>
                <w:szCs w:val="18"/>
              </w:rPr>
              <w:t>.06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AE7F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</w:tr>
      <w:tr w14:paraId="575A9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7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85C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Zhang</w:t>
            </w:r>
            <w:r>
              <w:rPr>
                <w:rFonts w:hint="eastAsia"/>
                <w:sz w:val="18"/>
                <w:szCs w:val="18"/>
              </w:rPr>
              <w:t xml:space="preserve"> L</w:t>
            </w:r>
            <w:r>
              <w:rPr>
                <w:sz w:val="18"/>
                <w:szCs w:val="18"/>
              </w:rPr>
              <w:t>, Chen</w:t>
            </w:r>
            <w:r>
              <w:rPr>
                <w:rFonts w:hint="eastAsia"/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, Yang</w:t>
            </w:r>
            <w:r>
              <w:rPr>
                <w:rFonts w:hint="eastAsia"/>
                <w:sz w:val="18"/>
                <w:szCs w:val="18"/>
              </w:rPr>
              <w:t xml:space="preserve"> S</w:t>
            </w:r>
            <w:r>
              <w:rPr>
                <w:sz w:val="18"/>
                <w:szCs w:val="18"/>
              </w:rPr>
              <w:t>, Zhao</w:t>
            </w:r>
            <w:r>
              <w:rPr>
                <w:rFonts w:hint="eastAsia"/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, Shen</w:t>
            </w:r>
            <w:r>
              <w:rPr>
                <w:rFonts w:hint="eastAsia"/>
                <w:sz w:val="18"/>
                <w:szCs w:val="18"/>
              </w:rPr>
              <w:t xml:space="preserve"> X</w:t>
            </w:r>
            <w:r>
              <w:rPr>
                <w:sz w:val="18"/>
                <w:szCs w:val="18"/>
              </w:rPr>
              <w:t>, He</w:t>
            </w:r>
            <w:r>
              <w:rPr>
                <w:rFonts w:hint="eastAsia"/>
                <w:sz w:val="18"/>
                <w:szCs w:val="18"/>
              </w:rPr>
              <w:t xml:space="preserve"> X</w:t>
            </w:r>
            <w:r>
              <w:rPr>
                <w:sz w:val="18"/>
                <w:szCs w:val="18"/>
              </w:rPr>
              <w:t>, Ye</w:t>
            </w:r>
            <w:r>
              <w:rPr>
                <w:rFonts w:hint="eastAsia"/>
                <w:sz w:val="18"/>
                <w:szCs w:val="18"/>
              </w:rPr>
              <w:t xml:space="preserve"> H</w:t>
            </w:r>
            <w:r>
              <w:rPr>
                <w:sz w:val="18"/>
                <w:szCs w:val="18"/>
              </w:rPr>
              <w:t>, Wang</w:t>
            </w:r>
            <w:r>
              <w:rPr>
                <w:rFonts w:hint="eastAsia"/>
                <w:sz w:val="18"/>
                <w:szCs w:val="18"/>
              </w:rPr>
              <w:t xml:space="preserve"> D</w:t>
            </w:r>
            <w:r>
              <w:rPr>
                <w:sz w:val="18"/>
                <w:szCs w:val="18"/>
              </w:rPr>
              <w:t>, Lou</w:t>
            </w:r>
            <w:r>
              <w:rPr>
                <w:rFonts w:hint="eastAsia"/>
                <w:sz w:val="18"/>
                <w:szCs w:val="18"/>
              </w:rPr>
              <w:t xml:space="preserve"> J</w:t>
            </w:r>
            <w:r>
              <w:rPr>
                <w:sz w:val="18"/>
                <w:szCs w:val="18"/>
              </w:rPr>
              <w:t>, Wang</w:t>
            </w:r>
            <w:r>
              <w:rPr>
                <w:rFonts w:hint="eastAsia"/>
                <w:sz w:val="18"/>
                <w:szCs w:val="18"/>
              </w:rPr>
              <w:t xml:space="preserve"> Y</w:t>
            </w:r>
            <w:r>
              <w:rPr>
                <w:sz w:val="18"/>
                <w:szCs w:val="18"/>
              </w:rPr>
              <w:t>, Wu</w:t>
            </w:r>
            <w:r>
              <w:rPr>
                <w:rFonts w:hint="eastAsia"/>
                <w:sz w:val="18"/>
                <w:szCs w:val="18"/>
              </w:rPr>
              <w:t xml:space="preserve"> S</w:t>
            </w:r>
          </w:p>
        </w:tc>
        <w:tc>
          <w:tcPr>
            <w:tcW w:w="3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8BEC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impact of CoronaVac on the neutralization breadth and magnitude of the antibody response to SARS-CoV-2 viruses</w:t>
            </w:r>
            <w:r>
              <w:rPr>
                <w:rFonts w:hint="eastAsia"/>
                <w:sz w:val="18"/>
                <w:szCs w:val="18"/>
              </w:rPr>
              <w:t xml:space="preserve">/Frontiers in </w:t>
            </w:r>
            <w:r>
              <w:rPr>
                <w:sz w:val="18"/>
                <w:szCs w:val="18"/>
              </w:rPr>
              <w:t>Immunology</w:t>
            </w:r>
          </w:p>
        </w:tc>
        <w:tc>
          <w:tcPr>
            <w:tcW w:w="1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9C3E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</w:rPr>
              <w:t>2,</w:t>
            </w:r>
            <w:r>
              <w:rPr>
                <w:sz w:val="18"/>
                <w:szCs w:val="18"/>
              </w:rPr>
              <w:t>13:990071.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B418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.09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E14A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14:paraId="4C094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72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AC3D37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2B5304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35</w:t>
            </w:r>
          </w:p>
        </w:tc>
      </w:tr>
    </w:tbl>
    <w:p w14:paraId="1AE411EC"/>
    <w:sectPr>
      <w:pgSz w:w="11906" w:h="16838"/>
      <w:pgMar w:top="1327" w:right="1406" w:bottom="132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mOGM3NzVjY2Q3MzMwZDBiYjA4NDUwMmIxYWJmYzYifQ=="/>
  </w:docVars>
  <w:rsids>
    <w:rsidRoot w:val="000C5840"/>
    <w:rsid w:val="00020777"/>
    <w:rsid w:val="000C5840"/>
    <w:rsid w:val="00186D96"/>
    <w:rsid w:val="0020167B"/>
    <w:rsid w:val="00374E21"/>
    <w:rsid w:val="003C4227"/>
    <w:rsid w:val="00414974"/>
    <w:rsid w:val="004277FF"/>
    <w:rsid w:val="00474F60"/>
    <w:rsid w:val="00475A0F"/>
    <w:rsid w:val="004F4E31"/>
    <w:rsid w:val="00521246"/>
    <w:rsid w:val="00565770"/>
    <w:rsid w:val="0057323A"/>
    <w:rsid w:val="00576CC8"/>
    <w:rsid w:val="00611E63"/>
    <w:rsid w:val="00735919"/>
    <w:rsid w:val="0075038B"/>
    <w:rsid w:val="00831CA2"/>
    <w:rsid w:val="008C0295"/>
    <w:rsid w:val="009F387E"/>
    <w:rsid w:val="00A17CDF"/>
    <w:rsid w:val="00A43377"/>
    <w:rsid w:val="00B26A1A"/>
    <w:rsid w:val="00B4407D"/>
    <w:rsid w:val="00CD2BD1"/>
    <w:rsid w:val="00D54C81"/>
    <w:rsid w:val="00DE2FEA"/>
    <w:rsid w:val="00E87D4E"/>
    <w:rsid w:val="00EB4A3F"/>
    <w:rsid w:val="00F542A3"/>
    <w:rsid w:val="046528FE"/>
    <w:rsid w:val="050C13ED"/>
    <w:rsid w:val="27E46300"/>
    <w:rsid w:val="62C4302B"/>
    <w:rsid w:val="6F36722A"/>
    <w:rsid w:val="727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qFormat/>
    <w:uiPriority w:val="99"/>
    <w:rPr>
      <w:sz w:val="21"/>
      <w:szCs w:val="21"/>
    </w:rPr>
  </w:style>
  <w:style w:type="character" w:customStyle="1" w:styleId="9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03715-1065-4438-BD3B-1116AF5A9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1537</Words>
  <Characters>2728</Characters>
  <Lines>22</Lines>
  <Paragraphs>6</Paragraphs>
  <TotalTime>0</TotalTime>
  <ScaleCrop>false</ScaleCrop>
  <LinksUpToDate>false</LinksUpToDate>
  <CharactersWithSpaces>2976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2024-08-09T09:42:00Z</dcterms:created>
  <dc:creator>86158</dc:creator>
  <cp:lastModifiedBy>乡关何处</cp:lastModifiedBy>
  <dcterms:modified xsi:type="dcterms:W3CDTF">2024-08-12T03:49:01Z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C0B0BFA39BE148B0BC74FAA39AAA12E7_13</vt:lpwstr>
  </property>
</Properties>
</file>