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5D695">
      <w:pPr>
        <w:spacing w:line="360" w:lineRule="auto"/>
        <w:jc w:val="center"/>
        <w:rPr>
          <w:rFonts w:ascii="仿宋" w:eastAsia="仿宋"/>
          <w:sz w:val="32"/>
        </w:rPr>
      </w:pPr>
      <w:bookmarkStart w:id="0" w:name="_GoBack"/>
      <w:bookmarkEnd w:id="0"/>
      <w:r>
        <w:rPr>
          <w:rFonts w:ascii="宋体" w:eastAsia="宋体"/>
          <w:spacing w:val="-2"/>
          <w:sz w:val="36"/>
        </w:rPr>
        <w:t>浙江省科学技术奖公示信息表</w:t>
      </w:r>
      <w:r>
        <w:rPr>
          <w:rFonts w:ascii="仿宋" w:eastAsia="仿宋"/>
          <w:spacing w:val="-2"/>
          <w:sz w:val="32"/>
        </w:rPr>
        <w:t>（单位提名</w:t>
      </w:r>
      <w:r>
        <w:rPr>
          <w:rFonts w:ascii="仿宋" w:eastAsia="仿宋"/>
          <w:spacing w:val="-10"/>
          <w:sz w:val="32"/>
        </w:rPr>
        <w:t>）</w:t>
      </w:r>
    </w:p>
    <w:p w14:paraId="0CC5DE42">
      <w:pPr>
        <w:pStyle w:val="3"/>
        <w:spacing w:before="0" w:after="0" w:line="360" w:lineRule="auto"/>
        <w:ind w:left="0"/>
      </w:pPr>
      <w:r>
        <w:rPr>
          <w:spacing w:val="-1"/>
        </w:rPr>
        <w:t>提名奖项：科学技术进步奖</w:t>
      </w:r>
    </w:p>
    <w:p w14:paraId="7E171B7D">
      <w:pPr>
        <w:pStyle w:val="12"/>
        <w:spacing w:line="237" w:lineRule="auto"/>
        <w:ind w:right="208"/>
        <w:rPr>
          <w:rFonts w:ascii="仿宋" w:eastAsia="仿宋"/>
          <w:spacing w:val="-2"/>
          <w:sz w:val="24"/>
        </w:rPr>
        <w:sectPr>
          <w:type w:val="continuous"/>
          <w:pgSz w:w="11910" w:h="16840"/>
          <w:pgMar w:top="1760" w:right="1580" w:bottom="280" w:left="1580" w:header="720" w:footer="720" w:gutter="0"/>
          <w:cols w:space="720" w:num="1"/>
        </w:sect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7596"/>
      </w:tblGrid>
      <w:tr w14:paraId="24BA0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366C1975">
            <w:pPr>
              <w:pStyle w:val="12"/>
              <w:rPr>
                <w:rFonts w:eastAsia="仿宋"/>
                <w:sz w:val="24"/>
                <w:szCs w:val="24"/>
              </w:rPr>
            </w:pPr>
            <w:r>
              <w:rPr>
                <w:rFonts w:eastAsia="仿宋"/>
                <w:spacing w:val="-6"/>
                <w:sz w:val="24"/>
                <w:szCs w:val="24"/>
              </w:rPr>
              <w:t>成果</w:t>
            </w:r>
            <w:r>
              <w:rPr>
                <w:rFonts w:eastAsia="仿宋"/>
                <w:spacing w:val="-5"/>
                <w:sz w:val="24"/>
                <w:szCs w:val="24"/>
              </w:rPr>
              <w:t>名称</w:t>
            </w:r>
          </w:p>
        </w:tc>
        <w:tc>
          <w:tcPr>
            <w:tcW w:w="7596" w:type="dxa"/>
            <w:vAlign w:val="center"/>
          </w:tcPr>
          <w:p w14:paraId="6C196163">
            <w:pPr>
              <w:pStyle w:val="12"/>
              <w:jc w:val="center"/>
              <w:rPr>
                <w:rFonts w:eastAsia="仿宋"/>
                <w:sz w:val="24"/>
                <w:szCs w:val="24"/>
              </w:rPr>
            </w:pPr>
            <w:r>
              <w:rPr>
                <w:rFonts w:hint="eastAsia" w:eastAsia="仿宋"/>
                <w:spacing w:val="-1"/>
                <w:sz w:val="24"/>
                <w:szCs w:val="24"/>
              </w:rPr>
              <w:t>复发性妊娠异常病因学研究及全妊娠周期防控体系建立</w:t>
            </w:r>
          </w:p>
        </w:tc>
      </w:tr>
      <w:tr w14:paraId="4F531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0F000715">
            <w:pPr>
              <w:pStyle w:val="12"/>
              <w:rPr>
                <w:rFonts w:eastAsia="仿宋"/>
                <w:sz w:val="24"/>
                <w:szCs w:val="24"/>
              </w:rPr>
            </w:pPr>
            <w:r>
              <w:rPr>
                <w:rFonts w:eastAsia="仿宋"/>
                <w:spacing w:val="-5"/>
                <w:sz w:val="24"/>
                <w:szCs w:val="24"/>
              </w:rPr>
              <w:t>提名等级</w:t>
            </w:r>
          </w:p>
        </w:tc>
        <w:tc>
          <w:tcPr>
            <w:tcW w:w="7596" w:type="dxa"/>
            <w:vAlign w:val="center"/>
          </w:tcPr>
          <w:p w14:paraId="0F1C64C8">
            <w:pPr>
              <w:pStyle w:val="12"/>
              <w:jc w:val="center"/>
              <w:rPr>
                <w:rFonts w:eastAsia="仿宋"/>
                <w:sz w:val="24"/>
                <w:szCs w:val="24"/>
              </w:rPr>
            </w:pPr>
            <w:r>
              <w:rPr>
                <w:rFonts w:eastAsia="仿宋"/>
                <w:spacing w:val="-4"/>
                <w:sz w:val="24"/>
                <w:szCs w:val="24"/>
              </w:rPr>
              <w:t>一等奖</w:t>
            </w:r>
          </w:p>
        </w:tc>
      </w:tr>
      <w:tr w14:paraId="52A69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40A5CE17">
            <w:pPr>
              <w:pStyle w:val="12"/>
              <w:rPr>
                <w:rFonts w:eastAsia="仿宋"/>
                <w:spacing w:val="-2"/>
                <w:sz w:val="24"/>
                <w:szCs w:val="24"/>
              </w:rPr>
            </w:pPr>
            <w:r>
              <w:rPr>
                <w:rFonts w:eastAsia="仿宋"/>
                <w:spacing w:val="-2"/>
                <w:sz w:val="24"/>
                <w:szCs w:val="24"/>
              </w:rPr>
              <w:t>提名书 相关内容</w:t>
            </w:r>
          </w:p>
        </w:tc>
        <w:tc>
          <w:tcPr>
            <w:tcW w:w="7596" w:type="dxa"/>
            <w:vAlign w:val="center"/>
          </w:tcPr>
          <w:p w14:paraId="33E019F4">
            <w:pPr>
              <w:pStyle w:val="12"/>
              <w:rPr>
                <w:rFonts w:eastAsia="仿宋"/>
                <w:b/>
                <w:bCs/>
                <w:spacing w:val="-2"/>
                <w:sz w:val="24"/>
                <w:szCs w:val="24"/>
              </w:rPr>
            </w:pPr>
            <w:r>
              <w:rPr>
                <w:rFonts w:eastAsia="仿宋"/>
                <w:b/>
                <w:bCs/>
                <w:spacing w:val="-2"/>
                <w:sz w:val="24"/>
                <w:szCs w:val="24"/>
              </w:rPr>
              <w:t>主要知识产权和标准规范目录：</w:t>
            </w:r>
          </w:p>
          <w:p w14:paraId="12BA2EFF">
            <w:pPr>
              <w:pStyle w:val="12"/>
              <w:numPr>
                <w:ilvl w:val="0"/>
                <w:numId w:val="1"/>
              </w:numPr>
              <w:jc w:val="both"/>
              <w:rPr>
                <w:rFonts w:eastAsiaTheme="minorEastAsia"/>
              </w:rPr>
            </w:pPr>
            <w:r>
              <w:rPr>
                <w:rFonts w:hint="eastAsia" w:eastAsia="仿宋"/>
                <w:spacing w:val="-2"/>
                <w:sz w:val="24"/>
                <w:szCs w:val="24"/>
              </w:rPr>
              <w:t>授权发明专利：一种高苯丙氨酸血症基因检测试剂盒</w:t>
            </w:r>
            <w:r>
              <w:rPr>
                <w:rFonts w:eastAsia="仿宋"/>
                <w:spacing w:val="-2"/>
                <w:sz w:val="24"/>
                <w:szCs w:val="24"/>
              </w:rPr>
              <w:t xml:space="preserve">, </w:t>
            </w:r>
            <w:r>
              <w:rPr>
                <w:rFonts w:hint="eastAsia" w:eastAsia="仿宋"/>
                <w:spacing w:val="-2"/>
                <w:sz w:val="24"/>
                <w:szCs w:val="24"/>
              </w:rPr>
              <w:t>中国</w:t>
            </w:r>
            <w:r>
              <w:rPr>
                <w:rFonts w:eastAsia="仿宋"/>
                <w:spacing w:val="-2"/>
                <w:sz w:val="24"/>
                <w:szCs w:val="24"/>
              </w:rPr>
              <w:t>, ZL 2019 1 0429571.X, 2020-11, 1/8</w:t>
            </w:r>
            <w:r>
              <w:rPr>
                <w:rFonts w:hint="eastAsia" w:eastAsia="仿宋"/>
                <w:spacing w:val="-2"/>
                <w:sz w:val="24"/>
                <w:szCs w:val="24"/>
              </w:rPr>
              <w:t>，浙江大学，黄新文、</w:t>
            </w:r>
            <w:r>
              <w:rPr>
                <w:rFonts w:eastAsia="仿宋"/>
                <w:spacing w:val="-2"/>
                <w:sz w:val="24"/>
                <w:szCs w:val="24"/>
              </w:rPr>
              <w:t>张玉、杨建滨、沈亚平、朱琳、胡真真、张婷、林建兴</w:t>
            </w:r>
            <w:r>
              <w:rPr>
                <w:rFonts w:hint="eastAsia" w:eastAsia="仿宋"/>
                <w:spacing w:val="-2"/>
                <w:sz w:val="24"/>
                <w:szCs w:val="24"/>
              </w:rPr>
              <w:t>。</w:t>
            </w:r>
          </w:p>
          <w:p w14:paraId="429808D6">
            <w:pPr>
              <w:pStyle w:val="12"/>
              <w:jc w:val="both"/>
              <w:rPr>
                <w:rFonts w:eastAsiaTheme="minorEastAsia"/>
              </w:rPr>
            </w:pPr>
          </w:p>
          <w:p w14:paraId="20241BF8">
            <w:pPr>
              <w:pStyle w:val="12"/>
              <w:jc w:val="both"/>
              <w:rPr>
                <w:rFonts w:eastAsia="仿宋"/>
                <w:b/>
                <w:bCs/>
                <w:spacing w:val="-2"/>
                <w:sz w:val="24"/>
                <w:szCs w:val="24"/>
              </w:rPr>
            </w:pPr>
            <w:r>
              <w:rPr>
                <w:rFonts w:eastAsia="仿宋"/>
                <w:b/>
                <w:bCs/>
                <w:spacing w:val="-2"/>
                <w:sz w:val="24"/>
                <w:szCs w:val="24"/>
              </w:rPr>
              <w:t>代表性论文专著目录：</w:t>
            </w:r>
          </w:p>
          <w:p w14:paraId="08983D59">
            <w:pPr>
              <w:pStyle w:val="12"/>
              <w:numPr>
                <w:ilvl w:val="0"/>
                <w:numId w:val="2"/>
              </w:numPr>
              <w:jc w:val="both"/>
              <w:rPr>
                <w:rFonts w:eastAsia="仿宋"/>
                <w:spacing w:val="-2"/>
                <w:sz w:val="24"/>
                <w:szCs w:val="24"/>
              </w:rPr>
            </w:pPr>
            <w:r>
              <w:rPr>
                <w:rFonts w:eastAsia="仿宋"/>
                <w:spacing w:val="-2"/>
                <w:sz w:val="24"/>
                <w:szCs w:val="24"/>
              </w:rPr>
              <w:t xml:space="preserve">Zhang J, Wu Y, Chen S, Luo Q, Xi H, Li J, Qin X, Peng Y, Ma N, Yang B, Qiu X, Lu W, Chen Y, Jiang Y, Chen P, Liu Y, Zhang C, Zhang Z, Xiong Y, Shen J, Liang H, Ren Y, Ying C, Dong M, Li X, Xu C, Wang H, Zhang D, Xu C, Huang H. Prospective prenatal cell-free DNA screening for genetic conditions of heterogenous etiologies. Nat Med. 2024;30(2):470-479. </w:t>
            </w:r>
          </w:p>
          <w:p w14:paraId="6AD5E9C0">
            <w:pPr>
              <w:pStyle w:val="12"/>
              <w:numPr>
                <w:ilvl w:val="0"/>
                <w:numId w:val="2"/>
              </w:numPr>
              <w:jc w:val="both"/>
              <w:rPr>
                <w:rFonts w:eastAsia="仿宋"/>
                <w:spacing w:val="-2"/>
                <w:sz w:val="24"/>
                <w:szCs w:val="24"/>
              </w:rPr>
            </w:pPr>
            <w:r>
              <w:rPr>
                <w:rFonts w:eastAsia="仿宋"/>
                <w:spacing w:val="-2"/>
                <w:sz w:val="24"/>
                <w:szCs w:val="24"/>
              </w:rPr>
              <w:t xml:space="preserve">Zhao B, Dong T, Chen Y, Yang M, Luo Q. Laparoscopic abdominal cerclage during pregnancy: a simplified approach. Am J Obstet Gynecol. 2022;227(2):333-337. </w:t>
            </w:r>
          </w:p>
          <w:p w14:paraId="58B01E26">
            <w:pPr>
              <w:pStyle w:val="12"/>
              <w:numPr>
                <w:ilvl w:val="0"/>
                <w:numId w:val="2"/>
              </w:numPr>
              <w:jc w:val="both"/>
              <w:rPr>
                <w:rFonts w:eastAsia="仿宋"/>
                <w:spacing w:val="-2"/>
                <w:sz w:val="24"/>
                <w:szCs w:val="24"/>
              </w:rPr>
            </w:pPr>
            <w:r>
              <w:rPr>
                <w:rFonts w:eastAsia="仿宋"/>
                <w:spacing w:val="-2"/>
                <w:sz w:val="24"/>
                <w:szCs w:val="24"/>
              </w:rPr>
              <w:t>Qiu L, Lv M, Chen C, Li J, Zhao B, Luo Q. Efficacy of ultrasound-indicated cerclage in twin pregnancies: a retrospective case-control study matched by cervical length. Am J Obstet Gynecol MFM. 2023 Mar;5(3):100847.</w:t>
            </w:r>
          </w:p>
          <w:p w14:paraId="1864DCE4">
            <w:pPr>
              <w:pStyle w:val="12"/>
              <w:numPr>
                <w:ilvl w:val="0"/>
                <w:numId w:val="2"/>
              </w:numPr>
              <w:jc w:val="both"/>
              <w:rPr>
                <w:rFonts w:eastAsia="仿宋"/>
                <w:spacing w:val="-2"/>
                <w:sz w:val="24"/>
                <w:szCs w:val="24"/>
              </w:rPr>
            </w:pPr>
            <w:r>
              <w:rPr>
                <w:rFonts w:eastAsia="仿宋"/>
                <w:spacing w:val="-2"/>
                <w:sz w:val="24"/>
                <w:szCs w:val="24"/>
              </w:rPr>
              <w:t>Jing MY, Xie LD, Chen X, Zhou Y, Jin MM, He WH, Wang DM, Liu AX. Circ-CCNB1 Modulates Trophoblast Proliferation and Invasion in Spontaneous Abortion by Regulating miR-223/SIAH1 axis. Endocrinology. 2022 Aug 1;163(8): bqac093.</w:t>
            </w:r>
          </w:p>
          <w:p w14:paraId="6EC32720">
            <w:pPr>
              <w:pStyle w:val="12"/>
              <w:numPr>
                <w:ilvl w:val="0"/>
                <w:numId w:val="2"/>
              </w:numPr>
              <w:jc w:val="both"/>
              <w:rPr>
                <w:rFonts w:eastAsia="仿宋"/>
                <w:spacing w:val="-2"/>
                <w:sz w:val="24"/>
                <w:szCs w:val="24"/>
              </w:rPr>
            </w:pPr>
            <w:r>
              <w:rPr>
                <w:rFonts w:eastAsia="仿宋"/>
                <w:spacing w:val="-2"/>
                <w:sz w:val="24"/>
                <w:szCs w:val="24"/>
              </w:rPr>
              <w:t xml:space="preserve">Jiawei Fang, Yexinyi Zhou, Yinyin He, Jiena Zhou, Jun Tang, Qiong Luo, Jing Guo, Guangdi Chen. Associations among neighborhood walkability, metal exposure, and sex steroid hormone levels: Results from Hangzhou Birth Cohort Study </w:t>
            </w:r>
            <w:r>
              <w:rPr>
                <w:rFonts w:hint="eastAsia" w:eastAsia="仿宋"/>
                <w:spacing w:val="-2"/>
                <w:sz w:val="24"/>
                <w:szCs w:val="24"/>
              </w:rPr>
              <w:t>Ⅱ</w:t>
            </w:r>
            <w:r>
              <w:rPr>
                <w:rFonts w:eastAsia="仿宋"/>
                <w:spacing w:val="-2"/>
                <w:sz w:val="24"/>
                <w:szCs w:val="24"/>
              </w:rPr>
              <w:t>. Ecotoxicol Environ Saf. 2024 Jun 15; 278: 116427.</w:t>
            </w:r>
          </w:p>
          <w:p w14:paraId="4E660A00">
            <w:pPr>
              <w:pStyle w:val="12"/>
              <w:numPr>
                <w:ilvl w:val="0"/>
                <w:numId w:val="2"/>
              </w:numPr>
              <w:jc w:val="both"/>
              <w:rPr>
                <w:rFonts w:eastAsia="仿宋"/>
                <w:spacing w:val="-2"/>
                <w:sz w:val="24"/>
                <w:szCs w:val="24"/>
              </w:rPr>
            </w:pPr>
            <w:r>
              <w:rPr>
                <w:rFonts w:eastAsia="仿宋"/>
                <w:spacing w:val="-2"/>
                <w:sz w:val="24"/>
                <w:szCs w:val="24"/>
              </w:rPr>
              <w:t>Yexinyi Zhou, Jiena Zhou, Yinyin He, Jiawei Fang, Jun Tang, Shuai Li, Jing Guo, Qiong Luo, Kunhong Zhong, Kegui Huang, Guangdi Chen. Associations between prenatal metal exposure and growth rate in children: Based on Hangzhou Birth Cohort Study. Sci Total Environ. 2024 Mar 15:916:170164. </w:t>
            </w:r>
          </w:p>
          <w:p w14:paraId="50BA99CD">
            <w:pPr>
              <w:pStyle w:val="12"/>
              <w:numPr>
                <w:ilvl w:val="0"/>
                <w:numId w:val="2"/>
              </w:numPr>
              <w:jc w:val="both"/>
              <w:rPr>
                <w:rFonts w:eastAsia="仿宋"/>
                <w:spacing w:val="-2"/>
                <w:sz w:val="24"/>
                <w:szCs w:val="24"/>
              </w:rPr>
            </w:pPr>
            <w:r>
              <w:rPr>
                <w:rFonts w:eastAsia="仿宋"/>
                <w:spacing w:val="-2"/>
                <w:sz w:val="24"/>
                <w:szCs w:val="24"/>
              </w:rPr>
              <w:t>Liu AX, He WH, Yin LJ, Lv PP, Zhang Y, Sheng JZ, Leung PC, Huang HF. Sustained endoplasmic reticulum stress as a cofactor of oxidative stress in decidual cells from patients with early pregnancy loss. J Clin Endocrinol Metab. 2011;96(3):E493-497.</w:t>
            </w:r>
          </w:p>
          <w:p w14:paraId="168C5257">
            <w:pPr>
              <w:pStyle w:val="12"/>
              <w:numPr>
                <w:ilvl w:val="0"/>
                <w:numId w:val="2"/>
              </w:numPr>
              <w:jc w:val="both"/>
              <w:rPr>
                <w:rFonts w:eastAsia="仿宋"/>
                <w:spacing w:val="-2"/>
                <w:sz w:val="24"/>
                <w:szCs w:val="24"/>
              </w:rPr>
            </w:pPr>
            <w:r>
              <w:rPr>
                <w:rFonts w:eastAsia="仿宋"/>
                <w:spacing w:val="-2"/>
                <w:sz w:val="24"/>
                <w:szCs w:val="24"/>
              </w:rPr>
              <w:t>Aixia Liu, Mengmeng Jin, Laidi Xie, Mengyu Jing, Ying Zhou, Minyue Tang,Tingting Lin, Dimin Wang. Loss of miR-29a impairs decidualization of endometrial stromal cells by TET3 mediated demethylation of Col1A1 promoter. iScience.2021, 24, 103065.</w:t>
            </w:r>
          </w:p>
          <w:p w14:paraId="3E8014B1">
            <w:pPr>
              <w:pStyle w:val="12"/>
              <w:numPr>
                <w:ilvl w:val="0"/>
                <w:numId w:val="2"/>
              </w:numPr>
              <w:jc w:val="both"/>
              <w:rPr>
                <w:rFonts w:eastAsia="仿宋"/>
                <w:spacing w:val="-2"/>
                <w:sz w:val="24"/>
                <w:szCs w:val="24"/>
              </w:rPr>
            </w:pPr>
            <w:r>
              <w:rPr>
                <w:rFonts w:eastAsia="仿宋"/>
                <w:spacing w:val="-2"/>
                <w:sz w:val="24"/>
                <w:szCs w:val="24"/>
              </w:rPr>
              <w:t>Yiming Lin</w:t>
            </w:r>
            <w:r>
              <w:rPr>
                <w:rFonts w:hint="eastAsia" w:eastAsia="仿宋"/>
                <w:spacing w:val="-2"/>
                <w:sz w:val="24"/>
                <w:szCs w:val="24"/>
              </w:rPr>
              <w:t>，</w:t>
            </w:r>
            <w:r>
              <w:rPr>
                <w:rFonts w:eastAsia="仿宋"/>
                <w:spacing w:val="-2"/>
                <w:sz w:val="24"/>
                <w:szCs w:val="24"/>
              </w:rPr>
              <w:t>Chiju Yang</w:t>
            </w:r>
            <w:r>
              <w:rPr>
                <w:rFonts w:hint="eastAsia" w:eastAsia="仿宋"/>
                <w:spacing w:val="-2"/>
                <w:sz w:val="24"/>
                <w:szCs w:val="24"/>
              </w:rPr>
              <w:t>，</w:t>
            </w:r>
            <w:r>
              <w:rPr>
                <w:rFonts w:eastAsia="仿宋"/>
                <w:spacing w:val="-2"/>
                <w:sz w:val="24"/>
                <w:szCs w:val="24"/>
              </w:rPr>
              <w:t>Zhenzhen Hu</w:t>
            </w:r>
            <w:r>
              <w:rPr>
                <w:rFonts w:hint="eastAsia" w:eastAsia="仿宋"/>
                <w:spacing w:val="-2"/>
                <w:sz w:val="24"/>
                <w:szCs w:val="24"/>
              </w:rPr>
              <w:t>，</w:t>
            </w:r>
            <w:r>
              <w:rPr>
                <w:rFonts w:eastAsia="仿宋"/>
                <w:spacing w:val="-2"/>
                <w:sz w:val="24"/>
                <w:szCs w:val="24"/>
              </w:rPr>
              <w:t>Chenggang Huang</w:t>
            </w:r>
            <w:r>
              <w:rPr>
                <w:rFonts w:hint="eastAsia" w:eastAsia="仿宋"/>
                <w:spacing w:val="-2"/>
                <w:sz w:val="24"/>
                <w:szCs w:val="24"/>
              </w:rPr>
              <w:t>，</w:t>
            </w:r>
            <w:r>
              <w:rPr>
                <w:rFonts w:eastAsia="仿宋"/>
                <w:spacing w:val="-2"/>
                <w:sz w:val="24"/>
                <w:szCs w:val="24"/>
              </w:rPr>
              <w:t>Xinwen Huang. Combining newborn metabolic and genetic screening for neonatal intrahepatic cholestasis caused by citrin deficiency. J Inherit Metab Dis, 2020;43:467–477.</w:t>
            </w:r>
          </w:p>
        </w:tc>
      </w:tr>
      <w:tr w14:paraId="42F4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5CCBB812">
            <w:pPr>
              <w:pStyle w:val="12"/>
              <w:rPr>
                <w:rFonts w:eastAsia="仿宋"/>
                <w:spacing w:val="-2"/>
                <w:sz w:val="24"/>
                <w:szCs w:val="24"/>
              </w:rPr>
            </w:pPr>
            <w:r>
              <w:rPr>
                <w:rFonts w:eastAsia="仿宋"/>
                <w:spacing w:val="-2"/>
                <w:sz w:val="24"/>
                <w:szCs w:val="24"/>
              </w:rPr>
              <w:t>主要完成人</w:t>
            </w:r>
          </w:p>
        </w:tc>
        <w:tc>
          <w:tcPr>
            <w:tcW w:w="7596" w:type="dxa"/>
            <w:vAlign w:val="center"/>
          </w:tcPr>
          <w:p w14:paraId="49A24B6B">
            <w:pPr>
              <w:pStyle w:val="12"/>
              <w:rPr>
                <w:rFonts w:hint="eastAsia" w:eastAsia="仿宋"/>
                <w:spacing w:val="-2"/>
                <w:sz w:val="24"/>
                <w:szCs w:val="24"/>
              </w:rPr>
            </w:pPr>
            <w:r>
              <w:rPr>
                <w:rFonts w:eastAsia="仿宋"/>
                <w:spacing w:val="-2"/>
                <w:sz w:val="24"/>
                <w:szCs w:val="24"/>
              </w:rPr>
              <w:t>罗琼，排名 1，主任医师，浙江大学医学院附属妇产科医院；</w:t>
            </w:r>
          </w:p>
          <w:p w14:paraId="72342514">
            <w:pPr>
              <w:pStyle w:val="12"/>
              <w:rPr>
                <w:rFonts w:eastAsia="仿宋"/>
                <w:spacing w:val="-2"/>
                <w:sz w:val="24"/>
                <w:szCs w:val="24"/>
              </w:rPr>
            </w:pPr>
            <w:r>
              <w:rPr>
                <w:rFonts w:eastAsia="仿宋"/>
                <w:spacing w:val="-2"/>
                <w:sz w:val="24"/>
                <w:szCs w:val="24"/>
              </w:rPr>
              <w:t>刘爱霞，排名 2，主任医师，浙江大学医学院附属妇产科医院；</w:t>
            </w:r>
          </w:p>
          <w:p w14:paraId="557F6EF8">
            <w:pPr>
              <w:pStyle w:val="12"/>
              <w:rPr>
                <w:rFonts w:eastAsia="仿宋"/>
                <w:spacing w:val="-2"/>
                <w:sz w:val="24"/>
                <w:szCs w:val="24"/>
              </w:rPr>
            </w:pPr>
            <w:r>
              <w:rPr>
                <w:rFonts w:eastAsia="仿宋"/>
                <w:spacing w:val="-2"/>
                <w:sz w:val="24"/>
                <w:szCs w:val="24"/>
              </w:rPr>
              <w:t>黄新文，排名 3，教授/主任医师，浙江大学医学院附属儿童医院；</w:t>
            </w:r>
          </w:p>
          <w:p w14:paraId="5863EBC0">
            <w:pPr>
              <w:pStyle w:val="12"/>
              <w:rPr>
                <w:rFonts w:hint="eastAsia" w:eastAsia="仿宋"/>
                <w:spacing w:val="-2"/>
                <w:sz w:val="24"/>
                <w:szCs w:val="24"/>
              </w:rPr>
            </w:pPr>
            <w:r>
              <w:rPr>
                <w:rFonts w:eastAsia="仿宋"/>
                <w:spacing w:val="-2"/>
                <w:sz w:val="24"/>
                <w:szCs w:val="24"/>
              </w:rPr>
              <w:t>黄荷凤，排名 4，教授</w:t>
            </w:r>
            <w:r>
              <w:rPr>
                <w:rFonts w:hint="eastAsia" w:eastAsia="仿宋"/>
                <w:spacing w:val="-2"/>
                <w:sz w:val="24"/>
                <w:szCs w:val="24"/>
              </w:rPr>
              <w:t>/主任医师</w:t>
            </w:r>
            <w:r>
              <w:rPr>
                <w:rFonts w:eastAsia="仿宋"/>
                <w:spacing w:val="-2"/>
                <w:sz w:val="24"/>
                <w:szCs w:val="24"/>
              </w:rPr>
              <w:t>，浙江大学</w:t>
            </w:r>
            <w:r>
              <w:rPr>
                <w:rFonts w:hint="eastAsia" w:eastAsia="仿宋"/>
                <w:spacing w:val="-2"/>
                <w:sz w:val="24"/>
                <w:szCs w:val="24"/>
              </w:rPr>
              <w:t>；</w:t>
            </w:r>
          </w:p>
          <w:p w14:paraId="14D0FFEE">
            <w:pPr>
              <w:pStyle w:val="12"/>
              <w:rPr>
                <w:rFonts w:eastAsia="仿宋"/>
                <w:spacing w:val="-2"/>
                <w:sz w:val="24"/>
                <w:szCs w:val="24"/>
              </w:rPr>
            </w:pPr>
            <w:r>
              <w:rPr>
                <w:rFonts w:eastAsia="仿宋"/>
                <w:spacing w:val="-2"/>
                <w:sz w:val="24"/>
                <w:szCs w:val="24"/>
              </w:rPr>
              <w:t>严恺，排名 5，副主任技师，浙江大学医学院附属妇产科医院；</w:t>
            </w:r>
          </w:p>
          <w:p w14:paraId="30F70D27">
            <w:pPr>
              <w:pStyle w:val="12"/>
              <w:rPr>
                <w:rFonts w:eastAsia="仿宋"/>
                <w:spacing w:val="-2"/>
                <w:sz w:val="24"/>
                <w:szCs w:val="24"/>
              </w:rPr>
            </w:pPr>
            <w:r>
              <w:rPr>
                <w:rFonts w:eastAsia="仿宋"/>
                <w:spacing w:val="-2"/>
                <w:sz w:val="24"/>
                <w:szCs w:val="24"/>
              </w:rPr>
              <w:t>郑伟增，排名 6，主管技师，浙江大学医学院附属妇产科医院</w:t>
            </w:r>
          </w:p>
          <w:p w14:paraId="10C053C8">
            <w:pPr>
              <w:pStyle w:val="12"/>
              <w:rPr>
                <w:rFonts w:eastAsia="仿宋"/>
                <w:spacing w:val="-2"/>
                <w:sz w:val="24"/>
                <w:szCs w:val="24"/>
              </w:rPr>
            </w:pPr>
            <w:r>
              <w:rPr>
                <w:rFonts w:eastAsia="仿宋"/>
                <w:spacing w:val="-2"/>
                <w:sz w:val="24"/>
                <w:szCs w:val="24"/>
              </w:rPr>
              <w:t>陈光弟，排名 7，教授，浙江大学；</w:t>
            </w:r>
          </w:p>
          <w:p w14:paraId="3D5AE57D">
            <w:pPr>
              <w:pStyle w:val="12"/>
              <w:rPr>
                <w:rFonts w:eastAsia="仿宋"/>
                <w:spacing w:val="-2"/>
                <w:sz w:val="24"/>
                <w:szCs w:val="24"/>
              </w:rPr>
            </w:pPr>
            <w:r>
              <w:rPr>
                <w:rFonts w:eastAsia="仿宋"/>
                <w:spacing w:val="-2"/>
                <w:sz w:val="24"/>
                <w:szCs w:val="24"/>
              </w:rPr>
              <w:t>吕旻，排名 8，主治医师，浙江大学医学院附属妇产科医院；</w:t>
            </w:r>
          </w:p>
          <w:p w14:paraId="6322D156">
            <w:pPr>
              <w:pStyle w:val="12"/>
              <w:rPr>
                <w:rFonts w:eastAsia="仿宋"/>
                <w:spacing w:val="-2"/>
                <w:sz w:val="24"/>
                <w:szCs w:val="24"/>
              </w:rPr>
            </w:pPr>
            <w:r>
              <w:rPr>
                <w:rFonts w:eastAsia="仿宋"/>
                <w:spacing w:val="-2"/>
                <w:sz w:val="24"/>
                <w:szCs w:val="24"/>
              </w:rPr>
              <w:t>陈原，排名 9，副主任医师，浙江大学医学院附属妇产科医院；</w:t>
            </w:r>
          </w:p>
          <w:p w14:paraId="49C5C3C8">
            <w:pPr>
              <w:pStyle w:val="12"/>
              <w:rPr>
                <w:rFonts w:eastAsia="仿宋"/>
                <w:spacing w:val="-2"/>
                <w:sz w:val="24"/>
                <w:szCs w:val="24"/>
              </w:rPr>
            </w:pPr>
            <w:r>
              <w:rPr>
                <w:rFonts w:eastAsia="仿宋"/>
                <w:spacing w:val="-2"/>
                <w:sz w:val="24"/>
                <w:szCs w:val="24"/>
              </w:rPr>
              <w:t>蒋颖，排名 10，副主任医师，浙江大学医学院附属妇产科医院</w:t>
            </w:r>
            <w:r>
              <w:rPr>
                <w:rFonts w:hint="eastAsia" w:eastAsia="仿宋"/>
                <w:spacing w:val="-2"/>
                <w:sz w:val="24"/>
                <w:szCs w:val="24"/>
              </w:rPr>
              <w:t>。</w:t>
            </w:r>
          </w:p>
        </w:tc>
      </w:tr>
      <w:tr w14:paraId="7C082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3F9B78DC">
            <w:pPr>
              <w:pStyle w:val="12"/>
              <w:rPr>
                <w:rFonts w:eastAsia="仿宋"/>
                <w:spacing w:val="-2"/>
                <w:sz w:val="24"/>
                <w:szCs w:val="24"/>
              </w:rPr>
            </w:pPr>
            <w:r>
              <w:rPr>
                <w:rFonts w:eastAsia="仿宋"/>
                <w:spacing w:val="-6"/>
                <w:sz w:val="24"/>
                <w:szCs w:val="24"/>
              </w:rPr>
              <w:t>主要完成</w:t>
            </w:r>
            <w:r>
              <w:rPr>
                <w:rFonts w:eastAsia="仿宋"/>
                <w:spacing w:val="-5"/>
                <w:sz w:val="24"/>
                <w:szCs w:val="24"/>
              </w:rPr>
              <w:t>单位</w:t>
            </w:r>
          </w:p>
        </w:tc>
        <w:tc>
          <w:tcPr>
            <w:tcW w:w="7596" w:type="dxa"/>
            <w:vAlign w:val="center"/>
          </w:tcPr>
          <w:p w14:paraId="4A786B8F">
            <w:pPr>
              <w:pStyle w:val="12"/>
              <w:numPr>
                <w:ilvl w:val="0"/>
                <w:numId w:val="3"/>
              </w:numPr>
              <w:tabs>
                <w:tab w:val="left" w:pos="287"/>
              </w:tabs>
              <w:ind w:left="0" w:firstLine="0"/>
              <w:rPr>
                <w:rFonts w:eastAsia="仿宋"/>
                <w:sz w:val="24"/>
                <w:szCs w:val="24"/>
              </w:rPr>
            </w:pPr>
            <w:r>
              <w:rPr>
                <w:rFonts w:eastAsia="仿宋"/>
                <w:spacing w:val="-1"/>
                <w:sz w:val="24"/>
                <w:szCs w:val="24"/>
              </w:rPr>
              <w:t>单位名称：浙江大学医学院附属妇产科医院</w:t>
            </w:r>
          </w:p>
          <w:p w14:paraId="08C32C69">
            <w:pPr>
              <w:pStyle w:val="12"/>
              <w:numPr>
                <w:ilvl w:val="0"/>
                <w:numId w:val="3"/>
              </w:numPr>
              <w:tabs>
                <w:tab w:val="left" w:pos="287"/>
              </w:tabs>
              <w:ind w:left="0" w:firstLine="0"/>
              <w:rPr>
                <w:rFonts w:eastAsia="仿宋"/>
                <w:sz w:val="24"/>
                <w:szCs w:val="24"/>
              </w:rPr>
            </w:pPr>
            <w:r>
              <w:rPr>
                <w:rFonts w:eastAsia="仿宋"/>
                <w:spacing w:val="-1"/>
                <w:sz w:val="24"/>
                <w:szCs w:val="24"/>
              </w:rPr>
              <w:t>单位名称：浙江大学医学院附属儿童医院</w:t>
            </w:r>
          </w:p>
          <w:p w14:paraId="428B7B5B">
            <w:pPr>
              <w:pStyle w:val="12"/>
              <w:numPr>
                <w:ilvl w:val="0"/>
                <w:numId w:val="3"/>
              </w:numPr>
              <w:tabs>
                <w:tab w:val="left" w:pos="287"/>
              </w:tabs>
              <w:ind w:left="0" w:firstLine="0"/>
              <w:rPr>
                <w:rFonts w:eastAsia="仿宋"/>
                <w:spacing w:val="-2"/>
                <w:sz w:val="24"/>
                <w:szCs w:val="24"/>
              </w:rPr>
            </w:pPr>
            <w:r>
              <w:rPr>
                <w:rFonts w:eastAsia="仿宋"/>
                <w:spacing w:val="-1"/>
                <w:sz w:val="24"/>
                <w:szCs w:val="24"/>
              </w:rPr>
              <w:t>单位名称：浙江大学</w:t>
            </w:r>
          </w:p>
        </w:tc>
      </w:tr>
      <w:tr w14:paraId="27C7A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60244CC0">
            <w:pPr>
              <w:pStyle w:val="12"/>
              <w:rPr>
                <w:rFonts w:eastAsia="仿宋"/>
                <w:spacing w:val="-2"/>
                <w:sz w:val="24"/>
                <w:szCs w:val="24"/>
              </w:rPr>
            </w:pPr>
            <w:r>
              <w:rPr>
                <w:rFonts w:eastAsia="仿宋"/>
                <w:spacing w:val="-6"/>
                <w:sz w:val="24"/>
                <w:szCs w:val="24"/>
              </w:rPr>
              <w:t>提名</w:t>
            </w:r>
            <w:r>
              <w:rPr>
                <w:rFonts w:eastAsia="仿宋"/>
                <w:spacing w:val="-5"/>
                <w:sz w:val="24"/>
                <w:szCs w:val="24"/>
              </w:rPr>
              <w:t>单位</w:t>
            </w:r>
          </w:p>
        </w:tc>
        <w:tc>
          <w:tcPr>
            <w:tcW w:w="7596" w:type="dxa"/>
            <w:vAlign w:val="center"/>
          </w:tcPr>
          <w:p w14:paraId="6BA1585C">
            <w:pPr>
              <w:pStyle w:val="12"/>
              <w:jc w:val="center"/>
              <w:rPr>
                <w:rFonts w:eastAsia="仿宋"/>
                <w:spacing w:val="-2"/>
                <w:sz w:val="24"/>
                <w:szCs w:val="24"/>
              </w:rPr>
            </w:pPr>
            <w:r>
              <w:rPr>
                <w:rFonts w:eastAsia="仿宋"/>
                <w:spacing w:val="-3"/>
                <w:sz w:val="24"/>
                <w:szCs w:val="24"/>
              </w:rPr>
              <w:t>浙江大学</w:t>
            </w:r>
          </w:p>
        </w:tc>
      </w:tr>
      <w:tr w14:paraId="121F9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32B2A799">
            <w:pPr>
              <w:pStyle w:val="12"/>
              <w:rPr>
                <w:rFonts w:eastAsia="仿宋"/>
                <w:spacing w:val="-2"/>
                <w:sz w:val="24"/>
                <w:szCs w:val="24"/>
              </w:rPr>
            </w:pPr>
            <w:r>
              <w:rPr>
                <w:rFonts w:eastAsia="仿宋"/>
                <w:spacing w:val="-6"/>
                <w:sz w:val="24"/>
                <w:szCs w:val="24"/>
              </w:rPr>
              <w:t>提名</w:t>
            </w:r>
            <w:r>
              <w:rPr>
                <w:rFonts w:eastAsia="仿宋"/>
                <w:spacing w:val="-5"/>
                <w:sz w:val="24"/>
                <w:szCs w:val="24"/>
              </w:rPr>
              <w:t>意见</w:t>
            </w:r>
          </w:p>
        </w:tc>
        <w:tc>
          <w:tcPr>
            <w:tcW w:w="7596" w:type="dxa"/>
            <w:vAlign w:val="center"/>
          </w:tcPr>
          <w:p w14:paraId="7CA34572">
            <w:pPr>
              <w:pStyle w:val="12"/>
              <w:adjustRightInd w:val="0"/>
              <w:snapToGrid w:val="0"/>
              <w:ind w:firstLine="472" w:firstLineChars="200"/>
              <w:rPr>
                <w:rFonts w:eastAsia="仿宋"/>
                <w:spacing w:val="-2"/>
                <w:sz w:val="24"/>
                <w:szCs w:val="24"/>
              </w:rPr>
            </w:pPr>
            <w:r>
              <w:rPr>
                <w:rFonts w:hint="eastAsia" w:eastAsia="仿宋"/>
                <w:spacing w:val="-2"/>
                <w:sz w:val="24"/>
                <w:szCs w:val="24"/>
              </w:rPr>
              <w:t>本项目始终围绕优生、优育，致力于复发性妊娠异常病因学研究及相关干预体系建立，取得成果如下：</w:t>
            </w:r>
            <w:r>
              <w:rPr>
                <w:rFonts w:eastAsia="仿宋"/>
                <w:spacing w:val="-2"/>
                <w:sz w:val="24"/>
                <w:szCs w:val="24"/>
              </w:rPr>
              <w:t>1</w:t>
            </w:r>
            <w:r>
              <w:rPr>
                <w:rFonts w:hint="eastAsia" w:eastAsia="仿宋"/>
                <w:spacing w:val="-2"/>
                <w:sz w:val="24"/>
                <w:szCs w:val="24"/>
              </w:rPr>
              <w:t>、建立临床表型</w:t>
            </w:r>
            <w:r>
              <w:rPr>
                <w:rFonts w:eastAsia="仿宋"/>
                <w:spacing w:val="-2"/>
                <w:sz w:val="24"/>
                <w:szCs w:val="24"/>
              </w:rPr>
              <w:t>-</w:t>
            </w:r>
            <w:r>
              <w:rPr>
                <w:rFonts w:hint="eastAsia" w:eastAsia="仿宋"/>
                <w:spacing w:val="-2"/>
                <w:sz w:val="24"/>
                <w:szCs w:val="24"/>
              </w:rPr>
              <w:t>生物样本库</w:t>
            </w:r>
            <w:r>
              <w:rPr>
                <w:rFonts w:eastAsia="仿宋"/>
                <w:spacing w:val="-2"/>
                <w:sz w:val="24"/>
                <w:szCs w:val="24"/>
              </w:rPr>
              <w:t>-</w:t>
            </w:r>
            <w:r>
              <w:rPr>
                <w:rFonts w:hint="eastAsia" w:eastAsia="仿宋"/>
                <w:spacing w:val="-2"/>
                <w:sz w:val="24"/>
                <w:szCs w:val="24"/>
              </w:rPr>
              <w:t>模式动物研究策略，发现早期妊娠丢失（</w:t>
            </w:r>
            <w:r>
              <w:rPr>
                <w:rFonts w:eastAsia="仿宋"/>
                <w:spacing w:val="-2"/>
                <w:sz w:val="24"/>
                <w:szCs w:val="24"/>
              </w:rPr>
              <w:t>EPL</w:t>
            </w:r>
            <w:r>
              <w:rPr>
                <w:rFonts w:hint="eastAsia" w:eastAsia="仿宋"/>
                <w:spacing w:val="-2"/>
                <w:sz w:val="24"/>
                <w:szCs w:val="24"/>
              </w:rPr>
              <w:t>）新的病理机制，提出</w:t>
            </w:r>
            <w:r>
              <w:rPr>
                <w:rFonts w:eastAsia="仿宋"/>
                <w:spacing w:val="-2"/>
                <w:sz w:val="24"/>
                <w:szCs w:val="24"/>
              </w:rPr>
              <w:t>SGK1</w:t>
            </w:r>
            <w:r>
              <w:rPr>
                <w:rFonts w:hint="eastAsia" w:eastAsia="仿宋"/>
                <w:spacing w:val="-2"/>
                <w:sz w:val="24"/>
                <w:szCs w:val="24"/>
              </w:rPr>
              <w:t>可作为</w:t>
            </w:r>
            <w:r>
              <w:rPr>
                <w:rFonts w:eastAsia="仿宋"/>
                <w:spacing w:val="-2"/>
                <w:sz w:val="24"/>
                <w:szCs w:val="24"/>
              </w:rPr>
              <w:t>EPL</w:t>
            </w:r>
            <w:r>
              <w:rPr>
                <w:rFonts w:hint="eastAsia" w:eastAsia="仿宋"/>
                <w:spacing w:val="-2"/>
                <w:sz w:val="24"/>
                <w:szCs w:val="24"/>
              </w:rPr>
              <w:t>潜在治疗靶点，开发</w:t>
            </w:r>
            <w:r>
              <w:rPr>
                <w:rFonts w:eastAsia="仿宋"/>
                <w:spacing w:val="-2"/>
                <w:sz w:val="24"/>
                <w:szCs w:val="24"/>
              </w:rPr>
              <w:t>miR-29a</w:t>
            </w:r>
            <w:r>
              <w:rPr>
                <w:rFonts w:hint="eastAsia" w:eastAsia="仿宋"/>
                <w:spacing w:val="-2"/>
                <w:sz w:val="24"/>
                <w:szCs w:val="24"/>
              </w:rPr>
              <w:t>早期流产诊断试剂盒原型，有效预测早期妊娠预后。</w:t>
            </w:r>
            <w:r>
              <w:rPr>
                <w:rFonts w:eastAsia="仿宋"/>
                <w:spacing w:val="-2"/>
                <w:sz w:val="24"/>
                <w:szCs w:val="24"/>
              </w:rPr>
              <w:t xml:space="preserve"> 2</w:t>
            </w:r>
            <w:r>
              <w:rPr>
                <w:rFonts w:hint="eastAsia" w:eastAsia="仿宋"/>
                <w:spacing w:val="-2"/>
                <w:sz w:val="24"/>
                <w:szCs w:val="24"/>
              </w:rPr>
              <w:t>、根据反复宫颈性早产病因提出个体化治疗方案，创新开展多种获国际同行认可的术式，结合早产专病数据库和精准预测模型，实现对早产高危孕妇风险分层和全程管理；</w:t>
            </w:r>
            <w:r>
              <w:rPr>
                <w:rFonts w:eastAsia="仿宋"/>
                <w:spacing w:val="-2"/>
                <w:sz w:val="24"/>
                <w:szCs w:val="24"/>
              </w:rPr>
              <w:t>3</w:t>
            </w:r>
            <w:r>
              <w:rPr>
                <w:rFonts w:hint="eastAsia" w:eastAsia="仿宋"/>
                <w:spacing w:val="-2"/>
                <w:sz w:val="24"/>
                <w:szCs w:val="24"/>
              </w:rPr>
              <w:t>、组建省内首个产时宫外胎儿手术（</w:t>
            </w:r>
            <w:r>
              <w:rPr>
                <w:rFonts w:eastAsia="仿宋"/>
                <w:spacing w:val="-2"/>
                <w:sz w:val="24"/>
                <w:szCs w:val="24"/>
              </w:rPr>
              <w:t>EXIT</w:t>
            </w:r>
            <w:r>
              <w:rPr>
                <w:rFonts w:hint="eastAsia" w:eastAsia="仿宋"/>
                <w:spacing w:val="-2"/>
                <w:sz w:val="24"/>
                <w:szCs w:val="24"/>
              </w:rPr>
              <w:t>）团队，开展省内首例</w:t>
            </w:r>
            <w:r>
              <w:rPr>
                <w:rFonts w:eastAsia="仿宋"/>
                <w:spacing w:val="-2"/>
                <w:sz w:val="24"/>
                <w:szCs w:val="24"/>
              </w:rPr>
              <w:t>EXIT</w:t>
            </w:r>
            <w:r>
              <w:rPr>
                <w:rFonts w:hint="eastAsia" w:eastAsia="仿宋"/>
                <w:spacing w:val="-2"/>
                <w:sz w:val="24"/>
                <w:szCs w:val="24"/>
              </w:rPr>
              <w:t>手术，率先建立胎儿</w:t>
            </w:r>
            <w:r>
              <w:rPr>
                <w:rFonts w:eastAsia="仿宋"/>
                <w:spacing w:val="-2"/>
                <w:sz w:val="24"/>
                <w:szCs w:val="24"/>
              </w:rPr>
              <w:t>-</w:t>
            </w:r>
            <w:r>
              <w:rPr>
                <w:rFonts w:hint="eastAsia" w:eastAsia="仿宋"/>
                <w:spacing w:val="-2"/>
                <w:sz w:val="24"/>
                <w:szCs w:val="24"/>
              </w:rPr>
              <w:t>胎盘循环监测标准操作流程和规范，开展</w:t>
            </w:r>
            <w:r>
              <w:rPr>
                <w:rFonts w:eastAsia="仿宋"/>
                <w:spacing w:val="-2"/>
                <w:sz w:val="24"/>
                <w:szCs w:val="24"/>
              </w:rPr>
              <w:t>EXIT</w:t>
            </w:r>
            <w:r>
              <w:rPr>
                <w:rFonts w:hint="eastAsia" w:eastAsia="仿宋"/>
                <w:spacing w:val="-2"/>
                <w:sz w:val="24"/>
                <w:szCs w:val="24"/>
              </w:rPr>
              <w:t>病种及数量国内领先；</w:t>
            </w:r>
            <w:r>
              <w:rPr>
                <w:rFonts w:eastAsia="仿宋"/>
                <w:spacing w:val="-2"/>
                <w:sz w:val="24"/>
                <w:szCs w:val="24"/>
              </w:rPr>
              <w:t>4</w:t>
            </w:r>
            <w:r>
              <w:rPr>
                <w:rFonts w:hint="eastAsia" w:eastAsia="仿宋"/>
                <w:spacing w:val="-2"/>
                <w:sz w:val="24"/>
                <w:szCs w:val="24"/>
              </w:rPr>
              <w:t>、原创性开发胎儿常见染色体非整倍体、基因组拷贝变异和显性单基因病新发变异集成式检测的新型无创产前筛查技术，显著提高针对遗传性出生缺陷的筛查效能；</w:t>
            </w:r>
            <w:r>
              <w:rPr>
                <w:rFonts w:eastAsia="仿宋"/>
                <w:spacing w:val="-2"/>
                <w:sz w:val="24"/>
                <w:szCs w:val="24"/>
              </w:rPr>
              <w:t>5</w:t>
            </w:r>
            <w:r>
              <w:rPr>
                <w:rFonts w:hint="eastAsia" w:eastAsia="仿宋"/>
                <w:spacing w:val="-2"/>
                <w:sz w:val="24"/>
                <w:szCs w:val="24"/>
              </w:rPr>
              <w:t>、原创性开发了国际上首个集成型新生儿疾病最佳筛查模式，并基于此建立国际最大遗传代谢病诊断平台，为此类疾病筛查及再生育指导奠定坚实基础。共发表国际权威期刊论文</w:t>
            </w:r>
            <w:r>
              <w:rPr>
                <w:rFonts w:eastAsia="仿宋"/>
                <w:spacing w:val="-2"/>
                <w:sz w:val="24"/>
                <w:szCs w:val="24"/>
              </w:rPr>
              <w:t>116</w:t>
            </w:r>
            <w:r>
              <w:rPr>
                <w:rFonts w:hint="eastAsia" w:eastAsia="仿宋"/>
                <w:spacing w:val="-2"/>
                <w:sz w:val="24"/>
                <w:szCs w:val="24"/>
              </w:rPr>
              <w:t>篇，临床指南及专家共识</w:t>
            </w:r>
            <w:r>
              <w:rPr>
                <w:rFonts w:eastAsia="仿宋"/>
                <w:spacing w:val="-2"/>
                <w:sz w:val="24"/>
                <w:szCs w:val="24"/>
              </w:rPr>
              <w:t>27</w:t>
            </w:r>
            <w:r>
              <w:rPr>
                <w:rFonts w:hint="eastAsia" w:eastAsia="仿宋"/>
                <w:spacing w:val="-2"/>
                <w:sz w:val="24"/>
                <w:szCs w:val="24"/>
              </w:rPr>
              <w:t>篇，授权国家发明专利</w:t>
            </w:r>
            <w:r>
              <w:rPr>
                <w:rFonts w:eastAsia="仿宋"/>
                <w:spacing w:val="-2"/>
                <w:sz w:val="24"/>
                <w:szCs w:val="24"/>
              </w:rPr>
              <w:t xml:space="preserve"> 8 </w:t>
            </w:r>
            <w:r>
              <w:rPr>
                <w:rFonts w:hint="eastAsia" w:eastAsia="仿宋"/>
                <w:spacing w:val="-2"/>
                <w:sz w:val="24"/>
                <w:szCs w:val="24"/>
              </w:rPr>
              <w:t>项、软件著作权</w:t>
            </w:r>
            <w:r>
              <w:rPr>
                <w:rFonts w:eastAsia="仿宋"/>
                <w:spacing w:val="-2"/>
                <w:sz w:val="24"/>
                <w:szCs w:val="24"/>
              </w:rPr>
              <w:t>2</w:t>
            </w:r>
            <w:r>
              <w:rPr>
                <w:rFonts w:hint="eastAsia" w:eastAsia="仿宋"/>
                <w:spacing w:val="-2"/>
                <w:sz w:val="24"/>
                <w:szCs w:val="24"/>
              </w:rPr>
              <w:t>项。关键成果目前已广泛应用于全国多家医院，产生了良好的社会效益和经济效益。本项目紧紧围绕“浙有善育”，在保障母婴健康方面进行深入研究，取得优异成绩，基本实现妊娠全周期覆盖。该研究设计围绕国家重大战略需求，思路清晰、方法先进，相关研究成果具有重大原创性、临床可普及性和卫生经济学价值。</w:t>
            </w:r>
            <w:r>
              <w:rPr>
                <w:rFonts w:eastAsia="仿宋"/>
                <w:spacing w:val="-2"/>
                <w:sz w:val="24"/>
                <w:szCs w:val="24"/>
              </w:rPr>
              <w:t xml:space="preserve"> </w:t>
            </w:r>
          </w:p>
          <w:p w14:paraId="0AD46B28">
            <w:pPr>
              <w:pStyle w:val="12"/>
              <w:adjustRightInd w:val="0"/>
              <w:snapToGrid w:val="0"/>
              <w:ind w:firstLine="472" w:firstLineChars="200"/>
              <w:rPr>
                <w:rFonts w:eastAsia="仿宋"/>
                <w:spacing w:val="-2"/>
                <w:sz w:val="24"/>
                <w:szCs w:val="24"/>
              </w:rPr>
            </w:pPr>
            <w:r>
              <w:rPr>
                <w:rFonts w:hint="eastAsia" w:eastAsia="仿宋"/>
                <w:spacing w:val="-2"/>
                <w:sz w:val="24"/>
                <w:szCs w:val="24"/>
              </w:rPr>
              <w:t>提名该成果为省科学技术进步奖一等奖。</w:t>
            </w:r>
          </w:p>
        </w:tc>
      </w:tr>
    </w:tbl>
    <w:p w14:paraId="690AFABA">
      <w:pPr>
        <w:rPr>
          <w:rFonts w:eastAsiaTheme="minorEastAsia"/>
        </w:rPr>
      </w:pPr>
    </w:p>
    <w:sectPr>
      <w:type w:val="continuous"/>
      <w:pgSz w:w="11910" w:h="16840"/>
      <w:pgMar w:top="1440" w:right="1800" w:bottom="1440" w:left="180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15B0C"/>
    <w:multiLevelType w:val="multilevel"/>
    <w:tmpl w:val="0B015B0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CB84A38"/>
    <w:multiLevelType w:val="multilevel"/>
    <w:tmpl w:val="5CB84A3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6F511F6"/>
    <w:multiLevelType w:val="multilevel"/>
    <w:tmpl w:val="66F511F6"/>
    <w:lvl w:ilvl="0" w:tentative="0">
      <w:start w:val="1"/>
      <w:numFmt w:val="decimal"/>
      <w:lvlText w:val="%1."/>
      <w:lvlJc w:val="left"/>
      <w:pPr>
        <w:ind w:left="288" w:hanging="181"/>
      </w:pPr>
      <w:rPr>
        <w:rFonts w:hint="default" w:ascii="Times New Roman" w:hAnsi="Times New Roman" w:eastAsia="Times New Roman" w:cs="Times New Roman"/>
        <w:b w:val="0"/>
        <w:bCs w:val="0"/>
        <w:i w:val="0"/>
        <w:iCs w:val="0"/>
        <w:spacing w:val="0"/>
        <w:w w:val="96"/>
        <w:sz w:val="22"/>
        <w:szCs w:val="22"/>
        <w:lang w:val="en-US" w:eastAsia="zh-CN" w:bidi="ar-SA"/>
      </w:rPr>
    </w:lvl>
    <w:lvl w:ilvl="1" w:tentative="0">
      <w:start w:val="0"/>
      <w:numFmt w:val="bullet"/>
      <w:lvlText w:val="•"/>
      <w:lvlJc w:val="left"/>
      <w:pPr>
        <w:ind w:left="1021" w:hanging="181"/>
      </w:pPr>
      <w:rPr>
        <w:rFonts w:hint="default"/>
        <w:lang w:val="en-US" w:eastAsia="zh-CN" w:bidi="ar-SA"/>
      </w:rPr>
    </w:lvl>
    <w:lvl w:ilvl="2" w:tentative="0">
      <w:start w:val="0"/>
      <w:numFmt w:val="bullet"/>
      <w:lvlText w:val="•"/>
      <w:lvlJc w:val="left"/>
      <w:pPr>
        <w:ind w:left="1763" w:hanging="181"/>
      </w:pPr>
      <w:rPr>
        <w:rFonts w:hint="default"/>
        <w:lang w:val="en-US" w:eastAsia="zh-CN" w:bidi="ar-SA"/>
      </w:rPr>
    </w:lvl>
    <w:lvl w:ilvl="3" w:tentative="0">
      <w:start w:val="0"/>
      <w:numFmt w:val="bullet"/>
      <w:lvlText w:val="•"/>
      <w:lvlJc w:val="left"/>
      <w:pPr>
        <w:ind w:left="2505" w:hanging="181"/>
      </w:pPr>
      <w:rPr>
        <w:rFonts w:hint="default"/>
        <w:lang w:val="en-US" w:eastAsia="zh-CN" w:bidi="ar-SA"/>
      </w:rPr>
    </w:lvl>
    <w:lvl w:ilvl="4" w:tentative="0">
      <w:start w:val="0"/>
      <w:numFmt w:val="bullet"/>
      <w:lvlText w:val="•"/>
      <w:lvlJc w:val="left"/>
      <w:pPr>
        <w:ind w:left="3247" w:hanging="181"/>
      </w:pPr>
      <w:rPr>
        <w:rFonts w:hint="default"/>
        <w:lang w:val="en-US" w:eastAsia="zh-CN" w:bidi="ar-SA"/>
      </w:rPr>
    </w:lvl>
    <w:lvl w:ilvl="5" w:tentative="0">
      <w:start w:val="0"/>
      <w:numFmt w:val="bullet"/>
      <w:lvlText w:val="•"/>
      <w:lvlJc w:val="left"/>
      <w:pPr>
        <w:ind w:left="3989" w:hanging="181"/>
      </w:pPr>
      <w:rPr>
        <w:rFonts w:hint="default"/>
        <w:lang w:val="en-US" w:eastAsia="zh-CN" w:bidi="ar-SA"/>
      </w:rPr>
    </w:lvl>
    <w:lvl w:ilvl="6" w:tentative="0">
      <w:start w:val="0"/>
      <w:numFmt w:val="bullet"/>
      <w:lvlText w:val="•"/>
      <w:lvlJc w:val="left"/>
      <w:pPr>
        <w:ind w:left="4730" w:hanging="181"/>
      </w:pPr>
      <w:rPr>
        <w:rFonts w:hint="default"/>
        <w:lang w:val="en-US" w:eastAsia="zh-CN" w:bidi="ar-SA"/>
      </w:rPr>
    </w:lvl>
    <w:lvl w:ilvl="7" w:tentative="0">
      <w:start w:val="0"/>
      <w:numFmt w:val="bullet"/>
      <w:lvlText w:val="•"/>
      <w:lvlJc w:val="left"/>
      <w:pPr>
        <w:ind w:left="5472" w:hanging="181"/>
      </w:pPr>
      <w:rPr>
        <w:rFonts w:hint="default"/>
        <w:lang w:val="en-US" w:eastAsia="zh-CN" w:bidi="ar-SA"/>
      </w:rPr>
    </w:lvl>
    <w:lvl w:ilvl="8" w:tentative="0">
      <w:start w:val="0"/>
      <w:numFmt w:val="bullet"/>
      <w:lvlText w:val="•"/>
      <w:lvlJc w:val="left"/>
      <w:pPr>
        <w:ind w:left="6214" w:hanging="181"/>
      </w:pPr>
      <w:rPr>
        <w:rFonts w:hint="default"/>
        <w:lang w:val="en-US" w:eastAsia="zh-CN"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77"/>
    <w:rsid w:val="00012E12"/>
    <w:rsid w:val="00031ADE"/>
    <w:rsid w:val="000C32CD"/>
    <w:rsid w:val="000C74C1"/>
    <w:rsid w:val="000D303E"/>
    <w:rsid w:val="000F5653"/>
    <w:rsid w:val="00155659"/>
    <w:rsid w:val="00186910"/>
    <w:rsid w:val="00197060"/>
    <w:rsid w:val="001A78E8"/>
    <w:rsid w:val="001D4765"/>
    <w:rsid w:val="001E7FCE"/>
    <w:rsid w:val="002047B1"/>
    <w:rsid w:val="002072CE"/>
    <w:rsid w:val="00223A6F"/>
    <w:rsid w:val="002245DE"/>
    <w:rsid w:val="00227669"/>
    <w:rsid w:val="00271FB7"/>
    <w:rsid w:val="00295E06"/>
    <w:rsid w:val="002E07AF"/>
    <w:rsid w:val="002E64BB"/>
    <w:rsid w:val="00301486"/>
    <w:rsid w:val="00301CDC"/>
    <w:rsid w:val="003124A5"/>
    <w:rsid w:val="00337EF3"/>
    <w:rsid w:val="00372FB1"/>
    <w:rsid w:val="00376600"/>
    <w:rsid w:val="003855D6"/>
    <w:rsid w:val="003979D6"/>
    <w:rsid w:val="003C2EA0"/>
    <w:rsid w:val="003C4B35"/>
    <w:rsid w:val="003D1EDF"/>
    <w:rsid w:val="003D5D13"/>
    <w:rsid w:val="003F15E0"/>
    <w:rsid w:val="003F5530"/>
    <w:rsid w:val="004152EF"/>
    <w:rsid w:val="00416860"/>
    <w:rsid w:val="00422ACA"/>
    <w:rsid w:val="004253BF"/>
    <w:rsid w:val="0042633B"/>
    <w:rsid w:val="00485877"/>
    <w:rsid w:val="004A5E1C"/>
    <w:rsid w:val="00502D79"/>
    <w:rsid w:val="00505C95"/>
    <w:rsid w:val="005925A2"/>
    <w:rsid w:val="005E1F67"/>
    <w:rsid w:val="00637B1D"/>
    <w:rsid w:val="006772F8"/>
    <w:rsid w:val="00677AFA"/>
    <w:rsid w:val="006B042D"/>
    <w:rsid w:val="006C121E"/>
    <w:rsid w:val="006D6F3E"/>
    <w:rsid w:val="006F3425"/>
    <w:rsid w:val="0074061A"/>
    <w:rsid w:val="00742DF3"/>
    <w:rsid w:val="007A340F"/>
    <w:rsid w:val="007B2158"/>
    <w:rsid w:val="007E476E"/>
    <w:rsid w:val="0080114F"/>
    <w:rsid w:val="00815A10"/>
    <w:rsid w:val="0083576C"/>
    <w:rsid w:val="008521D6"/>
    <w:rsid w:val="0089424D"/>
    <w:rsid w:val="008D3BCB"/>
    <w:rsid w:val="009102A7"/>
    <w:rsid w:val="00967536"/>
    <w:rsid w:val="009B3994"/>
    <w:rsid w:val="009C442E"/>
    <w:rsid w:val="00A142F3"/>
    <w:rsid w:val="00A332B4"/>
    <w:rsid w:val="00A35BEF"/>
    <w:rsid w:val="00A55E81"/>
    <w:rsid w:val="00A739D4"/>
    <w:rsid w:val="00AA1B2D"/>
    <w:rsid w:val="00AC7C05"/>
    <w:rsid w:val="00AD097C"/>
    <w:rsid w:val="00AD4286"/>
    <w:rsid w:val="00AD593E"/>
    <w:rsid w:val="00AF3316"/>
    <w:rsid w:val="00B24E5F"/>
    <w:rsid w:val="00B24EF3"/>
    <w:rsid w:val="00B4316C"/>
    <w:rsid w:val="00B57C19"/>
    <w:rsid w:val="00B67CF5"/>
    <w:rsid w:val="00B705B7"/>
    <w:rsid w:val="00BC31F1"/>
    <w:rsid w:val="00BC3A45"/>
    <w:rsid w:val="00BE2C44"/>
    <w:rsid w:val="00BF7192"/>
    <w:rsid w:val="00C3604A"/>
    <w:rsid w:val="00C55BDE"/>
    <w:rsid w:val="00C8612E"/>
    <w:rsid w:val="00CA0A79"/>
    <w:rsid w:val="00CA705B"/>
    <w:rsid w:val="00CE0DA4"/>
    <w:rsid w:val="00CF4338"/>
    <w:rsid w:val="00D07A48"/>
    <w:rsid w:val="00D325BF"/>
    <w:rsid w:val="00D622B3"/>
    <w:rsid w:val="00DB57AC"/>
    <w:rsid w:val="00DF352F"/>
    <w:rsid w:val="00E1630D"/>
    <w:rsid w:val="00E174E8"/>
    <w:rsid w:val="00E47123"/>
    <w:rsid w:val="00E56EFE"/>
    <w:rsid w:val="00E80118"/>
    <w:rsid w:val="00E91ACF"/>
    <w:rsid w:val="00EA31B9"/>
    <w:rsid w:val="00EC05AE"/>
    <w:rsid w:val="00F0078F"/>
    <w:rsid w:val="00F116DD"/>
    <w:rsid w:val="00F45886"/>
    <w:rsid w:val="00F51FA7"/>
    <w:rsid w:val="00F70085"/>
    <w:rsid w:val="00F9719F"/>
    <w:rsid w:val="44410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style>
  <w:style w:type="paragraph" w:styleId="3">
    <w:name w:val="Body Text"/>
    <w:basedOn w:val="1"/>
    <w:qFormat/>
    <w:uiPriority w:val="1"/>
    <w:pPr>
      <w:spacing w:before="218" w:after="19"/>
      <w:ind w:left="220"/>
    </w:pPr>
    <w:rPr>
      <w:rFonts w:ascii="仿宋" w:hAnsi="仿宋" w:eastAsia="仿宋" w:cs="仿宋"/>
      <w:sz w:val="24"/>
      <w:szCs w:val="24"/>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字符"/>
    <w:basedOn w:val="8"/>
    <w:link w:val="5"/>
    <w:qFormat/>
    <w:uiPriority w:val="99"/>
    <w:rPr>
      <w:rFonts w:ascii="Times New Roman" w:hAnsi="Times New Roman" w:eastAsia="Times New Roman" w:cs="Times New Roman"/>
      <w:sz w:val="18"/>
      <w:szCs w:val="18"/>
      <w:lang w:eastAsia="zh-CN"/>
    </w:rPr>
  </w:style>
  <w:style w:type="character" w:customStyle="1" w:styleId="14">
    <w:name w:val="页脚 字符"/>
    <w:basedOn w:val="8"/>
    <w:link w:val="4"/>
    <w:qFormat/>
    <w:uiPriority w:val="99"/>
    <w:rPr>
      <w:rFonts w:ascii="Times New Roman" w:hAnsi="Times New Roman" w:eastAsia="Times New Roman" w:cs="Times New Roman"/>
      <w:sz w:val="18"/>
      <w:szCs w:val="18"/>
      <w:lang w:eastAsia="zh-CN"/>
    </w:rPr>
  </w:style>
  <w:style w:type="character" w:customStyle="1" w:styleId="15">
    <w:name w:val="批注文字 字符"/>
    <w:basedOn w:val="8"/>
    <w:link w:val="2"/>
    <w:qFormat/>
    <w:uiPriority w:val="99"/>
    <w:rPr>
      <w:rFonts w:ascii="Times New Roman" w:hAnsi="Times New Roman" w:eastAsia="Times New Roman" w:cs="Times New Roman"/>
      <w:lang w:eastAsia="zh-CN"/>
    </w:rPr>
  </w:style>
  <w:style w:type="character" w:customStyle="1" w:styleId="16">
    <w:name w:val="批注主题 字符"/>
    <w:basedOn w:val="15"/>
    <w:link w:val="6"/>
    <w:semiHidden/>
    <w:qFormat/>
    <w:uiPriority w:val="99"/>
    <w:rPr>
      <w:rFonts w:ascii="Times New Roman" w:hAnsi="Times New Roman" w:eastAsia="Times New Roman" w:cs="Times New Roman"/>
      <w:b/>
      <w:bCs/>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1466</Words>
  <Characters>3034</Characters>
  <Lines>24</Lines>
  <Paragraphs>6</Paragraphs>
  <TotalTime>5</TotalTime>
  <ScaleCrop>false</ScaleCrop>
  <LinksUpToDate>false</LinksUpToDate>
  <CharactersWithSpaces>3400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2024-08-14T04:34:00Z</dcterms:created>
  <dc:creator>七月份的尾巴尖</dc:creator>
  <cp:lastModifiedBy>吴子康</cp:lastModifiedBy>
  <dcterms:modified xsi:type="dcterms:W3CDTF">2024-08-14T04:57:49Z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WPS 文字</vt:lpwstr>
  </property>
  <property fmtid="{D5CDD505-2E9C-101B-9397-08002B2CF9AE}" pid="4" name="LastSaved">
    <vt:filetime>2024-08-07T00:00:00Z</vt:filetime>
  </property>
  <property fmtid="{D5CDD505-2E9C-101B-9397-08002B2CF9AE}" pid="5" name="SourceModified">
    <vt:lpwstr>D:20240806142734+06'27'</vt:lpwstr>
  </property>
  <property fmtid="{D5CDD505-2E9C-101B-9397-08002B2CF9AE}" pid="6" name="KSOProductBuildVer">
    <vt:lpwstr>2052-12.1.0.17147</vt:lpwstr>
  </property>
  <property fmtid="{D5CDD505-2E9C-101B-9397-08002B2CF9AE}" pid="7" name="ICV">
    <vt:lpwstr>54F01CFD3904489EA547F5248D74DE27_13</vt:lpwstr>
  </property>
</Properties>
</file>