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00" w:lineRule="exact"/>
        <w:ind w:left="880" w:hanging="880"/>
        <w:jc w:val="center"/>
        <w:rPr>
          <w:rFonts w:eastAsia="方正小标宋简体"/>
          <w:b w:val="0"/>
          <w:sz w:val="36"/>
          <w:szCs w:val="36"/>
        </w:rPr>
      </w:pPr>
      <w:bookmarkStart w:id="3" w:name="_GoBack"/>
      <w:bookmarkEnd w:id="3"/>
      <w:bookmarkStart w:id="0" w:name="_Toc523884784"/>
      <w:bookmarkStart w:id="1" w:name="_Toc47722399"/>
      <w:bookmarkStart w:id="2" w:name="_Toc15897"/>
      <w:r>
        <w:rPr>
          <w:rFonts w:eastAsia="方正小标宋简体"/>
          <w:b w:val="0"/>
          <w:sz w:val="36"/>
          <w:szCs w:val="36"/>
        </w:rPr>
        <w:t>浙江省科学技术奖公示内容</w:t>
      </w:r>
      <w:bookmarkEnd w:id="0"/>
      <w:bookmarkEnd w:id="1"/>
      <w:bookmarkEnd w:id="2"/>
    </w:p>
    <w:p>
      <w:pPr>
        <w:spacing w:line="500" w:lineRule="exact"/>
        <w:ind w:left="643" w:hanging="643"/>
        <w:jc w:val="center"/>
        <w:rPr>
          <w:rFonts w:eastAsia="仿宋_GB2312"/>
          <w:b/>
          <w:bCs/>
          <w:sz w:val="32"/>
          <w:szCs w:val="32"/>
        </w:rPr>
      </w:pPr>
    </w:p>
    <w:p>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pPr>
        <w:spacing w:line="500" w:lineRule="exact"/>
        <w:ind w:firstLine="640" w:firstLineChars="200"/>
        <w:rPr>
          <w:rFonts w:eastAsia="黑体"/>
          <w:bCs/>
          <w:sz w:val="32"/>
          <w:szCs w:val="32"/>
        </w:rPr>
      </w:pPr>
      <w:r>
        <w:rPr>
          <w:rFonts w:eastAsia="黑体"/>
          <w:bCs/>
          <w:sz w:val="32"/>
          <w:szCs w:val="32"/>
        </w:rPr>
        <w:t>五、相关说明</w:t>
      </w:r>
    </w:p>
    <w:p>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pPr>
        <w:spacing w:line="500" w:lineRule="exact"/>
        <w:ind w:firstLine="640" w:firstLineChars="200"/>
        <w:rPr>
          <w:rFonts w:eastAsia="仿宋_GB2312"/>
          <w:sz w:val="32"/>
          <w:szCs w:val="32"/>
        </w:rPr>
      </w:pPr>
    </w:p>
    <w:p>
      <w:pPr>
        <w:spacing w:line="500" w:lineRule="exact"/>
        <w:ind w:firstLine="640" w:firstLineChars="200"/>
        <w:rPr>
          <w:rFonts w:eastAsia="仿宋_GB2312"/>
          <w:color w:val="FF0000"/>
          <w:sz w:val="32"/>
          <w:szCs w:val="32"/>
        </w:rPr>
      </w:pPr>
      <w:r>
        <w:rPr>
          <w:rFonts w:hint="eastAsia" w:eastAsia="仿宋_GB2312"/>
          <w:color w:val="FF0000"/>
          <w:sz w:val="32"/>
          <w:szCs w:val="32"/>
        </w:rPr>
        <w:t>公示信息表，确认不会修改后，请发送到科研院成果部kyc</w:t>
      </w:r>
      <w:r>
        <w:rPr>
          <w:rFonts w:eastAsia="仿宋_GB2312"/>
          <w:color w:val="FF0000"/>
          <w:sz w:val="32"/>
          <w:szCs w:val="32"/>
        </w:rPr>
        <w:t>1@zju.edu.cn</w:t>
      </w:r>
      <w:r>
        <w:rPr>
          <w:rFonts w:hint="eastAsia" w:eastAsia="仿宋_GB2312"/>
          <w:color w:val="FF0000"/>
          <w:sz w:val="32"/>
          <w:szCs w:val="32"/>
        </w:rPr>
        <w:t>邮箱。由科研院按照先后顺序进行公示。</w:t>
      </w: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w:t>
      </w:r>
      <w:r>
        <w:rPr>
          <w:rFonts w:hint="eastAsia" w:eastAsia="仿宋_GB2312"/>
          <w:sz w:val="28"/>
          <w:szCs w:val="24"/>
        </w:rPr>
        <w:t>技术发明奖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Cs w:val="22"/>
              </w:rPr>
            </w:pPr>
            <w:r>
              <w:rPr>
                <w:rStyle w:val="10"/>
                <w:rFonts w:hint="eastAsia" w:eastAsia="仿宋_GB2312"/>
                <w:b w:val="0"/>
                <w:color w:val="auto"/>
                <w:szCs w:val="22"/>
              </w:rPr>
              <w:t>严苛工况用聚乙烯复合管道自感知安全保障关键技术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Cs w:val="22"/>
              </w:rPr>
            </w:pPr>
            <w:r>
              <w:rPr>
                <w:rStyle w:val="10"/>
                <w:rFonts w:hint="eastAsia" w:eastAsia="仿宋_GB2312"/>
                <w:b w:val="0"/>
                <w:color w:val="auto"/>
                <w:szCs w:val="22"/>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after="156" w:afterLines="50"/>
              <w:jc w:val="left"/>
              <w:rPr>
                <w:rFonts w:eastAsia="仿宋_GB2312"/>
                <w:bCs/>
                <w:sz w:val="24"/>
                <w:szCs w:val="24"/>
              </w:rPr>
            </w:pPr>
            <w:r>
              <w:rPr>
                <w:rFonts w:eastAsia="仿宋_GB2312"/>
                <w:bCs/>
                <w:sz w:val="24"/>
                <w:szCs w:val="24"/>
              </w:rPr>
              <w:t>1. 发明专利：姚日雾, 施建峰, 郑津洋, 胡征宇. 机械性能与电学性能独立调控的纤维增强塑料电熔管件, 发明专利号: ZL202210546387.5.</w:t>
            </w:r>
          </w:p>
          <w:p>
            <w:pPr>
              <w:spacing w:after="156" w:afterLines="50"/>
              <w:jc w:val="left"/>
              <w:rPr>
                <w:rFonts w:eastAsia="仿宋_GB2312"/>
                <w:bCs/>
                <w:sz w:val="24"/>
                <w:szCs w:val="24"/>
              </w:rPr>
            </w:pPr>
            <w:r>
              <w:rPr>
                <w:rFonts w:eastAsia="仿宋_GB2312"/>
                <w:bCs/>
                <w:sz w:val="24"/>
                <w:szCs w:val="24"/>
              </w:rPr>
              <w:t>2. 发明专利：施建峰, 商宁涛, 孔智勇，倪奉尧，姚日雾，葛周天，郑津洋. 具有自传感智能监测功能的电熔管件及其加工与监测方法, 发明专利号: ZL202110042251.6.</w:t>
            </w:r>
          </w:p>
          <w:p>
            <w:pPr>
              <w:spacing w:after="156" w:afterLines="50"/>
              <w:rPr>
                <w:rFonts w:eastAsia="仿宋_GB2312"/>
              </w:rPr>
            </w:pPr>
            <w:r>
              <w:rPr>
                <w:rFonts w:eastAsia="仿宋_GB2312"/>
                <w:bCs/>
                <w:sz w:val="24"/>
                <w:szCs w:val="24"/>
              </w:rPr>
              <w:t>3. 发明专利：</w:t>
            </w:r>
            <w:r>
              <w:rPr>
                <w:rFonts w:hint="eastAsia" w:eastAsia="仿宋_GB2312"/>
                <w:bCs/>
                <w:sz w:val="24"/>
                <w:szCs w:val="24"/>
              </w:rPr>
              <w:t>Jianfeng Shi，Riwu Yao，Jinyang Zheng</w:t>
            </w:r>
            <w:r>
              <w:rPr>
                <w:rFonts w:eastAsia="仿宋_GB2312"/>
                <w:bCs/>
                <w:sz w:val="24"/>
                <w:szCs w:val="24"/>
              </w:rPr>
              <w:t>.</w:t>
            </w:r>
            <w:r>
              <w:rPr>
                <w:rFonts w:eastAsia="仿宋_GB2312"/>
              </w:rPr>
              <w:t xml:space="preserve"> </w:t>
            </w:r>
            <w:r>
              <w:rPr>
                <w:rFonts w:eastAsia="仿宋_GB2312"/>
                <w:bCs/>
                <w:sz w:val="24"/>
                <w:szCs w:val="24"/>
              </w:rPr>
              <w:t xml:space="preserve">A carbon fiber reinforced plastic electrofusion fitting and a self-monitoring method of strain, </w:t>
            </w:r>
            <w:r>
              <w:rPr>
                <w:rFonts w:hint="eastAsia" w:eastAsia="仿宋_GB2312"/>
                <w:bCs/>
                <w:sz w:val="24"/>
                <w:szCs w:val="24"/>
              </w:rPr>
              <w:t>美国</w:t>
            </w:r>
            <w:r>
              <w:rPr>
                <w:rFonts w:eastAsia="仿宋_GB2312"/>
                <w:bCs/>
                <w:sz w:val="24"/>
                <w:szCs w:val="24"/>
              </w:rPr>
              <w:t>发明专利号: US11911975B2.</w:t>
            </w:r>
          </w:p>
          <w:p>
            <w:pPr>
              <w:spacing w:after="156" w:afterLines="50"/>
              <w:rPr>
                <w:rFonts w:eastAsia="仿宋_GB2312"/>
              </w:rPr>
            </w:pPr>
            <w:r>
              <w:rPr>
                <w:rFonts w:eastAsia="仿宋_GB2312"/>
                <w:bCs/>
                <w:sz w:val="24"/>
                <w:szCs w:val="24"/>
              </w:rPr>
              <w:t>4. 发明专利：施建峰, 王德易, 郑津洋, 姚日雾, 商宁涛, 胡征宇.</w:t>
            </w:r>
            <w:r>
              <w:rPr>
                <w:rFonts w:eastAsia="仿宋_GB2312"/>
                <w:sz w:val="24"/>
                <w:szCs w:val="24"/>
              </w:rPr>
              <w:t xml:space="preserve"> 自传感智能电熔管件、流量和泄漏检测系统及方法</w:t>
            </w:r>
            <w:r>
              <w:rPr>
                <w:rFonts w:eastAsia="仿宋_GB2312"/>
                <w:bCs/>
                <w:sz w:val="24"/>
                <w:szCs w:val="24"/>
              </w:rPr>
              <w:t>, 发明专利号:</w:t>
            </w:r>
            <w:r>
              <w:rPr>
                <w:rFonts w:eastAsia="仿宋_GB2312"/>
              </w:rPr>
              <w:t xml:space="preserve"> </w:t>
            </w:r>
            <w:r>
              <w:rPr>
                <w:rFonts w:eastAsia="仿宋_GB2312"/>
                <w:bCs/>
                <w:sz w:val="24"/>
                <w:szCs w:val="24"/>
              </w:rPr>
              <w:t>ZL202210534602.X.</w:t>
            </w:r>
          </w:p>
          <w:p>
            <w:pPr>
              <w:spacing w:after="156" w:afterLines="50"/>
              <w:rPr>
                <w:rFonts w:eastAsia="仿宋_GB2312"/>
              </w:rPr>
            </w:pPr>
            <w:r>
              <w:rPr>
                <w:rFonts w:eastAsia="仿宋_GB2312"/>
                <w:bCs/>
                <w:sz w:val="24"/>
                <w:szCs w:val="24"/>
              </w:rPr>
              <w:t>5. 发明专利：倪奉尧, 陈成, 孔智勇, 孔德彬, 顾浩, 伍金奎, 孔涛.</w:t>
            </w:r>
            <w:r>
              <w:rPr>
                <w:rFonts w:eastAsia="仿宋_GB2312"/>
              </w:rPr>
              <w:t xml:space="preserve"> </w:t>
            </w:r>
            <w:r>
              <w:rPr>
                <w:rFonts w:eastAsia="仿宋_GB2312"/>
                <w:bCs/>
                <w:sz w:val="24"/>
                <w:szCs w:val="24"/>
              </w:rPr>
              <w:t>一种基于CNTs导电技术可燃性气体复合管及制备方法, 发明专利号:</w:t>
            </w:r>
            <w:r>
              <w:rPr>
                <w:rFonts w:eastAsia="仿宋_GB2312"/>
              </w:rPr>
              <w:t xml:space="preserve"> </w:t>
            </w:r>
            <w:r>
              <w:rPr>
                <w:rFonts w:eastAsia="仿宋_GB2312"/>
                <w:bCs/>
                <w:sz w:val="24"/>
                <w:szCs w:val="24"/>
              </w:rPr>
              <w:t>ZL202010668680.X.</w:t>
            </w:r>
          </w:p>
          <w:p>
            <w:pPr>
              <w:spacing w:after="156" w:afterLines="50"/>
              <w:rPr>
                <w:rFonts w:eastAsia="仿宋_GB2312"/>
              </w:rPr>
            </w:pPr>
            <w:r>
              <w:rPr>
                <w:rFonts w:eastAsia="仿宋_GB2312"/>
                <w:bCs/>
                <w:sz w:val="24"/>
                <w:szCs w:val="24"/>
              </w:rPr>
              <w:t>6. 发明专利：施建峰, 胡裕锐, 郑津洋.</w:t>
            </w:r>
            <w:r>
              <w:rPr>
                <w:rFonts w:eastAsia="仿宋_GB2312"/>
              </w:rPr>
              <w:t xml:space="preserve"> </w:t>
            </w:r>
            <w:r>
              <w:rPr>
                <w:rFonts w:eastAsia="仿宋_GB2312"/>
                <w:bCs/>
                <w:sz w:val="24"/>
                <w:szCs w:val="24"/>
              </w:rPr>
              <w:t>一种基于电熔接头实时温度场数据的熔区控制方法, 发明专利号:</w:t>
            </w:r>
            <w:r>
              <w:rPr>
                <w:rFonts w:eastAsia="仿宋_GB2312"/>
              </w:rPr>
              <w:t xml:space="preserve"> </w:t>
            </w:r>
            <w:r>
              <w:rPr>
                <w:rFonts w:eastAsia="仿宋_GB2312"/>
                <w:bCs/>
                <w:sz w:val="24"/>
                <w:szCs w:val="24"/>
              </w:rPr>
              <w:t>ZL201910986094.7.</w:t>
            </w:r>
          </w:p>
          <w:p>
            <w:pPr>
              <w:spacing w:after="156" w:afterLines="50"/>
              <w:rPr>
                <w:rFonts w:eastAsia="仿宋_GB2312"/>
              </w:rPr>
            </w:pPr>
            <w:r>
              <w:rPr>
                <w:rFonts w:eastAsia="仿宋_GB2312"/>
                <w:bCs/>
                <w:sz w:val="24"/>
                <w:szCs w:val="24"/>
              </w:rPr>
              <w:t>7. 发明专利：施建峰, 王中震, 郑津洋, 葛周天.</w:t>
            </w:r>
            <w:r>
              <w:rPr>
                <w:rFonts w:eastAsia="仿宋_GB2312"/>
              </w:rPr>
              <w:t xml:space="preserve"> </w:t>
            </w:r>
            <w:r>
              <w:rPr>
                <w:rFonts w:eastAsia="仿宋_GB2312"/>
                <w:bCs/>
                <w:sz w:val="24"/>
                <w:szCs w:val="24"/>
              </w:rPr>
              <w:t>预防端部鼓胀失效的钢丝增强热塑性塑料复合管及制造方法, 发明专利号:</w:t>
            </w:r>
            <w:r>
              <w:rPr>
                <w:rFonts w:eastAsia="仿宋_GB2312"/>
              </w:rPr>
              <w:t xml:space="preserve"> </w:t>
            </w:r>
            <w:r>
              <w:rPr>
                <w:rFonts w:eastAsia="仿宋_GB2312"/>
                <w:bCs/>
                <w:sz w:val="24"/>
                <w:szCs w:val="24"/>
              </w:rPr>
              <w:t>ZL202210116115.1.</w:t>
            </w:r>
          </w:p>
          <w:p>
            <w:pPr>
              <w:spacing w:after="156" w:afterLines="50"/>
              <w:rPr>
                <w:rFonts w:eastAsia="仿宋_GB2312"/>
              </w:rPr>
            </w:pPr>
            <w:r>
              <w:rPr>
                <w:rFonts w:eastAsia="仿宋_GB2312"/>
                <w:bCs/>
                <w:sz w:val="24"/>
                <w:szCs w:val="24"/>
              </w:rPr>
              <w:t>8. 发明专利：郑津洋, 郭伟灿, 施建峰, 徐平.</w:t>
            </w:r>
            <w:r>
              <w:rPr>
                <w:rFonts w:eastAsia="仿宋_GB2312"/>
              </w:rPr>
              <w:t xml:space="preserve"> </w:t>
            </w:r>
            <w:r>
              <w:rPr>
                <w:rFonts w:hint="eastAsia" w:eastAsia="仿宋_GB2312"/>
                <w:bCs/>
                <w:sz w:val="24"/>
                <w:szCs w:val="24"/>
              </w:rPr>
              <w:t>聚烯烃</w:t>
            </w:r>
            <w:r>
              <w:rPr>
                <w:rFonts w:eastAsia="仿宋_GB2312"/>
                <w:bCs/>
                <w:sz w:val="24"/>
                <w:szCs w:val="24"/>
              </w:rPr>
              <w:t>复合管接头超声波周向自动检测装置及检测方法, 发明专利号:</w:t>
            </w:r>
            <w:r>
              <w:rPr>
                <w:rFonts w:eastAsia="仿宋_GB2312"/>
              </w:rPr>
              <w:t xml:space="preserve"> </w:t>
            </w:r>
            <w:r>
              <w:rPr>
                <w:rFonts w:eastAsia="仿宋_GB2312"/>
                <w:bCs/>
                <w:sz w:val="24"/>
                <w:szCs w:val="24"/>
              </w:rPr>
              <w:t>ZL201310466694.3.</w:t>
            </w:r>
          </w:p>
          <w:p>
            <w:pPr>
              <w:spacing w:after="156" w:afterLines="50"/>
              <w:rPr>
                <w:rFonts w:eastAsia="仿宋_GB2312"/>
              </w:rPr>
            </w:pPr>
            <w:r>
              <w:rPr>
                <w:rFonts w:eastAsia="仿宋_GB2312"/>
                <w:bCs/>
                <w:sz w:val="24"/>
                <w:szCs w:val="24"/>
              </w:rPr>
              <w:t>9. 发明专利：施建峰, 聂新宇, 郭伟灿, 侯东圣, 郑津洋.</w:t>
            </w:r>
            <w:r>
              <w:rPr>
                <w:rFonts w:eastAsia="仿宋_GB2312"/>
              </w:rPr>
              <w:t xml:space="preserve"> </w:t>
            </w:r>
            <w:r>
              <w:rPr>
                <w:rFonts w:eastAsia="仿宋_GB2312"/>
                <w:bCs/>
                <w:sz w:val="24"/>
                <w:szCs w:val="24"/>
              </w:rPr>
              <w:t>超声相控阵检测聚乙烯电熔接头缺陷类型自动识别方法, 发明专利号:</w:t>
            </w:r>
            <w:r>
              <w:rPr>
                <w:rFonts w:eastAsia="仿宋_GB2312"/>
              </w:rPr>
              <w:t xml:space="preserve"> </w:t>
            </w:r>
            <w:r>
              <w:rPr>
                <w:rFonts w:eastAsia="仿宋_GB2312"/>
                <w:bCs/>
                <w:sz w:val="24"/>
                <w:szCs w:val="24"/>
              </w:rPr>
              <w:t>ZL201510666070.5.</w:t>
            </w:r>
          </w:p>
          <w:p>
            <w:pPr>
              <w:spacing w:after="156" w:afterLines="50"/>
              <w:rPr>
                <w:rFonts w:eastAsia="方正黑体简体"/>
                <w:sz w:val="32"/>
                <w:szCs w:val="22"/>
              </w:rPr>
            </w:pPr>
            <w:r>
              <w:rPr>
                <w:rFonts w:eastAsia="仿宋_GB2312"/>
                <w:bCs/>
                <w:sz w:val="24"/>
                <w:szCs w:val="24"/>
              </w:rPr>
              <w:t>10. 国家标准：郑津洋，施建峰，郭伟灿，丁守宝，高继轩，徐平、胡斌，丁良玉，李翔，王笑梅，郭春立.</w:t>
            </w:r>
            <w:r>
              <w:rPr>
                <w:rFonts w:eastAsia="仿宋_GB2312"/>
              </w:rPr>
              <w:t xml:space="preserve"> </w:t>
            </w:r>
            <w:r>
              <w:rPr>
                <w:rFonts w:eastAsia="仿宋_GB2312"/>
                <w:bCs/>
                <w:sz w:val="24"/>
                <w:szCs w:val="24"/>
              </w:rPr>
              <w:t xml:space="preserve">含缺陷聚乙烯管道电熔接头安全评定, </w:t>
            </w:r>
            <w:r>
              <w:rPr>
                <w:rFonts w:eastAsia="仿宋_GB2312"/>
                <w:sz w:val="24"/>
                <w:szCs w:val="24"/>
              </w:rPr>
              <w:t>标准编号: GB/T 29460-2012.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施建峰</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郑津洋</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郭伟灿</w:t>
            </w:r>
            <w:r>
              <w:rPr>
                <w:rFonts w:eastAsia="仿宋_GB2312"/>
                <w:bCs/>
                <w:sz w:val="24"/>
                <w:szCs w:val="24"/>
              </w:rPr>
              <w:t>，排名3，</w:t>
            </w:r>
            <w:r>
              <w:rPr>
                <w:rFonts w:hint="eastAsia" w:eastAsia="仿宋_GB2312"/>
                <w:bCs/>
                <w:sz w:val="24"/>
                <w:szCs w:val="24"/>
              </w:rPr>
              <w:t>教授级高工，浙江省特种设备科学研究院</w:t>
            </w:r>
            <w:r>
              <w:rPr>
                <w:rFonts w:eastAsia="仿宋_GB2312"/>
                <w:bCs/>
                <w:sz w:val="24"/>
                <w:szCs w:val="24"/>
              </w:rPr>
              <w:t>；</w:t>
            </w:r>
          </w:p>
          <w:p>
            <w:pPr>
              <w:spacing w:line="440" w:lineRule="exact"/>
              <w:rPr>
                <w:rFonts w:eastAsia="仿宋_GB2312"/>
                <w:bCs/>
                <w:sz w:val="24"/>
                <w:szCs w:val="24"/>
              </w:rPr>
            </w:pPr>
            <w:r>
              <w:rPr>
                <w:rFonts w:hint="eastAsia" w:ascii="仿宋_GB2312" w:eastAsia="仿宋_GB2312" w:cs="仿宋_GB2312"/>
                <w:sz w:val="24"/>
                <w:szCs w:val="24"/>
                <w:lang w:bidi="ar"/>
              </w:rPr>
              <w:t>倪奉尧</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ascii="仿宋_GB2312" w:eastAsia="仿宋_GB2312" w:cs="仿宋_GB2312"/>
                <w:sz w:val="24"/>
                <w:szCs w:val="24"/>
                <w:lang w:bidi="ar"/>
              </w:rPr>
              <w:t>山东东宏管业股份有限公司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姚日雾</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中级</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伍金奎</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eastAsia="仿宋_GB2312"/>
                <w:bCs/>
                <w:sz w:val="24"/>
                <w:szCs w:val="24"/>
              </w:rPr>
              <w:t>高级工程师，</w:t>
            </w:r>
            <w:r>
              <w:rPr>
                <w:rFonts w:hint="eastAsia" w:ascii="仿宋_GB2312" w:eastAsia="仿宋_GB2312" w:cs="仿宋_GB2312"/>
                <w:sz w:val="24"/>
                <w:szCs w:val="24"/>
                <w:lang w:bidi="ar"/>
              </w:rPr>
              <w:t>山东东宏管业股份有限公司.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浙江省特种设备科学研究院</w:t>
            </w:r>
          </w:p>
          <w:p>
            <w:pPr>
              <w:spacing w:line="440" w:lineRule="exact"/>
              <w:jc w:val="left"/>
              <w:rPr>
                <w:rFonts w:eastAsia="仿宋"/>
                <w:bCs/>
                <w:sz w:val="24"/>
                <w:szCs w:val="24"/>
              </w:rPr>
            </w:pPr>
            <w:r>
              <w:rPr>
                <w:rFonts w:eastAsia="仿宋_GB2312"/>
                <w:bCs/>
                <w:sz w:val="24"/>
                <w:szCs w:val="24"/>
              </w:rPr>
              <w:t>3.单位名称：</w:t>
            </w:r>
            <w:r>
              <w:rPr>
                <w:rFonts w:hint="eastAsia" w:ascii="仿宋_GB2312" w:eastAsia="仿宋_GB2312" w:cs="仿宋_GB2312"/>
                <w:sz w:val="24"/>
                <w:szCs w:val="24"/>
                <w:lang w:bidi="ar"/>
              </w:rPr>
              <w:t>山东东宏管业股份有限公司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pPr>
              <w:contextualSpacing/>
              <w:jc w:val="center"/>
              <w:rPr>
                <w:rStyle w:val="10"/>
                <w:b w:val="0"/>
                <w:color w:val="auto"/>
              </w:rPr>
            </w:pPr>
            <w:r>
              <w:rPr>
                <w:rStyle w:val="10"/>
                <w:rFonts w:hint="eastAsia"/>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pPr>
              <w:ind w:firstLine="488" w:firstLineChars="200"/>
              <w:rPr>
                <w:rFonts w:ascii="仿宋_GB2312" w:hAnsi="宋体" w:eastAsia="仿宋_GB2312"/>
                <w:bCs/>
                <w:spacing w:val="2"/>
                <w:sz w:val="24"/>
                <w:szCs w:val="22"/>
              </w:rPr>
            </w:pPr>
            <w:r>
              <w:rPr>
                <w:rFonts w:hint="eastAsia" w:ascii="仿宋_GB2312" w:hAnsi="宋体" w:eastAsia="仿宋_GB2312"/>
                <w:bCs/>
                <w:spacing w:val="2"/>
                <w:sz w:val="24"/>
                <w:szCs w:val="22"/>
              </w:rPr>
              <w:t>聚乙烯复合管道在煤盐采收、核电等关键领域应用需求迫切。该项目在国家自然科学基金、国家科技支撑计划项目等持续支持下，经过16年联合攻关，攻克了严苛工况用聚乙烯复合管道的失效预警、性能调控等关键难题，成果应用于中石油长庆油田、中核工程公司等国内龙头企业以及兖矿集团天池煤矿工程、巴基斯坦塔尔煤田、印尼OBI镍钴项目等国内外重大工程，大幅提升了聚乙烯复合管道在严苛工况下的安全保障能力，社会经济效益显著。</w:t>
            </w:r>
          </w:p>
          <w:p>
            <w:pPr>
              <w:ind w:firstLine="488" w:firstLineChars="200"/>
              <w:rPr>
                <w:rFonts w:ascii="仿宋_GB2312" w:hAnsi="宋体" w:eastAsia="仿宋_GB2312"/>
                <w:bCs/>
                <w:spacing w:val="2"/>
                <w:sz w:val="24"/>
                <w:szCs w:val="22"/>
              </w:rPr>
            </w:pPr>
            <w:r>
              <w:rPr>
                <w:rFonts w:hint="eastAsia" w:ascii="仿宋_GB2312" w:hAnsi="宋体" w:eastAsia="仿宋_GB2312"/>
                <w:bCs/>
                <w:spacing w:val="2"/>
                <w:sz w:val="24"/>
                <w:szCs w:val="22"/>
              </w:rPr>
              <w:t>项目主要创新点为：提出了基于电阻率变化预警管道失效的方法，发明了具有应变自感知功能的SCFPE管道，构建了管道运行工况自动监测系统，实现了管道变形、开裂、泄漏等失效的可靠监测；研制了易燃爆、高磨损等严苛工况用改性聚乙烯复合管道，开发了基于电热声多场实时感知和焊接温度与时间主动调控的复合管道智能焊接技术，提高了聚乙烯复合管道接头强度；发明了全自动扫查与自适应聚焦相结合的超声自检测技术与高精度的接头缺陷自动识别方法，开发了集成缺陷自检测与评价技术的智能超声检测系统，实现了超大厚壁聚乙烯管道接头缺陷的检测评价。</w:t>
            </w:r>
          </w:p>
          <w:p>
            <w:pPr>
              <w:ind w:firstLine="480" w:firstLineChars="200"/>
              <w:rPr>
                <w:rStyle w:val="10"/>
                <w:b w:val="0"/>
                <w:color w:val="auto"/>
              </w:rPr>
            </w:pPr>
          </w:p>
        </w:tc>
      </w:tr>
    </w:tbl>
    <w:p>
      <w:pPr>
        <w:adjustRightInd w:val="0"/>
        <w:snapToGrid w:val="0"/>
        <w:spacing w:line="560" w:lineRule="exac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黑体简体">
    <w:altName w:val="汉仪中黑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NTM4YzQ3NTliMDRmMjJlYTZmNzRhMjUzOTExODcifQ=="/>
  </w:docVars>
  <w:rsids>
    <w:rsidRoot w:val="007A378A"/>
    <w:rsid w:val="00096C5B"/>
    <w:rsid w:val="00133845"/>
    <w:rsid w:val="001669F7"/>
    <w:rsid w:val="002533D3"/>
    <w:rsid w:val="00285821"/>
    <w:rsid w:val="004D3794"/>
    <w:rsid w:val="005956FF"/>
    <w:rsid w:val="00653BB3"/>
    <w:rsid w:val="007A378A"/>
    <w:rsid w:val="00821DF8"/>
    <w:rsid w:val="008955E1"/>
    <w:rsid w:val="008B76F6"/>
    <w:rsid w:val="00A21C89"/>
    <w:rsid w:val="00A2366E"/>
    <w:rsid w:val="00B272D7"/>
    <w:rsid w:val="00C03F73"/>
    <w:rsid w:val="00C14F00"/>
    <w:rsid w:val="00CC64D3"/>
    <w:rsid w:val="00E144B6"/>
    <w:rsid w:val="00F7291E"/>
    <w:rsid w:val="146314E9"/>
    <w:rsid w:val="6DF7736E"/>
    <w:rsid w:val="7386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uiPriority w:val="99"/>
    <w:rPr>
      <w:kern w:val="2"/>
      <w:sz w:val="18"/>
      <w:szCs w:val="18"/>
    </w:rPr>
  </w:style>
  <w:style w:type="character" w:customStyle="1" w:styleId="13">
    <w:name w:val="页脚 字符"/>
    <w:basedOn w:val="7"/>
    <w:link w:val="4"/>
    <w:uiPriority w:val="99"/>
    <w:rPr>
      <w:kern w:val="2"/>
      <w:sz w:val="18"/>
      <w:szCs w:val="18"/>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297</Words>
  <Characters>1693</Characters>
  <Lines>14</Lines>
  <Paragraphs>3</Paragraphs>
  <TotalTime>7</TotalTime>
  <ScaleCrop>false</ScaleCrop>
  <LinksUpToDate>false</LinksUpToDate>
  <CharactersWithSpaces>1987</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2024-08-06T16:45:00Z</dcterms:created>
  <dc:creator>ZJU</dc:creator>
  <cp:lastModifiedBy>白炽</cp:lastModifiedBy>
  <dcterms:modified xsi:type="dcterms:W3CDTF">2024-08-12T16:19:44Z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9164074C817E8D74A0C5B9665FA7151E</vt:lpwstr>
  </property>
</Properties>
</file>