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6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6"/>
          <w:rFonts w:eastAsia="仿宋_GB2312"/>
          <w:b w:val="0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3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>
        <w:trPr>
          <w:trHeight w:val="647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Style w:val="6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6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牙科水路系统污染控制方法研究与评价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Style w:val="6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6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二等奖</w:t>
            </w:r>
          </w:p>
        </w:tc>
      </w:tr>
      <w:tr>
        <w:trPr>
          <w:trHeight w:val="723" w:hRule="atLeast"/>
        </w:trPr>
        <w:tc>
          <w:tcPr>
            <w:tcW w:w="226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>
            <w:pPr>
              <w:spacing w:line="440" w:lineRule="exact"/>
              <w:jc w:val="left"/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专利：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both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牙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菌化供给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系统，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ZL201210206771.7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俞雪芬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、谢志坚、张晶、戴莉，浙江大学；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both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牙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科综合治疗椅涡轮机可拆卸管路系统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ZL201420411001.0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杨晓峰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俞雪芬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、戴莉、柯可，浙江医学高等专科学校；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种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牙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水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路管道冲洗控制装置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，ZL201720749849.8，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俞雪芬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王晓燕、李聪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、方津慧、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祝陈平，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浙江大学；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基于AgNPs/PTFE复合材料的牙椅水路抗菌管路，ZL202220698867.9，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俞雪芬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洪飞若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陈飘飘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，浙江大学医学院附属口腔医院；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标准：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牙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科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水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路系统清洗消毒技术规范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 Regular" w:hAnsi="Times New Roman Regular" w:eastAsia="仿宋_GB2312" w:cs="Times New Roman Regular"/>
                <w:color w:val="384155"/>
                <w:kern w:val="0"/>
                <w:sz w:val="24"/>
                <w:szCs w:val="24"/>
                <w:lang w:val="en-US" w:eastAsia="zh-CN" w:bidi="ar"/>
              </w:rPr>
              <w:t>DB33/T 2307-2021</w:t>
            </w:r>
            <w:r>
              <w:rPr>
                <w:rFonts w:hint="eastAsia" w:ascii="Times New Roman Regular" w:hAnsi="Times New Roman Regular" w:eastAsia="仿宋_GB2312" w:cs="Times New Roman Regular"/>
                <w:color w:val="384155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szCs w:val="21"/>
                <w:lang w:eastAsia="zh-CN"/>
              </w:rPr>
              <w:t>傅柏平、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1"/>
                <w:lang w:eastAsia="zh-CN"/>
              </w:rPr>
              <w:t>俞雪芬</w:t>
            </w:r>
            <w:r>
              <w:rPr>
                <w:rFonts w:hint="eastAsia" w:eastAsia="仿宋_GB2312"/>
                <w:color w:val="auto"/>
                <w:sz w:val="24"/>
                <w:szCs w:val="21"/>
                <w:lang w:eastAsia="zh-CN"/>
              </w:rPr>
              <w:t>、陆烨、胡国庆、金慧、陆群、汪志强、吕华、王亚霞、王东、徐俊华、普睿、钱清、王慧敏，浙江省市场监督管理局；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口腔综合治疗台水路污染控制与管理指南， T/CHSA 023—2023，</w:t>
            </w:r>
            <w:r>
              <w:rPr>
                <w:rFonts w:hint="eastAsia" w:eastAsia="仿宋_GB2312"/>
                <w:color w:val="auto"/>
                <w:sz w:val="24"/>
                <w:szCs w:val="21"/>
                <w:lang w:eastAsia="zh-CN"/>
              </w:rPr>
              <w:t>凌均棨、章小缓、李秀娥、沈曙铭、苏静、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1"/>
                <w:lang w:eastAsia="zh-CN"/>
              </w:rPr>
              <w:t>俞雪芬，</w:t>
            </w:r>
            <w:r>
              <w:rPr>
                <w:rFonts w:hint="eastAsia" w:eastAsia="仿宋_GB2312"/>
                <w:b w:val="0"/>
                <w:bCs w:val="0"/>
                <w:color w:val="auto"/>
                <w:sz w:val="24"/>
                <w:szCs w:val="21"/>
                <w:lang w:eastAsia="zh-CN"/>
              </w:rPr>
              <w:t>中华口腔医学会</w:t>
            </w:r>
            <w:r>
              <w:rPr>
                <w:rFonts w:hint="eastAsia" w:eastAsia="仿宋_GB2312"/>
                <w:color w:val="auto"/>
                <w:sz w:val="24"/>
                <w:szCs w:val="21"/>
                <w:lang w:eastAsia="zh-CN"/>
              </w:rPr>
              <w:t>；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论文：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both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Bold" w:hAnsi="Times New Roman Bold" w:eastAsia="仿宋_GB2312" w:cs="Times New Roman Bold"/>
                <w:b/>
                <w:bCs w:val="0"/>
                <w:color w:val="auto"/>
                <w:sz w:val="24"/>
                <w:szCs w:val="24"/>
                <w:lang w:val="en-US" w:eastAsia="zh-CN"/>
              </w:rPr>
              <w:t>Piaopiao Chen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Jiang 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Zeng, </w:t>
            </w:r>
            <w:r>
              <w:rPr>
                <w:rFonts w:hint="default" w:ascii="Times New Roman Bold" w:hAnsi="Times New Roman Bold" w:eastAsia="仿宋_GB2312" w:cs="Times New Roman Bold"/>
                <w:b/>
                <w:bCs w:val="0"/>
                <w:color w:val="auto"/>
                <w:sz w:val="24"/>
                <w:szCs w:val="24"/>
                <w:lang w:val="en-US" w:eastAsia="zh-CN"/>
              </w:rPr>
              <w:t>Feiruo Hong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 Bold" w:hAnsi="Times New Roman Bold" w:eastAsia="仿宋_GB2312" w:cs="Times New Roman Bold"/>
                <w:b/>
                <w:bCs w:val="0"/>
                <w:color w:val="auto"/>
                <w:sz w:val="24"/>
                <w:szCs w:val="24"/>
                <w:lang w:val="en-US" w:eastAsia="zh-CN"/>
              </w:rPr>
              <w:t>Cong Li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Huimin 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Wang, </w:t>
            </w:r>
            <w:r>
              <w:rPr>
                <w:rFonts w:hint="default" w:ascii="Times New Roman Bold" w:hAnsi="Times New Roman Bold" w:eastAsia="仿宋_GB2312" w:cs="Times New Roman Bold"/>
                <w:b/>
                <w:bCs w:val="0"/>
                <w:color w:val="auto"/>
                <w:sz w:val="24"/>
                <w:szCs w:val="24"/>
                <w:lang w:val="en-US" w:eastAsia="zh-CN"/>
              </w:rPr>
              <w:t>Xuefen Yu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The importance of biofilm contamination control for dental unit waterlines: a multicenter assessment of the microbiota diversity of biofilm in dental unit waterlines. Journal of oral microbiology. 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both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Bold" w:hAnsi="Times New Roman Bold" w:eastAsia="仿宋_GB2312" w:cs="Times New Roman Bold"/>
                <w:b/>
                <w:bCs w:val="0"/>
                <w:color w:val="auto"/>
                <w:sz w:val="24"/>
                <w:szCs w:val="24"/>
                <w:lang w:val="en-US" w:eastAsia="zh-CN"/>
              </w:rPr>
              <w:t>Chenping Zhu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 Bold" w:hAnsi="Times New Roman Bold" w:eastAsia="仿宋_GB2312" w:cs="Times New Roman Bold"/>
                <w:b/>
                <w:bCs w:val="0"/>
                <w:color w:val="auto"/>
                <w:sz w:val="24"/>
                <w:szCs w:val="24"/>
                <w:lang w:val="en-US" w:eastAsia="zh-CN"/>
              </w:rPr>
              <w:t>Feiruo Hong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 Bold" w:hAnsi="Times New Roman Bold" w:eastAsia="仿宋_GB2312" w:cs="Times New Roman Bold"/>
                <w:b/>
                <w:bCs w:val="0"/>
                <w:color w:val="auto"/>
                <w:sz w:val="24"/>
                <w:szCs w:val="24"/>
                <w:lang w:val="en-US" w:eastAsia="zh-CN"/>
              </w:rPr>
              <w:t>Xuefen Yu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, Anti biofilm effect of low concentration chlorine containing disinfectant assisted by multi enzyme detergent in dental unit waterlines. The new microbiologica.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both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Bold" w:hAnsi="Times New Roman Bold" w:eastAsia="仿宋_GB2312" w:cs="Times New Roman Bold"/>
                <w:b/>
                <w:bCs w:val="0"/>
                <w:color w:val="auto"/>
                <w:sz w:val="24"/>
                <w:szCs w:val="24"/>
                <w:lang w:val="en-US" w:eastAsia="zh-CN"/>
              </w:rPr>
              <w:t>Feiruo Hong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 Bold" w:hAnsi="Times New Roman Bold" w:eastAsia="仿宋_GB2312" w:cs="Times New Roman Bold"/>
                <w:b/>
                <w:bCs w:val="0"/>
                <w:color w:val="auto"/>
                <w:sz w:val="24"/>
                <w:szCs w:val="24"/>
                <w:lang w:val="en-US" w:eastAsia="zh-CN"/>
              </w:rPr>
              <w:t>Piaopiao Chen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 Bold" w:hAnsi="Times New Roman Bold" w:eastAsia="仿宋_GB2312" w:cs="Times New Roman Bold"/>
                <w:b/>
                <w:bCs w:val="0"/>
                <w:color w:val="auto"/>
                <w:sz w:val="24"/>
                <w:szCs w:val="24"/>
                <w:lang w:val="en-US" w:eastAsia="zh-CN"/>
              </w:rPr>
              <w:t>Xuefen Yu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, Qianming Chen, The Application of Silver to Decontaminate Dental Unit Waterlines-a Systematic Review. Biological trace element research.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jc w:val="both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俞雪芬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李聪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王欣芝,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 胡国庆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.五倍子水提取物清除牙科综合治疗椅水路生物膜的效果.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中华护理杂志.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45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俞雪芬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 排名1 正高级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 xml:space="preserve"> 浙江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学医学院附属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腔医院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洪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飞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 xml:space="preserve">若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排名2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 xml:space="preserve"> 中级 浙江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学医学院附属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腔医院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 xml:space="preserve">王晓燕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排名3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副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 xml:space="preserve"> 浙江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学医学院附属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腔医院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 xml:space="preserve">陈飘飘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 xml:space="preserve">排名4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 xml:space="preserve">初级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浙江省人民医院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李  聪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排名5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 xml:space="preserve"> 中级 浙江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学医学院附属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腔医院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 xml:space="preserve">祝陈平 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排名6 初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级 浙江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中医药大学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440" w:lineRule="exac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杨晓峰 排名7 正高级 浙大城市学院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3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eastAsia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Cs/>
                <w:color w:val="auto"/>
                <w:sz w:val="24"/>
                <w:szCs w:val="24"/>
                <w:lang w:val="en-US" w:eastAsia="zh-CN"/>
              </w:rPr>
              <w:t>浙江大学医学院附属口腔医院</w:t>
            </w:r>
          </w:p>
        </w:tc>
      </w:tr>
      <w:tr>
        <w:trPr>
          <w:trHeight w:val="692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>
            <w:pPr>
              <w:contextualSpacing/>
              <w:jc w:val="left"/>
              <w:rPr>
                <w:rStyle w:val="6"/>
                <w:rFonts w:hint="eastAsia" w:eastAsia="宋体"/>
                <w:b w:val="0"/>
                <w:color w:val="auto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浙江大学</w:t>
            </w:r>
          </w:p>
        </w:tc>
      </w:tr>
      <w:tr>
        <w:trPr>
          <w:trHeight w:val="3683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牙椅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水路系统内部存在的微生物污染问题引起全球范围内的关注。由于缺乏针对性标准，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口腔诊疗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用水管理面临巨大挑战。本项目针对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口腔诊疗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用水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存在的关键技术瓶颈，从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水源无菌化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、水路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管理规范化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和新型管道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研发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方面开展十余年的关键技术攻关。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针对口腔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诊疗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水源无菌需求，开发具有高速性能的牙科无菌化供水系统，保证涡轮机高效转速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同时实现牙科治疗供水的无菌化。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针对牙椅水路管理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统一规范缺乏问题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，制定清洗消毒规范指南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。率先提出酶液辅助低浓度含氯消毒液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消毒方法，为去除水路生物膜提供长效性解决方案。根据该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制定的地方性标准为牙椅水路管理建立标准化、程序化的操作规范，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为全国提供浙江经验。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80" w:firstLineChars="200"/>
              <w:rPr>
                <w:rStyle w:val="6"/>
                <w:rFonts w:hint="eastAsia" w:ascii="仿宋_GB2312" w:hAnsi="仿宋_GB2312" w:eastAsia="仿宋_GB2312" w:cs="仿宋_GB2312"/>
                <w:b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针对牙椅水路生物膜污染问题，深入探究菌落构成，从源头解决微生物附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着。绘制多中心水路生物膜微生物图谱，强调了控制生物膜的重要性。通过水路新型抗菌材料，从源头解决管道微生物附着问题。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left="0" w:leftChars="0" w:firstLine="480" w:firstLineChars="200"/>
              <w:rPr>
                <w:rStyle w:val="6"/>
                <w:rFonts w:hint="eastAsia" w:ascii="仿宋_GB2312" w:hAnsi="仿宋_GB2312" w:eastAsia="仿宋_GB2312" w:cs="仿宋_GB2312"/>
                <w:b w:val="0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针对牙椅设备消毒复杂问题，开发优化设备维护与清洁技术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流程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的简化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提高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了消毒人员的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工作效率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水路管道冲洗控制装置实现对气动阀开启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关闭的精确控制，有效提高医护人员管道冲洗的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依从性和正确性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="0" w:leftChars="0" w:firstLine="420" w:firstLineChars="175"/>
              <w:rPr>
                <w:rStyle w:val="6"/>
                <w:rFonts w:hint="eastAsia" w:ascii="仿宋_GB2312" w:hAnsi="仿宋_GB2312" w:eastAsia="仿宋_GB2312" w:cs="仿宋_GB2312"/>
                <w:b w:val="0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本项目相关成果已获4项专利，其中1项发明专利实现转化，在多家医疗机构推广应用。制定地方性标准和中华口腔医学会团体标准，举办学术交流10余次，培训学员达3000余人，成果在全省96家医疗机构应用。发表SCI期刊4篇，中文文章5篇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color w:val="auto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="0" w:leftChars="0" w:firstLine="420" w:firstLineChars="175"/>
              <w:rPr>
                <w:rStyle w:val="6"/>
                <w:b w:val="0"/>
                <w:color w:va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color w:val="auto"/>
              </w:rPr>
              <w:t>推荐提名该成果申报202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color w:val="auto"/>
              </w:rPr>
              <w:t>年度浙江省科学技术进步奖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二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color w:val="auto"/>
              </w:rPr>
              <w:t>等奖。</w:t>
            </w:r>
          </w:p>
        </w:tc>
      </w:tr>
    </w:tbl>
    <w:p/>
    <w:p/>
    <w:p/>
    <w:p/>
    <w:p>
      <w:pPr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br w:type="page"/>
      </w:r>
    </w:p>
    <w:p>
      <w:pPr>
        <w:pStyle w:val="2"/>
        <w:jc w:val="center"/>
        <w:rPr>
          <w:rFonts w:eastAsia="方正黑体简体"/>
          <w:sz w:val="32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主要知识产权和标准规范目录</w:t>
      </w:r>
    </w:p>
    <w:tbl>
      <w:tblPr>
        <w:tblStyle w:val="3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77"/>
        <w:gridCol w:w="992"/>
        <w:gridCol w:w="1655"/>
        <w:gridCol w:w="1213"/>
        <w:gridCol w:w="1213"/>
        <w:gridCol w:w="1213"/>
        <w:gridCol w:w="2215"/>
        <w:gridCol w:w="2215"/>
      </w:tblGrid>
      <w:tr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牙科无菌化供给系统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ZL 2012 1 0206771.7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2015年4月15日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证书号第1635611号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俞雪芬、谢志坚、张晶、戴莉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专利权转移</w:t>
            </w:r>
          </w:p>
        </w:tc>
      </w:tr>
      <w:tr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牙科综合治疗椅涡轮机可拆卸管路系统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ZL 2014 2 0411001.0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2014年12月31日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证书号第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4027738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浙江医学高等专科学校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杨晓峰、俞雪芬、戴莉、柯可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有效</w:t>
            </w:r>
          </w:p>
        </w:tc>
      </w:tr>
      <w:tr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一种牙科水路管道冲洗控制装置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ZL 2017 2 0749849.8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2018年11月20日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证书号第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8103234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浙江大学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俞雪芬、王晓燕、李聪、方津慧、祝陈平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基于AgNPs/PTFE复合材料的牙椅水路抗菌管路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ZL 2022 2 0698867.9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2022年11月04日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证书号第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17714580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浙江大学医学院附属口腔医院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俞雪芬、洪飞若、陈飘飘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有效</w:t>
            </w:r>
          </w:p>
        </w:tc>
      </w:tr>
      <w:tr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牙科水路系统清洗消毒技术规范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84155"/>
                <w:kern w:val="0"/>
                <w:sz w:val="24"/>
                <w:szCs w:val="24"/>
                <w:lang w:val="en-US" w:eastAsia="zh-CN" w:bidi="ar"/>
              </w:rPr>
              <w:t>DB33/T 2307-2021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2021年1月29日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浙江省市场监督管理局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浙江大学医学院附属口腔医院、浙江省疾病预防控制中心、杭州市疾病预防控制中心、杭州市卫生健康综合行政执法队、浙江大学医学院附属儿童医院、浙江大学医学院附属第一医院、 浙江省人民医院、温州医科大学附属口腔医院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440" w:lineRule="exact"/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傅柏平、俞雪芬、陆烨、胡国庆、金慧、陆群、汪志强、吕华、王亚霞、王东、徐俊华、普睿、钱清、王慧敏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有效</w:t>
            </w:r>
          </w:p>
        </w:tc>
      </w:tr>
      <w:tr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口腔综合治疗台水路污染控制与管理指南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T/CHSA 023—2023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2023年5月19日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中华口腔医学会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中山大学光华口腔医学院·附属口腔医院、北京大学口腔医院、首都医科大学附属北京口腔医院、浙江大学医学院附属口腔医院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凌均棨、章小缓、李秀娥、沈曙铭、苏静、俞雪芬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有效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代表性论文专著目录</w:t>
      </w:r>
    </w:p>
    <w:tbl>
      <w:tblPr>
        <w:tblStyle w:val="3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571"/>
        <w:gridCol w:w="963"/>
        <w:gridCol w:w="993"/>
        <w:gridCol w:w="850"/>
      </w:tblGrid>
      <w:tr>
        <w:trPr>
          <w:trHeight w:val="1278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35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>
        <w:trPr>
          <w:trHeight w:val="2384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24"/>
                <w:szCs w:val="24"/>
                <w:lang w:val="en-US" w:eastAsia="zh-CN"/>
              </w:rPr>
              <w:t>Piaopiao Chen, Jiang Zeng, Feiruo Hong, Cong Li, Huimin Wang, Xuefen Yu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color w:val="auto"/>
                <w:sz w:val="24"/>
                <w:szCs w:val="24"/>
                <w:lang w:val="en-US" w:eastAsia="zh-CN"/>
              </w:rPr>
              <w:t>#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The importance of biofilm contamination control for dental unit waterlines: a multicenter assessment of the microbiota diversity of biofilm in dental unit waterlines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Journal of oral microbiology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2023, 16(1), 2299496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2023.12.30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</w:t>
            </w:r>
          </w:p>
        </w:tc>
      </w:tr>
      <w:tr>
        <w:trPr>
          <w:trHeight w:val="1561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/>
                <w:color w:val="auto"/>
                <w:sz w:val="24"/>
                <w:szCs w:val="24"/>
                <w:lang w:val="en-US" w:eastAsia="zh-CN"/>
              </w:rPr>
              <w:t>Feiruo Hong, Piaopiao Chen, Xuefen Yu</w:t>
            </w:r>
            <w:r>
              <w:rPr>
                <w:rFonts w:hint="eastAsia" w:ascii="Times New Roman Regular" w:hAnsi="Times New Roman Regular" w:eastAsia="仿宋_GB2312" w:cs="Times New Roman Regular"/>
                <w:b w:val="0"/>
                <w:bCs/>
                <w:color w:val="auto"/>
                <w:sz w:val="24"/>
                <w:szCs w:val="24"/>
                <w:lang w:val="en-US" w:eastAsia="zh-CN"/>
              </w:rPr>
              <w:t>#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The Application of Silver to Decontaminate Dental Unit Waterlines-a Systematic Review</w:t>
            </w:r>
            <w:r>
              <w:rPr>
                <w:rFonts w:hint="eastAsia"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hint="eastAsia"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Biological trace element research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200(12), 4988</w:t>
            </w:r>
            <w:r>
              <w:rPr>
                <w:rFonts w:hint="eastAsia"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–5002.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2022.12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rPr>
          <w:trHeight w:val="207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Chenping Zhu, Feiruo Hong, Xuefen Yu</w:t>
            </w:r>
            <w:r>
              <w:rPr>
                <w:rFonts w:hint="eastAsia" w:eastAsia="仿宋_GB2312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#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Anti biofilm effect of low concentration chlorine containing disinfectant assisted by multi enzyme detergent in dental unit waterlines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The new microbiologica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2021,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44(2), 117–124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2021.4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</w:tr>
      <w:tr>
        <w:trPr>
          <w:trHeight w:val="183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俞雪芬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李聪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王欣芝，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胡国庆</w:t>
            </w:r>
          </w:p>
        </w:tc>
        <w:tc>
          <w:tcPr>
            <w:tcW w:w="3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  <w:t>五倍子水提取物清除牙科综合治疗椅水路生物膜的效果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/中华护理杂志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2012,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47(06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),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545-547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2012.6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/>
              </w:rPr>
              <w:t>15</w:t>
            </w:r>
          </w:p>
        </w:tc>
      </w:tr>
      <w:tr>
        <w:trPr>
          <w:trHeight w:val="692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/>
              </w:rPr>
              <w:t>24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简体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EB7F8"/>
    <w:multiLevelType w:val="singleLevel"/>
    <w:tmpl w:val="F9FEB7F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DF8C8A6"/>
    <w:multiLevelType w:val="singleLevel"/>
    <w:tmpl w:val="5DF8C8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ZWI1NjkzZWQ0ZWQyYWZmM2YwYjU4ODIxMDJjYjkifQ=="/>
  </w:docVars>
  <w:rsids>
    <w:rsidRoot w:val="7B6996C4"/>
    <w:rsid w:val="53BE1535"/>
    <w:rsid w:val="5DFA23AC"/>
    <w:rsid w:val="6BFE9667"/>
    <w:rsid w:val="6FEF480B"/>
    <w:rsid w:val="7B6996C4"/>
    <w:rsid w:val="7FFD735E"/>
    <w:rsid w:val="AE7DE488"/>
    <w:rsid w:val="B9E186C3"/>
    <w:rsid w:val="BB9F1062"/>
    <w:rsid w:val="CFFB93C1"/>
    <w:rsid w:val="D5DCA2E6"/>
    <w:rsid w:val="DFAB7576"/>
    <w:rsid w:val="DFFAE180"/>
    <w:rsid w:val="F6FABA3B"/>
    <w:rsid w:val="FBBF8682"/>
    <w:rsid w:val="FBFEDAA8"/>
    <w:rsid w:val="FCFF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widowControl/>
      <w:jc w:val="left"/>
    </w:pPr>
    <w:rPr>
      <w:rFonts w:ascii="Times New Roman" w:hAnsi="Times New Roman" w:eastAsia="宋体" w:cs="Times New Roman"/>
      <w:szCs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2024-08-09T16:27:00Z</dcterms:created>
  <dc:creator>洪飞若</dc:creator>
  <cp:lastModifiedBy>白炽</cp:lastModifiedBy>
  <dcterms:modified xsi:type="dcterms:W3CDTF">2024-08-12T18:20:21Z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9F573B14B536EB45E5E1B96600A12CF5</vt:lpwstr>
  </property>
</Properties>
</file>