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提名奖项：（填自然科学奖、技术发明奖、科学技术进步奖）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r>
              <w:rPr>
                <w:rStyle w:val="10"/>
                <w:rFonts w:hint="eastAsia" w:eastAsia="仿宋_GB2312"/>
                <w:b w:val="0"/>
                <w:color w:val="auto"/>
                <w:sz w:val="28"/>
              </w:rPr>
              <w:t>蚕丝蛋白医用生物材料的设计与应用基础</w:t>
            </w:r>
            <w:bookmarkStart w:id="29" w:name="_GoBack"/>
            <w:bookmarkEnd w:id="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Style w:val="10"/>
                <w:rFonts w:hint="eastAsia" w:eastAsia="仿宋_GB2312"/>
                <w:b w:val="0"/>
                <w:color w:val="auto"/>
                <w:sz w:val="28"/>
              </w:rPr>
              <w:t>自然科学奖一等奖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left"/>
              <w:rPr>
                <w:rFonts w:eastAsia="仿宋_GB2312"/>
                <w:bCs/>
                <w:sz w:val="24"/>
                <w:szCs w:val="24"/>
              </w:rPr>
            </w:pPr>
            <w:r>
              <w:rPr>
                <w:rFonts w:hint="eastAsia" w:eastAsia="仿宋_GB2312"/>
                <w:bCs/>
                <w:sz w:val="24"/>
                <w:szCs w:val="24"/>
              </w:rPr>
              <w:t>1、代表性论文（见目录六）</w:t>
            </w:r>
          </w:p>
          <w:p>
            <w:pPr>
              <w:spacing w:line="440" w:lineRule="exact"/>
              <w:jc w:val="left"/>
              <w:rPr>
                <w:rFonts w:eastAsia="方正黑体简体"/>
                <w:sz w:val="32"/>
                <w:szCs w:val="22"/>
              </w:rPr>
            </w:pPr>
            <w:r>
              <w:rPr>
                <w:rFonts w:hint="eastAsia" w:eastAsia="仿宋_GB2312"/>
                <w:bCs/>
                <w:sz w:val="24"/>
                <w:szCs w:val="24"/>
              </w:rPr>
              <w:t>2、主要知识产权（见目录八）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杨明英</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帅亚俊</w:t>
            </w:r>
            <w:r>
              <w:rPr>
                <w:rFonts w:eastAsia="仿宋_GB2312"/>
                <w:bCs/>
                <w:sz w:val="24"/>
                <w:szCs w:val="24"/>
              </w:rPr>
              <w:t>，排名2，</w:t>
            </w:r>
            <w:r>
              <w:rPr>
                <w:rFonts w:hint="eastAsia" w:eastAsia="仿宋_GB2312"/>
                <w:bCs/>
                <w:sz w:val="24"/>
                <w:szCs w:val="24"/>
              </w:rPr>
              <w:t>副研究员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 xml:space="preserve">王 </w:t>
            </w:r>
            <w:r>
              <w:rPr>
                <w:rFonts w:eastAsia="仿宋_GB2312"/>
                <w:bCs/>
                <w:sz w:val="24"/>
                <w:szCs w:val="24"/>
              </w:rPr>
              <w:t xml:space="preserve"> </w:t>
            </w:r>
            <w:r>
              <w:rPr>
                <w:rFonts w:hint="eastAsia" w:eastAsia="仿宋_GB2312"/>
                <w:bCs/>
                <w:sz w:val="24"/>
                <w:szCs w:val="24"/>
              </w:rPr>
              <w:t>捷</w:t>
            </w:r>
            <w:r>
              <w:rPr>
                <w:rFonts w:eastAsia="仿宋_GB2312"/>
                <w:bCs/>
                <w:sz w:val="24"/>
                <w:szCs w:val="24"/>
              </w:rPr>
              <w:t>，排名3，</w:t>
            </w:r>
            <w:r>
              <w:rPr>
                <w:rFonts w:hint="eastAsia" w:eastAsia="仿宋_GB2312"/>
                <w:bCs/>
                <w:sz w:val="24"/>
                <w:szCs w:val="24"/>
              </w:rPr>
              <w:t>副研究员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 xml:space="preserve">万 </w:t>
            </w:r>
            <w:r>
              <w:rPr>
                <w:rFonts w:eastAsia="仿宋_GB2312"/>
                <w:bCs/>
                <w:sz w:val="24"/>
                <w:szCs w:val="24"/>
              </w:rPr>
              <w:t xml:space="preserve"> </w:t>
            </w:r>
            <w:r>
              <w:rPr>
                <w:rFonts w:hint="eastAsia" w:eastAsia="仿宋_GB2312"/>
                <w:bCs/>
                <w:sz w:val="24"/>
                <w:szCs w:val="24"/>
              </w:rPr>
              <w:t>泉，排名4，副研究员，浙江大学；</w:t>
            </w:r>
          </w:p>
          <w:p>
            <w:pPr>
              <w:spacing w:line="440" w:lineRule="exact"/>
              <w:rPr>
                <w:rFonts w:eastAsia="仿宋_GB2312"/>
                <w:bCs/>
                <w:sz w:val="24"/>
                <w:szCs w:val="24"/>
              </w:rPr>
            </w:pPr>
            <w:r>
              <w:rPr>
                <w:rFonts w:hint="eastAsia" w:eastAsia="仿宋_GB2312"/>
                <w:bCs/>
                <w:sz w:val="24"/>
                <w:szCs w:val="24"/>
              </w:rPr>
              <w:t>毛传斌，排名5，教授，香港中文大学。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
                <w:bCs/>
                <w:sz w:val="24"/>
                <w:szCs w:val="24"/>
              </w:rPr>
            </w:pPr>
            <w:r>
              <w:rPr>
                <w:rFonts w:eastAsia="仿宋_GB2312"/>
                <w:bCs/>
                <w:sz w:val="24"/>
                <w:szCs w:val="24"/>
              </w:rPr>
              <w:t xml:space="preserve">1. </w:t>
            </w: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contextualSpacing/>
              <w:jc w:val="center"/>
              <w:rPr>
                <w:rStyle w:val="10"/>
                <w:b w:val="0"/>
                <w:color w:val="auto"/>
              </w:rPr>
            </w:pPr>
            <w:r>
              <w:rPr>
                <w:rStyle w:val="10"/>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spacing w:line="440" w:lineRule="exact"/>
              <w:rPr>
                <w:rFonts w:eastAsia="仿宋_GB2312"/>
              </w:rPr>
            </w:pPr>
            <w:r>
              <w:rPr>
                <w:rStyle w:val="10"/>
                <w:rFonts w:hint="eastAsia"/>
                <w:b w:val="0"/>
                <w:color w:val="auto"/>
              </w:rPr>
              <w:t xml:space="preserve"> </w:t>
            </w:r>
            <w:r>
              <w:rPr>
                <w:rStyle w:val="10"/>
                <w:b w:val="0"/>
                <w:color w:val="auto"/>
              </w:rPr>
              <w:t xml:space="preserve">   </w:t>
            </w:r>
            <w:r>
              <w:rPr>
                <w:rFonts w:hint="eastAsia" w:eastAsia="仿宋_GB2312"/>
              </w:rPr>
              <w:t>在蚕丝业亟待从传统纺织行业向新兴产业转型升级、提升蚕丝经济价值的大背景下，本项目深入聚焦蚕丝蛋白生物材料的研发与应用，系统探究了蚕丝蛋白结构与性能机制、生物材料拓扑结构与功能特性相互关系、生物矿化机理及其在生物医学领域的应用，取得了一系列创新研究成果，为蚕丝蛋白生物材料的多元开发和高值化应用打下了良好的基础，具有重要的理论价值实践意义。</w:t>
            </w:r>
          </w:p>
          <w:p>
            <w:pPr>
              <w:spacing w:line="440" w:lineRule="exact"/>
              <w:rPr>
                <w:rFonts w:eastAsia="仿宋_GB2312"/>
              </w:rPr>
            </w:pPr>
            <w:r>
              <w:rPr>
                <w:rFonts w:hint="eastAsia" w:eastAsia="仿宋_GB2312"/>
              </w:rPr>
              <w:t xml:space="preserve"> </w:t>
            </w:r>
            <w:r>
              <w:rPr>
                <w:rFonts w:eastAsia="仿宋_GB2312"/>
              </w:rPr>
              <w:t xml:space="preserve">   </w:t>
            </w:r>
            <w:r>
              <w:rPr>
                <w:rFonts w:hint="eastAsia" w:eastAsia="仿宋_GB2312"/>
              </w:rPr>
              <w:t>项目对蚕丝蛋白的结构和形成机制进行了详细解析，通过再现和分析蚕纺丝过程，研究蚕丝蛋白结构演变对性能的影响，为制备高性能蚕丝蛋白生物材料提供理论参考：探明了蚕丝蛋白生物材料微/纳拓扑结构对细胞行为调控及其成骨修复能力的影响，据此发明了冰晶模板法简易构筑取向性的“脊状”纳米拓扑结构，从而诱导成骨细胞的分化；探明了蚕丝蛋白自组装特性，据此提出以蚕丝蛋白为生物模板，构筑蚕丝蛋白/纳米材料自组装体，从而用于作药物载体；同时，项目还揭示了蚕丝蛋白分子调控生物矿化机制及其调控间充质干细胞向成骨细胞分化的功能；构建蚕丝蛋白膜类敷料，有效加速了受损皮肤的愈合和毛发再生；并构建蚕丝蛋白/金纳米颗粒复合纤维，提高了金纳米材料光热转换效率，有效抑制肿瘤生长。</w:t>
            </w:r>
          </w:p>
          <w:p>
            <w:pPr>
              <w:spacing w:line="440" w:lineRule="exact"/>
              <w:rPr>
                <w:rFonts w:eastAsia="仿宋_GB2312"/>
              </w:rPr>
            </w:pPr>
            <w:r>
              <w:rPr>
                <w:rFonts w:hint="eastAsia" w:eastAsia="仿宋_GB2312"/>
              </w:rPr>
              <w:t xml:space="preserve"> </w:t>
            </w:r>
            <w:r>
              <w:rPr>
                <w:rFonts w:eastAsia="仿宋_GB2312"/>
              </w:rPr>
              <w:t xml:space="preserve">   </w:t>
            </w:r>
            <w:r>
              <w:rPr>
                <w:rFonts w:hint="eastAsia" w:eastAsia="仿宋_GB2312"/>
              </w:rPr>
              <w:t>本项目在原创性和系统性方面表现出色，其中</w:t>
            </w:r>
            <w:r>
              <w:rPr>
                <w:rFonts w:eastAsia="仿宋_GB2312"/>
              </w:rPr>
              <w:t>8</w:t>
            </w:r>
            <w:r>
              <w:rPr>
                <w:rFonts w:hint="eastAsia" w:eastAsia="仿宋_GB2312"/>
              </w:rPr>
              <w:t>篇代表性论文被他引</w:t>
            </w:r>
            <w:r>
              <w:rPr>
                <w:rFonts w:eastAsia="仿宋_GB2312"/>
              </w:rPr>
              <w:t>400</w:t>
            </w:r>
            <w:r>
              <w:rPr>
                <w:rFonts w:hint="eastAsia" w:eastAsia="仿宋_GB2312"/>
              </w:rPr>
              <w:t>余次，授权中国发明专利</w:t>
            </w:r>
            <w:r>
              <w:rPr>
                <w:rFonts w:eastAsia="仿宋_GB2312"/>
              </w:rPr>
              <w:t>5</w:t>
            </w:r>
            <w:r>
              <w:rPr>
                <w:rFonts w:hint="eastAsia" w:eastAsia="仿宋_GB2312"/>
              </w:rPr>
              <w:t>项。提供的</w:t>
            </w:r>
            <w:r>
              <w:rPr>
                <w:rFonts w:eastAsia="仿宋_GB2312"/>
              </w:rPr>
              <w:t>8</w:t>
            </w:r>
            <w:r>
              <w:rPr>
                <w:rFonts w:hint="eastAsia" w:eastAsia="仿宋_GB2312"/>
              </w:rPr>
              <w:t>篇代表性论文和</w:t>
            </w:r>
            <w:r>
              <w:rPr>
                <w:rFonts w:eastAsia="仿宋_GB2312"/>
              </w:rPr>
              <w:t>8</w:t>
            </w:r>
            <w:r>
              <w:rPr>
                <w:rFonts w:hint="eastAsia" w:eastAsia="仿宋_GB2312"/>
              </w:rPr>
              <w:t>篇代表性引文为本项目的主要科学发现提供了很好的佐证。</w:t>
            </w:r>
          </w:p>
          <w:p>
            <w:pPr>
              <w:spacing w:line="440" w:lineRule="exact"/>
              <w:rPr>
                <w:rFonts w:eastAsia="仿宋_GB2312"/>
              </w:rPr>
            </w:pPr>
          </w:p>
          <w:p>
            <w:pPr>
              <w:spacing w:line="440" w:lineRule="exact"/>
              <w:rPr>
                <w:rStyle w:val="10"/>
                <w:b w:val="0"/>
                <w:color w:val="auto"/>
              </w:rPr>
            </w:pPr>
            <w:r>
              <w:rPr>
                <w:rFonts w:hint="eastAsia" w:eastAsia="仿宋_GB2312"/>
              </w:rPr>
              <w:t xml:space="preserve"> </w:t>
            </w:r>
            <w:r>
              <w:rPr>
                <w:rFonts w:eastAsia="仿宋_GB2312"/>
              </w:rPr>
              <w:t xml:space="preserve">   </w:t>
            </w:r>
            <w:r>
              <w:rPr>
                <w:rFonts w:hint="eastAsia" w:eastAsia="仿宋_GB2312"/>
              </w:rPr>
              <w:t>项目附件材料充分规范，申报材料情况属实，公示无异议，提名该成果为省自然科学奖一等奖。</w:t>
            </w:r>
          </w:p>
        </w:tc>
      </w:tr>
    </w:tbl>
    <w:p/>
    <w:p>
      <w:pPr>
        <w:jc w:val="center"/>
        <w:rPr>
          <w:rFonts w:eastAsia="方正黑体简体"/>
          <w:sz w:val="32"/>
          <w:szCs w:val="22"/>
        </w:rPr>
      </w:pPr>
      <w:r>
        <w:br w:type="page"/>
      </w:r>
      <w:r>
        <w:rPr>
          <w:rFonts w:eastAsia="方正黑体简体"/>
          <w:sz w:val="32"/>
          <w:szCs w:val="22"/>
        </w:rPr>
        <w:t>六、代表性论文专著目录（不超过8篇）</w:t>
      </w:r>
    </w:p>
    <w:tbl>
      <w:tblPr>
        <w:tblStyle w:val="6"/>
        <w:tblW w:w="100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94"/>
        <w:gridCol w:w="1048"/>
        <w:gridCol w:w="927"/>
        <w:gridCol w:w="1275"/>
        <w:gridCol w:w="993"/>
        <w:gridCol w:w="1559"/>
        <w:gridCol w:w="850"/>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567"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199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04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92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27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99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15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8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85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78"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1994"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0" w:name="OLE_LINK206"/>
            <w:bookmarkStart w:id="1" w:name="OLE_LINK205"/>
            <w:r>
              <w:rPr>
                <w:sz w:val="18"/>
                <w:szCs w:val="18"/>
              </w:rPr>
              <w:t>Mesoscale structure development reveals when a silkworm silk is spun</w:t>
            </w:r>
            <w:r>
              <w:rPr>
                <w:rFonts w:hint="eastAsia"/>
                <w:sz w:val="18"/>
                <w:szCs w:val="18"/>
              </w:rPr>
              <w:t>/</w:t>
            </w:r>
            <w:r>
              <w:rPr>
                <w:i/>
                <w:iCs/>
                <w:sz w:val="18"/>
                <w:szCs w:val="18"/>
              </w:rPr>
              <w:t>Nature Communications</w:t>
            </w:r>
            <w:bookmarkEnd w:id="0"/>
            <w:bookmarkEnd w:id="1"/>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2021, 12, 3711</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021.10.13</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Wan Quan</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 xml:space="preserve">Wan Quan, Yang Mei, Hu Jiaqi, Lei Fang, Shuai Yajun, </w:t>
            </w:r>
            <w:bookmarkStart w:id="2" w:name="OLE_LINK211"/>
            <w:bookmarkStart w:id="3" w:name="OLE_LINK212"/>
            <w:r>
              <w:rPr>
                <w:sz w:val="18"/>
                <w:szCs w:val="18"/>
              </w:rPr>
              <w:t xml:space="preserve">Wang Jie, </w:t>
            </w:r>
            <w:bookmarkEnd w:id="2"/>
            <w:bookmarkEnd w:id="3"/>
            <w:r>
              <w:rPr>
                <w:sz w:val="18"/>
                <w:szCs w:val="18"/>
              </w:rPr>
              <w:t>Holland Chris, Rodenburg Cornelia, Yang Mingying</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19</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41"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ascii="Calibri" w:hAnsi="Calibri" w:eastAsia="仿宋_GB2312" w:cs="Calibri"/>
                <w:sz w:val="24"/>
                <w:szCs w:val="24"/>
              </w:rPr>
            </w:pPr>
            <w:r>
              <w:rPr>
                <w:rFonts w:hint="eastAsia" w:ascii="Calibri" w:hAnsi="Calibri" w:eastAsia="仿宋_GB2312" w:cs="Calibri"/>
                <w:sz w:val="24"/>
                <w:szCs w:val="24"/>
              </w:rPr>
              <w:t>2</w:t>
            </w:r>
          </w:p>
        </w:tc>
        <w:tc>
          <w:tcPr>
            <w:tcW w:w="199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bookmarkStart w:id="4" w:name="OLE_LINK207"/>
            <w:bookmarkStart w:id="5" w:name="OLE_LINK208"/>
            <w:r>
              <w:rPr>
                <w:sz w:val="18"/>
                <w:szCs w:val="18"/>
              </w:rPr>
              <w:t>Ice-templated protein nanoridges induce bone tissue formation</w:t>
            </w:r>
            <w:bookmarkEnd w:id="4"/>
            <w:bookmarkEnd w:id="5"/>
            <w:r>
              <w:rPr>
                <w:sz w:val="18"/>
                <w:szCs w:val="18"/>
              </w:rPr>
              <w:t xml:space="preserve">/ </w:t>
            </w:r>
            <w:bookmarkStart w:id="6" w:name="_Hlk102466693"/>
            <w:r>
              <w:rPr>
                <w:i/>
                <w:sz w:val="18"/>
                <w:szCs w:val="18"/>
              </w:rPr>
              <w:t>Advanced Functional Materials</w:t>
            </w:r>
            <w:r>
              <w:rPr>
                <w:sz w:val="18"/>
                <w:szCs w:val="18"/>
              </w:rPr>
              <w:t xml:space="preserve"> </w:t>
            </w:r>
            <w:bookmarkEnd w:id="6"/>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2017, 27, 1703726</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017.11.24</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7" w:name="OLE_LINK225"/>
            <w:bookmarkStart w:id="8" w:name="OLE_LINK226"/>
            <w:r>
              <w:rPr>
                <w:sz w:val="18"/>
                <w:szCs w:val="18"/>
              </w:rPr>
              <w:t>Yang Mingying</w:t>
            </w:r>
            <w:bookmarkEnd w:id="7"/>
            <w:bookmarkEnd w:id="8"/>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Shuai Yajun, Sunderland, Kegan S., Mao Chuanbin</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35</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3"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3</w:t>
            </w:r>
          </w:p>
        </w:tc>
        <w:tc>
          <w:tcPr>
            <w:tcW w:w="199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bookmarkStart w:id="9" w:name="OLE_LINK210"/>
            <w:bookmarkStart w:id="10" w:name="OLE_LINK209"/>
            <w:r>
              <w:rPr>
                <w:sz w:val="18"/>
                <w:szCs w:val="18"/>
              </w:rPr>
              <w:t>Ca</w:t>
            </w:r>
            <w:r>
              <w:rPr>
                <w:sz w:val="18"/>
                <w:szCs w:val="18"/>
                <w:vertAlign w:val="superscript"/>
              </w:rPr>
              <w:t>2+</w:t>
            </w:r>
            <w:r>
              <w:rPr>
                <w:sz w:val="18"/>
                <w:szCs w:val="18"/>
              </w:rPr>
              <w:t>-induced self-assembly of Bombyx mori silk sericin into a nanofibrous network-like protein matrix for directing controlled nucleation of hydroxylapatite nano-needles</w:t>
            </w:r>
            <w:bookmarkEnd w:id="9"/>
            <w:bookmarkEnd w:id="10"/>
            <w:r>
              <w:rPr>
                <w:sz w:val="18"/>
                <w:szCs w:val="18"/>
              </w:rPr>
              <w:t xml:space="preserve">/ </w:t>
            </w:r>
            <w:r>
              <w:rPr>
                <w:i/>
                <w:sz w:val="18"/>
                <w:szCs w:val="18"/>
              </w:rPr>
              <w:t>Journal of Materials Chemistry B</w:t>
            </w:r>
            <w:r>
              <w:rPr>
                <w:sz w:val="18"/>
                <w:szCs w:val="18"/>
              </w:rPr>
              <w:t xml:space="preserve"> </w:t>
            </w:r>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2015, 3, 2455-2462</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015.02.17</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Zhou Guanshan,</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 xml:space="preserve">Yang Mingying, Zhou Guanshan, Shuai Yajun, </w:t>
            </w:r>
            <w:bookmarkStart w:id="11" w:name="OLE_LINK215"/>
            <w:bookmarkStart w:id="12" w:name="OLE_LINK216"/>
            <w:r>
              <w:rPr>
                <w:sz w:val="18"/>
                <w:szCs w:val="18"/>
              </w:rPr>
              <w:t xml:space="preserve">Wang Jie, </w:t>
            </w:r>
            <w:bookmarkEnd w:id="11"/>
            <w:bookmarkEnd w:id="12"/>
            <w:r>
              <w:rPr>
                <w:sz w:val="18"/>
                <w:szCs w:val="18"/>
              </w:rPr>
              <w:t>Zhu Liangjun, Mao Chuanbin</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56</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1"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4</w:t>
            </w:r>
          </w:p>
        </w:tc>
        <w:tc>
          <w:tcPr>
            <w:tcW w:w="1994"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13" w:name="OLE_LINK214"/>
            <w:bookmarkStart w:id="14" w:name="OLE_LINK213"/>
            <w:r>
              <w:rPr>
                <w:sz w:val="18"/>
                <w:szCs w:val="18"/>
              </w:rPr>
              <w:t>Polydopamine-Coated Antheraea pernyi (A. pernyi) Silk Fibroin Films Promote Cell Adhesion and Wound Healing in Skin Tissue Repair</w:t>
            </w:r>
            <w:bookmarkEnd w:id="13"/>
            <w:bookmarkEnd w:id="14"/>
            <w:r>
              <w:rPr>
                <w:sz w:val="18"/>
                <w:szCs w:val="18"/>
              </w:rPr>
              <w:t>/</w:t>
            </w:r>
            <w:r>
              <w:rPr>
                <w:i/>
                <w:sz w:val="18"/>
                <w:szCs w:val="18"/>
              </w:rPr>
              <w:t xml:space="preserve"> ACS Applied Materials &amp; Interfaces</w:t>
            </w:r>
          </w:p>
        </w:tc>
        <w:tc>
          <w:tcPr>
            <w:tcW w:w="1048"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2019, 38, 34736</w:t>
            </w:r>
          </w:p>
        </w:tc>
        <w:tc>
          <w:tcPr>
            <w:tcW w:w="92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2</w:t>
            </w:r>
            <w:r>
              <w:rPr>
                <w:sz w:val="18"/>
                <w:szCs w:val="18"/>
              </w:rPr>
              <w:t>019.9.25</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Wang Jie</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15" w:name="OLE_LINK219"/>
            <w:bookmarkStart w:id="16" w:name="OLE_LINK220"/>
            <w:r>
              <w:rPr>
                <w:sz w:val="18"/>
                <w:szCs w:val="18"/>
              </w:rPr>
              <w:t xml:space="preserve">Wang Jie, Chen Yuping, Zhou Guanshan, Chen, Yuyin, </w:t>
            </w:r>
            <w:bookmarkStart w:id="17" w:name="OLE_LINK223"/>
            <w:bookmarkStart w:id="18" w:name="OLE_LINK224"/>
            <w:r>
              <w:rPr>
                <w:sz w:val="18"/>
                <w:szCs w:val="18"/>
              </w:rPr>
              <w:t xml:space="preserve">Mao Chuanbin, </w:t>
            </w:r>
            <w:bookmarkEnd w:id="17"/>
            <w:bookmarkEnd w:id="18"/>
            <w:r>
              <w:rPr>
                <w:sz w:val="18"/>
                <w:szCs w:val="18"/>
              </w:rPr>
              <w:t>Yang Mingying</w:t>
            </w:r>
            <w:bookmarkEnd w:id="15"/>
            <w:bookmarkEnd w:id="16"/>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87</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258"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5</w:t>
            </w:r>
          </w:p>
        </w:tc>
        <w:tc>
          <w:tcPr>
            <w:tcW w:w="1994"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19" w:name="OLE_LINK217"/>
            <w:bookmarkStart w:id="20" w:name="OLE_LINK218"/>
            <w:r>
              <w:rPr>
                <w:sz w:val="18"/>
                <w:szCs w:val="18"/>
              </w:rPr>
              <w:t>Protein-induced gold Nanoparticle assembly for improving the photothermal effect in cancer therapy</w:t>
            </w:r>
            <w:bookmarkEnd w:id="19"/>
            <w:bookmarkEnd w:id="20"/>
            <w:r>
              <w:rPr>
                <w:rFonts w:hint="eastAsia"/>
                <w:sz w:val="18"/>
                <w:szCs w:val="18"/>
              </w:rPr>
              <w:t>/</w:t>
            </w:r>
            <w:r>
              <w:rPr>
                <w:sz w:val="18"/>
                <w:szCs w:val="18"/>
              </w:rPr>
              <w:t xml:space="preserve"> ACS Applied Materials &amp; Interfaces/ </w:t>
            </w:r>
            <w:r>
              <w:rPr>
                <w:i/>
                <w:sz w:val="18"/>
                <w:szCs w:val="18"/>
              </w:rPr>
              <w:t>ACS Applied Materials &amp; Interfaces</w:t>
            </w:r>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2019, 11, 11136-11143</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019.03.27</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Wang Jie</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Wang Jie, Zhang Ying, Jin Na, Mao Chuanbin, Yang Mingying</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86</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62"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6</w:t>
            </w:r>
          </w:p>
        </w:tc>
        <w:tc>
          <w:tcPr>
            <w:tcW w:w="199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bookmarkStart w:id="21" w:name="OLE_LINK221"/>
            <w:bookmarkStart w:id="22" w:name="OLE_LINK222"/>
            <w:r>
              <w:rPr>
                <w:sz w:val="18"/>
                <w:szCs w:val="18"/>
              </w:rPr>
              <w:t xml:space="preserve">Biomimetic nucleation of hydroxyapatite crystals mediated by </w:t>
            </w:r>
            <w:r>
              <w:rPr>
                <w:i/>
                <w:sz w:val="18"/>
                <w:szCs w:val="18"/>
              </w:rPr>
              <w:t xml:space="preserve">Antheraeapernyi (A. pernyi) </w:t>
            </w:r>
            <w:r>
              <w:rPr>
                <w:sz w:val="18"/>
                <w:szCs w:val="18"/>
              </w:rPr>
              <w:t>silk sericin promotes osteogenic differentiation of human bone marrow derived mesenchymal stem cells</w:t>
            </w:r>
            <w:bookmarkEnd w:id="21"/>
            <w:bookmarkEnd w:id="22"/>
            <w:r>
              <w:rPr>
                <w:sz w:val="18"/>
                <w:szCs w:val="18"/>
              </w:rPr>
              <w:t xml:space="preserve">/ </w:t>
            </w:r>
            <w:r>
              <w:rPr>
                <w:i/>
                <w:sz w:val="18"/>
                <w:szCs w:val="18"/>
              </w:rPr>
              <w:t>Biomacromolecules</w:t>
            </w:r>
            <w:r>
              <w:rPr>
                <w:sz w:val="18"/>
                <w:szCs w:val="18"/>
              </w:rPr>
              <w:t xml:space="preserve"> </w:t>
            </w:r>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2014, 15(4), 1185-1193</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014.03.26</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Shuai Yajun</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 xml:space="preserve">Yang Mingying, Shuai Yajun, </w:t>
            </w:r>
            <w:r>
              <w:rPr>
                <w:rFonts w:hint="eastAsia"/>
                <w:sz w:val="18"/>
                <w:szCs w:val="18"/>
              </w:rPr>
              <w:t>Zhang Ca</w:t>
            </w:r>
            <w:r>
              <w:rPr>
                <w:sz w:val="18"/>
                <w:szCs w:val="18"/>
              </w:rPr>
              <w:t>n, Chen Yuyin,</w:t>
            </w:r>
            <w:r>
              <w:rPr>
                <w:rFonts w:hint="eastAsia"/>
                <w:sz w:val="18"/>
                <w:szCs w:val="18"/>
              </w:rPr>
              <w:t xml:space="preserve"> Zhu Liangjun</w:t>
            </w:r>
            <w:r>
              <w:rPr>
                <w:sz w:val="18"/>
                <w:szCs w:val="18"/>
              </w:rPr>
              <w:t xml:space="preserve">, Mao Chuanbin, </w:t>
            </w:r>
            <w:r>
              <w:rPr>
                <w:rFonts w:hint="eastAsia"/>
                <w:sz w:val="18"/>
                <w:szCs w:val="18"/>
              </w:rPr>
              <w:t>Yang</w:t>
            </w:r>
            <w:r>
              <w:rPr>
                <w:sz w:val="18"/>
                <w:szCs w:val="18"/>
              </w:rPr>
              <w:t xml:space="preserve"> </w:t>
            </w:r>
            <w:r>
              <w:rPr>
                <w:rFonts w:hint="eastAsia"/>
                <w:sz w:val="18"/>
                <w:szCs w:val="18"/>
              </w:rPr>
              <w:t>Hongwei OuYang</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96</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5"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7</w:t>
            </w:r>
          </w:p>
        </w:tc>
        <w:tc>
          <w:tcPr>
            <w:tcW w:w="1994"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bookmarkStart w:id="23" w:name="OLE_LINK228"/>
            <w:bookmarkStart w:id="24" w:name="OLE_LINK227"/>
            <w:r>
              <w:rPr>
                <w:sz w:val="18"/>
                <w:szCs w:val="18"/>
              </w:rPr>
              <w:t>Protein</w:t>
            </w:r>
            <w:r>
              <w:t xml:space="preserve"> </w:t>
            </w:r>
            <w:r>
              <w:rPr>
                <w:sz w:val="18"/>
                <w:szCs w:val="18"/>
              </w:rPr>
              <w:t>nanofibril assemblies templated by graphene oxide nanosheets accelerate early cell adhesion and induce osteogenic differentiation of human mesenchymal stem cells</w:t>
            </w:r>
            <w:bookmarkEnd w:id="23"/>
            <w:bookmarkEnd w:id="24"/>
            <w:r>
              <w:rPr>
                <w:sz w:val="18"/>
                <w:szCs w:val="18"/>
              </w:rPr>
              <w:t xml:space="preserve">/ </w:t>
            </w:r>
            <w:r>
              <w:rPr>
                <w:i/>
                <w:sz w:val="18"/>
                <w:szCs w:val="18"/>
              </w:rPr>
              <w:t>ACS Applied Materials &amp; Interfaces</w:t>
            </w:r>
          </w:p>
        </w:tc>
        <w:tc>
          <w:tcPr>
            <w:tcW w:w="104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sz w:val="18"/>
                <w:szCs w:val="18"/>
              </w:rPr>
              <w:t>2018, 10, 31988-31997</w:t>
            </w:r>
          </w:p>
        </w:tc>
        <w:tc>
          <w:tcPr>
            <w:tcW w:w="927"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2</w:t>
            </w:r>
            <w:r>
              <w:rPr>
                <w:sz w:val="18"/>
                <w:szCs w:val="18"/>
              </w:rPr>
              <w:t>018.09.11</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Shuai Yajun</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Shuai Yajun, Mao Chuanbin, Yang Mingying</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43</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3"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8</w:t>
            </w:r>
          </w:p>
        </w:tc>
        <w:tc>
          <w:tcPr>
            <w:tcW w:w="1994" w:type="dxa"/>
            <w:tcBorders>
              <w:top w:val="single" w:color="auto" w:sz="4" w:space="0"/>
              <w:left w:val="single" w:color="auto" w:sz="4" w:space="0"/>
              <w:bottom w:val="single" w:color="auto" w:sz="4" w:space="0"/>
              <w:right w:val="single" w:color="auto" w:sz="4" w:space="0"/>
            </w:tcBorders>
            <w:vAlign w:val="center"/>
          </w:tcPr>
          <w:p>
            <w:pPr>
              <w:rPr>
                <w:sz w:val="18"/>
                <w:szCs w:val="18"/>
              </w:rPr>
            </w:pPr>
            <w:bookmarkStart w:id="25" w:name="OLE_LINK229"/>
            <w:bookmarkStart w:id="26" w:name="OLE_LINK230"/>
            <w:r>
              <w:rPr>
                <w:sz w:val="18"/>
                <w:szCs w:val="18"/>
              </w:rPr>
              <w:t>Polydopamine modification of silk fibroin membranes significantly promotes their wound healing effect</w:t>
            </w:r>
            <w:bookmarkEnd w:id="25"/>
            <w:bookmarkEnd w:id="26"/>
            <w:r>
              <w:rPr>
                <w:sz w:val="18"/>
                <w:szCs w:val="18"/>
              </w:rPr>
              <w:t>/ Biomaterials Science</w:t>
            </w:r>
          </w:p>
        </w:tc>
        <w:tc>
          <w:tcPr>
            <w:tcW w:w="1048"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2021, 7, 5232-5237</w:t>
            </w:r>
          </w:p>
        </w:tc>
        <w:tc>
          <w:tcPr>
            <w:tcW w:w="927" w:type="dxa"/>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2</w:t>
            </w:r>
            <w:r>
              <w:rPr>
                <w:sz w:val="18"/>
                <w:szCs w:val="18"/>
              </w:rPr>
              <w:t>019.12.1</w:t>
            </w:r>
          </w:p>
        </w:tc>
        <w:tc>
          <w:tcPr>
            <w:tcW w:w="1275"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Yang Mingying, Mao Chuanbin</w:t>
            </w:r>
          </w:p>
        </w:tc>
        <w:tc>
          <w:tcPr>
            <w:tcW w:w="993"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Zhang Ying</w:t>
            </w:r>
          </w:p>
        </w:tc>
        <w:tc>
          <w:tcPr>
            <w:tcW w:w="1559"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Zhang Ying, Lu Leihao, Chen Yuping, Wang Jie, Chen Yuyin, Mao Chuanbin, Yang Mingying</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61</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sz w:val="18"/>
                <w:szCs w:val="18"/>
              </w:rPr>
              <w:t>WOS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7" w:hRule="exact"/>
          <w:jc w:val="center"/>
        </w:trPr>
        <w:tc>
          <w:tcPr>
            <w:tcW w:w="567"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7796" w:type="dxa"/>
            <w:gridSpan w:val="6"/>
            <w:tcBorders>
              <w:top w:val="single" w:color="auto" w:sz="4" w:space="0"/>
              <w:left w:val="single" w:color="auto" w:sz="4" w:space="0"/>
              <w:bottom w:val="single" w:color="auto" w:sz="4" w:space="0"/>
              <w:right w:val="single" w:color="auto" w:sz="4" w:space="0"/>
            </w:tcBorders>
            <w:vAlign w:val="center"/>
          </w:tcPr>
          <w:p>
            <w:pPr>
              <w:jc w:val="right"/>
              <w:rPr>
                <w:sz w:val="18"/>
                <w:szCs w:val="18"/>
              </w:rPr>
            </w:pPr>
            <w:r>
              <w:rPr>
                <w:sz w:val="18"/>
                <w:szCs w:val="18"/>
              </w:rPr>
              <w:t>合计</w:t>
            </w:r>
          </w:p>
        </w:tc>
        <w:tc>
          <w:tcPr>
            <w:tcW w:w="85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483</w:t>
            </w:r>
          </w:p>
        </w:tc>
        <w:tc>
          <w:tcPr>
            <w:tcW w:w="85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bl>
    <w:p/>
    <w:p/>
    <w:p/>
    <w:p/>
    <w:p/>
    <w:p/>
    <w:p/>
    <w:p/>
    <w:p>
      <w:pPr>
        <w:jc w:val="center"/>
        <w:rPr>
          <w:rFonts w:eastAsia="黑体"/>
          <w:sz w:val="32"/>
          <w:szCs w:val="32"/>
        </w:rPr>
      </w:pPr>
      <w:r>
        <w:rPr>
          <w:rFonts w:eastAsia="黑体"/>
          <w:sz w:val="32"/>
          <w:szCs w:val="32"/>
        </w:rPr>
        <w:t>八、主要知识产权和标准规范目录（不超过5件）</w:t>
      </w:r>
    </w:p>
    <w:tbl>
      <w:tblPr>
        <w:tblStyle w:val="6"/>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2"/>
        <w:gridCol w:w="993"/>
        <w:gridCol w:w="1417"/>
        <w:gridCol w:w="925"/>
        <w:gridCol w:w="1213"/>
        <w:gridCol w:w="9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bookmarkStart w:id="27" w:name="OLE_LINK15"/>
            <w:bookmarkStart w:id="28" w:name="OLE_LINK14"/>
            <w:r>
              <w:rPr>
                <w:rFonts w:eastAsia="仿宋_GB2312"/>
                <w:szCs w:val="21"/>
              </w:rPr>
              <w:t>知识产权</w:t>
            </w:r>
          </w:p>
          <w:p>
            <w:pPr>
              <w:jc w:val="center"/>
              <w:rPr>
                <w:rFonts w:eastAsia="仿宋_GB2312"/>
                <w:szCs w:val="21"/>
              </w:rPr>
            </w:pPr>
            <w:r>
              <w:rPr>
                <w:rFonts w:eastAsia="仿宋_GB2312"/>
                <w:szCs w:val="21"/>
              </w:rPr>
              <w:t>（标准规范）类别</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知识产权（标准规范）具体名称</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国家</w:t>
            </w:r>
          </w:p>
          <w:p>
            <w:pPr>
              <w:jc w:val="center"/>
              <w:rPr>
                <w:rFonts w:eastAsia="仿宋_GB2312"/>
                <w:bCs/>
                <w:snapToGrid w:val="0"/>
                <w:kern w:val="0"/>
                <w:szCs w:val="21"/>
              </w:rPr>
            </w:pPr>
            <w:r>
              <w:rPr>
                <w:rFonts w:eastAsia="仿宋_GB2312"/>
                <w:bCs/>
                <w:snapToGrid w:val="0"/>
                <w:kern w:val="0"/>
                <w:szCs w:val="21"/>
              </w:rPr>
              <w:t>（地区）</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授权号</w:t>
            </w:r>
          </w:p>
          <w:p>
            <w:pPr>
              <w:jc w:val="center"/>
              <w:rPr>
                <w:rFonts w:eastAsia="仿宋_GB2312"/>
                <w:szCs w:val="21"/>
              </w:rPr>
            </w:pPr>
            <w:r>
              <w:rPr>
                <w:rFonts w:eastAsia="仿宋_GB2312"/>
                <w:szCs w:val="21"/>
              </w:rPr>
              <w:t>（标准规范编号）</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证书编号（标准规范批准发布部门）</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权利人（标准规范起草单位）</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发明人（标准规范起草人）</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eastAsia="仿宋_GB2312"/>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专利</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一种促进细胞生长的柞蚕丝素的生物矿化方法</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中国</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ZL201210283703.0</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014.01</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1335354</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浙江大学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杨明英，帅亚俊，朱良均，闵思佳</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专利</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一种蜂窝状丝素蛋白多孔微球药物缓释载体的制备方法</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中国</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ZL 201610369157.0</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018.11</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3146875</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浙江大学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杨明英，帅亚俊，毛传斌</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专利</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一种通过生物矿化提高丝蛋白膜力学性能的方法</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中国</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ZL201410372692.2</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017.01</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357809</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浙江大学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杨明英，帅亚俊</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专利</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一种核壳结构的丝素蛋白/二氧化锰复合微球药物载体及制备方法</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中国</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ZL201910558863.3</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020.05</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r>
              <w:rPr>
                <w:szCs w:val="21"/>
              </w:rPr>
              <w:t>793123</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浙江大学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杨明英，王捷，陈玉银，陈玉平，范鑫</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授权有效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专利</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一种丝素载药纳米微囊的制备方法及产品</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中国</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ZL201910558742.9</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r>
              <w:rPr>
                <w:szCs w:val="21"/>
              </w:rPr>
              <w:t>020.06</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r>
              <w:rPr>
                <w:szCs w:val="21"/>
              </w:rPr>
              <w:t>852264</w:t>
            </w:r>
          </w:p>
        </w:tc>
        <w:tc>
          <w:tcPr>
            <w:tcW w:w="9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浙江大学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杨明英，王捷，陈玉银</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授权有效</w:t>
            </w:r>
          </w:p>
        </w:tc>
      </w:tr>
      <w:bookmarkEnd w:id="27"/>
      <w:bookmarkEnd w:id="28"/>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1BFLGhoZGxkbmBko6SsGpxcWZ+XkgBUa1ANXVnhQsAAAA"/>
  </w:docVars>
  <w:rsids>
    <w:rsidRoot w:val="007A378A"/>
    <w:rsid w:val="00133845"/>
    <w:rsid w:val="00193415"/>
    <w:rsid w:val="001E6AB6"/>
    <w:rsid w:val="002136F4"/>
    <w:rsid w:val="00261549"/>
    <w:rsid w:val="00365C1C"/>
    <w:rsid w:val="003808A6"/>
    <w:rsid w:val="003F6E2C"/>
    <w:rsid w:val="00423D75"/>
    <w:rsid w:val="004C253D"/>
    <w:rsid w:val="004D3794"/>
    <w:rsid w:val="005956FF"/>
    <w:rsid w:val="0059613C"/>
    <w:rsid w:val="00653BB3"/>
    <w:rsid w:val="007001AC"/>
    <w:rsid w:val="00706DF0"/>
    <w:rsid w:val="00733690"/>
    <w:rsid w:val="007A378A"/>
    <w:rsid w:val="007B290D"/>
    <w:rsid w:val="00821DF8"/>
    <w:rsid w:val="008A3273"/>
    <w:rsid w:val="008B76F6"/>
    <w:rsid w:val="00A2366E"/>
    <w:rsid w:val="00AE13F3"/>
    <w:rsid w:val="00B0542E"/>
    <w:rsid w:val="00B272D7"/>
    <w:rsid w:val="00B52FDF"/>
    <w:rsid w:val="00B91649"/>
    <w:rsid w:val="00BB30AE"/>
    <w:rsid w:val="00C03F73"/>
    <w:rsid w:val="00CC64D3"/>
    <w:rsid w:val="00D11BF6"/>
    <w:rsid w:val="00DF7597"/>
    <w:rsid w:val="00EA58E3"/>
    <w:rsid w:val="00EA7AB6"/>
    <w:rsid w:val="00EB78EE"/>
    <w:rsid w:val="3E1DB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617</Words>
  <Characters>3519</Characters>
  <Lines>29</Lines>
  <Paragraphs>8</Paragraphs>
  <TotalTime>53</TotalTime>
  <ScaleCrop>false</ScaleCrop>
  <LinksUpToDate>false</LinksUpToDate>
  <CharactersWithSpaces>4128</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2024-08-01T18:47:00Z</dcterms:created>
  <dc:creator>ZJU</dc:creator>
  <cp:lastModifiedBy>白炽</cp:lastModifiedBy>
  <dcterms:modified xsi:type="dcterms:W3CDTF">2024-08-13T21:12:04Z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D1158FFF7CFEB6E6A45BBB66B032D098</vt:lpwstr>
  </property>
</Properties>
</file>