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229"/>
      </w:tblGrid>
      <w:tr>
        <w:trPr>
          <w:trHeight w:val="647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bookmarkStart w:id="0" w:name="_GoBack"/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猪脂肪沉积的RNA表观遗传机制及营养调控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.代表性论文专著目录：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（1）Wang, X#., Wu, R#., Liu, Y., Zhao, Y., Bi, Z., Yao, Y., Liu, Q., Shi, H., Wang, F., and Wang, Y*. m6A mRNA methylation controls autophagy and adipogenesis by targeting Atg5 and Atg7. Autophagy. 2020-07. 16(7), 1221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–</w:t>
            </w:r>
            <w:r>
              <w:rPr>
                <w:rFonts w:hint="eastAsia" w:eastAsia="仿宋_GB2312"/>
                <w:bCs/>
                <w:sz w:val="24"/>
                <w:szCs w:val="24"/>
              </w:rPr>
              <w:t>1235.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（2）Wu, R#., Chen, Y#., Liu, Y., Zhuang, L., Chen, W., Zeng, B., Liao, X., Guo, G., Wang, Y., and Wang, X*. m6A methylation promotes white-to-beige fat transition by facilitating Hif1a translation. EMBO reports. 2021-11. 22(11), e52348.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（3）Chen, Y., Wu, R., Chen, W., Liu, Y., Liao, X., Zeng, B., Guo, G., Lou, F., Xiang, Y., Wang, Y., and Wang, X*. Curcumin prevents obesity by targeting TRAF4-induced ubiquitylation in m6A-dependent manner. EMBO reports. 2021-05. 22(5), e52146.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（4）Wu, R., Liu, Y., Zhao, Y., Bi, Z., Yao, Y., Liu, Q., Wang, F., Wang, Y., and Wang, X*. m6A methylation controls pluripotency of porcine induced pluripotent stem cells by targeting SOCS3/JAK2/STAT3 pathway in a YTHDF1/YTHDF2-orchestrated manner. Cell Dea</w:t>
            </w:r>
            <w:r>
              <w:rPr>
                <w:rFonts w:eastAsia="仿宋_GB2312"/>
                <w:bCs/>
                <w:sz w:val="24"/>
                <w:szCs w:val="24"/>
              </w:rPr>
              <w:t>th Disease. 2019-02. 10(3), 171.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（5）Liu, Y#., Zhao, Y#., Wu, R., Chen, Y., Chen, W., Liu, Y., Luo, Y., Huang, C., Zeng, B., Liao, X., Guo, G., Wang, Y., and Wang, X*. mRNA m5C controls adipogenesis by promoting CDKN1A mRNA export and translation. RNA Biology. 2021-11. 18(sup2), 711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–</w:t>
            </w:r>
            <w:r>
              <w:rPr>
                <w:rFonts w:hint="eastAsia" w:eastAsia="仿宋_GB2312"/>
                <w:bCs/>
                <w:sz w:val="24"/>
                <w:szCs w:val="24"/>
              </w:rPr>
              <w:t>721.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（6）Yao, Y., Bi, Z., Wu, R., Zhao, Y., Liu, Y., Liu, Q., Wang, Y., and Wang, X*. METTL3 inhibits BMSC adipogenic differentiation by targeting the JAK1/STAT5/C/EBPβ pathway via an m6A-YTHDF2-dependent manner. FASEB Journal. 2019-06. 33(6), 7529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–</w:t>
            </w:r>
            <w:r>
              <w:rPr>
                <w:rFonts w:hint="eastAsia" w:eastAsia="仿宋_GB2312"/>
                <w:bCs/>
                <w:sz w:val="24"/>
                <w:szCs w:val="24"/>
              </w:rPr>
              <w:t>7544.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（7）Jiang, Q., Sun, B., Liu, Q., Cai, M., Wu, R., Wang, F., Yao, Y., Wang, Y., and Wang, X*. MTCH2 promotes adipogenesis in intramuscular preadipocytes via an m6A-YTHDF1-dependent mechanism. FASEB Journal. 2019-02. 33(2), 2971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–</w:t>
            </w:r>
            <w:r>
              <w:rPr>
                <w:rFonts w:hint="eastAsia" w:eastAsia="仿宋_GB2312"/>
                <w:bCs/>
                <w:sz w:val="24"/>
                <w:szCs w:val="24"/>
              </w:rPr>
              <w:t>2981.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（8）Wu, R., Yao, Y., Jiang, Q., Cai, M., Liu, Q., Wang, Y., and Wang, X*. Epigallocatechin gallate targets FTO and inhibits adipogenesis in an mRNA m6A-YTHDF2-dependent manner. International Journal of Obesity, 2018-07, 42(7): 1378-1388.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主要知识产权目录：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  <w:r>
              <w:rPr>
                <w:rFonts w:hint="eastAsia" w:eastAsia="仿宋"/>
                <w:bCs/>
                <w:sz w:val="24"/>
                <w:szCs w:val="24"/>
              </w:rPr>
              <w:t>发明专利：猪脂肪沉积相关</w:t>
            </w:r>
            <w:r>
              <w:rPr>
                <w:rFonts w:eastAsia="仿宋"/>
                <w:bCs/>
                <w:sz w:val="24"/>
                <w:szCs w:val="24"/>
              </w:rPr>
              <w:t>UCP2 mRNA m</w:t>
            </w:r>
            <w:r>
              <w:rPr>
                <w:rFonts w:eastAsia="仿宋"/>
                <w:bCs/>
                <w:sz w:val="24"/>
                <w:szCs w:val="24"/>
                <w:vertAlign w:val="superscript"/>
              </w:rPr>
              <w:t>6</w:t>
            </w:r>
            <w:r>
              <w:rPr>
                <w:rFonts w:eastAsia="仿宋"/>
                <w:bCs/>
                <w:sz w:val="24"/>
                <w:szCs w:val="24"/>
              </w:rPr>
              <w:t>A</w:t>
            </w:r>
            <w:r>
              <w:rPr>
                <w:rFonts w:hint="eastAsia" w:eastAsia="仿宋"/>
                <w:bCs/>
                <w:sz w:val="24"/>
                <w:szCs w:val="24"/>
              </w:rPr>
              <w:t>甲基化单位点的鉴定方法和功能应用，</w:t>
            </w:r>
            <w:r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ZL201710760315.X</w:t>
            </w:r>
            <w:r>
              <w:rPr>
                <w:rFonts w:hint="eastAsia" w:eastAsia="仿宋"/>
                <w:bCs/>
                <w:sz w:val="24"/>
                <w:szCs w:val="24"/>
              </w:rPr>
              <w:t>（专利号）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（</w:t>
            </w:r>
            <w:r>
              <w:rPr>
                <w:rFonts w:eastAsia="仿宋"/>
                <w:bCs/>
                <w:sz w:val="24"/>
                <w:szCs w:val="24"/>
              </w:rPr>
              <w:t>2</w:t>
            </w:r>
            <w:r>
              <w:rPr>
                <w:rFonts w:hint="eastAsia" w:eastAsia="仿宋"/>
                <w:bCs/>
                <w:sz w:val="24"/>
                <w:szCs w:val="24"/>
              </w:rPr>
              <w:t>）发明专利：猪脂肪沉积相关</w:t>
            </w:r>
            <w:r>
              <w:rPr>
                <w:rFonts w:eastAsia="仿宋"/>
                <w:bCs/>
                <w:sz w:val="24"/>
                <w:szCs w:val="24"/>
              </w:rPr>
              <w:t>PNPLA2 mRNA m</w:t>
            </w:r>
            <w:r>
              <w:rPr>
                <w:rFonts w:eastAsia="仿宋"/>
                <w:bCs/>
                <w:sz w:val="24"/>
                <w:szCs w:val="24"/>
                <w:vertAlign w:val="superscript"/>
              </w:rPr>
              <w:t>6</w:t>
            </w:r>
            <w:r>
              <w:rPr>
                <w:rFonts w:eastAsia="仿宋"/>
                <w:bCs/>
                <w:sz w:val="24"/>
                <w:szCs w:val="24"/>
              </w:rPr>
              <w:t>A</w:t>
            </w:r>
            <w:r>
              <w:rPr>
                <w:rFonts w:hint="eastAsia" w:eastAsia="仿宋"/>
                <w:bCs/>
                <w:sz w:val="24"/>
                <w:szCs w:val="24"/>
              </w:rPr>
              <w:t>甲基化位点的鉴定方法和功能应用，</w:t>
            </w:r>
            <w:r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ZL201710760330.4</w:t>
            </w:r>
            <w:r>
              <w:rPr>
                <w:rFonts w:hint="eastAsia" w:eastAsia="仿宋"/>
                <w:bCs/>
                <w:sz w:val="24"/>
                <w:szCs w:val="24"/>
              </w:rPr>
              <w:t>（专利号）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（</w:t>
            </w:r>
            <w:r>
              <w:rPr>
                <w:rFonts w:eastAsia="仿宋"/>
                <w:bCs/>
                <w:sz w:val="24"/>
                <w:szCs w:val="24"/>
              </w:rPr>
              <w:t>3</w:t>
            </w:r>
            <w:r>
              <w:rPr>
                <w:rFonts w:hint="eastAsia" w:eastAsia="仿宋"/>
                <w:bCs/>
                <w:sz w:val="24"/>
                <w:szCs w:val="24"/>
              </w:rPr>
              <w:t>）发明专利：</w:t>
            </w:r>
            <w:r>
              <w:rPr>
                <w:rFonts w:eastAsia="仿宋"/>
                <w:bCs/>
                <w:sz w:val="24"/>
                <w:szCs w:val="24"/>
              </w:rPr>
              <w:t>FTO</w:t>
            </w:r>
            <w:r>
              <w:rPr>
                <w:rFonts w:hint="eastAsia" w:eastAsia="仿宋"/>
                <w:bCs/>
                <w:sz w:val="24"/>
                <w:szCs w:val="24"/>
              </w:rPr>
              <w:t>基因修饰的猪脂肪干细胞及其构建方法与应用，</w:t>
            </w:r>
            <w:r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ZL202110653510.9</w:t>
            </w:r>
            <w:r>
              <w:rPr>
                <w:rFonts w:hint="eastAsia" w:eastAsia="仿宋"/>
                <w:bCs/>
                <w:sz w:val="24"/>
                <w:szCs w:val="24"/>
              </w:rPr>
              <w:t>（专利号）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（</w:t>
            </w:r>
            <w:r>
              <w:rPr>
                <w:rFonts w:eastAsia="仿宋"/>
                <w:bCs/>
                <w:sz w:val="24"/>
                <w:szCs w:val="24"/>
              </w:rPr>
              <w:t>4</w:t>
            </w:r>
            <w:r>
              <w:rPr>
                <w:rFonts w:hint="eastAsia" w:eastAsia="仿宋"/>
                <w:bCs/>
                <w:sz w:val="24"/>
                <w:szCs w:val="24"/>
              </w:rPr>
              <w:t>）发明专利：一种血管化脂肪类器官培养方法，</w:t>
            </w:r>
            <w:r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ZL202111511138.4</w:t>
            </w:r>
            <w:r>
              <w:rPr>
                <w:rFonts w:hint="eastAsia" w:eastAsia="仿宋"/>
                <w:bCs/>
                <w:sz w:val="24"/>
                <w:szCs w:val="24"/>
              </w:rPr>
              <w:t>（专利号）</w:t>
            </w:r>
          </w:p>
          <w:p>
            <w:pPr>
              <w:adjustRightInd w:val="0"/>
              <w:snapToGrid w:val="0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eastAsia="仿宋"/>
                <w:bCs/>
                <w:sz w:val="24"/>
                <w:szCs w:val="24"/>
              </w:rPr>
              <w:t>）团体标准</w:t>
            </w:r>
            <w:r>
              <w:rPr>
                <w:rFonts w:hint="eastAsia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：优质杜长大猪肉生产技术规范，</w:t>
            </w:r>
            <w:r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T/ZNZ173—2023</w:t>
            </w:r>
            <w:r>
              <w:rPr>
                <w:rFonts w:hint="eastAsia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（标准编号）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22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王新霞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吴睿帆</w:t>
            </w:r>
            <w:r>
              <w:rPr>
                <w:rFonts w:eastAsia="仿宋_GB2312"/>
                <w:bCs/>
                <w:sz w:val="24"/>
                <w:szCs w:val="24"/>
              </w:rPr>
              <w:t>，排名2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华南农业大学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刘有华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博士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江  芹，排名4，助理研究员，崖州湾国家实验室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722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229" w:type="dxa"/>
            <w:vAlign w:val="center"/>
          </w:tcPr>
          <w:p>
            <w:pPr>
              <w:spacing w:line="440" w:lineRule="exact"/>
              <w:jc w:val="center"/>
              <w:rPr>
                <w:rStyle w:val="11"/>
                <w:b w:val="0"/>
                <w:color w:val="auto"/>
              </w:rPr>
            </w:pPr>
            <w:r>
              <w:rPr>
                <w:rFonts w:eastAsia="仿宋_GB2312"/>
                <w:sz w:val="28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229" w:type="dxa"/>
            <w:vAlign w:val="center"/>
          </w:tcPr>
          <w:p>
            <w:pPr>
              <w:tabs>
                <w:tab w:val="left" w:pos="5857"/>
              </w:tabs>
              <w:ind w:firstLine="488" w:firstLineChars="200"/>
              <w:rPr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</w:rPr>
              <w:t>猪的脂肪沉积直接影响生猪生产效率、猪肉品质、繁殖性能和抗病力等，从而影响生猪养殖的经济效益。因此，深入了解脂肪沉积过程及其调控机制，对提高生猪养殖经济效益，促进养猪业的健康发展具有重要意义。该项目发现了猪的脂肪细胞从胚胎干细胞、到间充质干细胞、到前体脂肪细胞，最后到成熟脂肪细胞发育过程中，RNA表观遗传修饰（mRNA m</w:t>
            </w:r>
            <w:r>
              <w:rPr>
                <w:color w:val="000000"/>
                <w:spacing w:val="2"/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</w:rPr>
              <w:t>A和</w:t>
            </w:r>
            <w:r>
              <w:rPr>
                <w:color w:val="000000"/>
                <w:spacing w:val="2"/>
                <w:kern w:val="0"/>
                <w:sz w:val="24"/>
                <w:szCs w:val="24"/>
              </w:rPr>
              <w:t>m5C</w:t>
            </w: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</w:rPr>
              <w:t>）在其中起着重要的调控作用，该研究填补了脂肪细胞发育的RNA表观遗传修饰机制的空白；在此基础上，在国际上首次构建靶向mRNA m6/</w:t>
            </w:r>
            <w:r>
              <w:rPr>
                <w:color w:val="000000"/>
                <w:spacing w:val="2"/>
                <w:kern w:val="0"/>
                <w:sz w:val="24"/>
                <w:szCs w:val="24"/>
              </w:rPr>
              <w:t>m5C</w:t>
            </w: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</w:rPr>
              <w:t>的高通量营养素筛选技术，并发现了所筛选到的营养物质</w:t>
            </w:r>
            <w:r>
              <w:rPr>
                <w:color w:val="000000"/>
                <w:spacing w:val="2"/>
                <w:kern w:val="0"/>
                <w:sz w:val="24"/>
                <w:szCs w:val="24"/>
              </w:rPr>
              <w:t>通过RNA表观遗传修饰调控脂肪沉积</w:t>
            </w: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</w:rPr>
              <w:t>的机制，为</w:t>
            </w:r>
            <w:r>
              <w:rPr>
                <w:color w:val="000000"/>
                <w:spacing w:val="2"/>
                <w:kern w:val="0"/>
                <w:sz w:val="24"/>
                <w:szCs w:val="24"/>
              </w:rPr>
              <w:t>饲料营养关键技术</w:t>
            </w: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</w:rPr>
              <w:t>的形成奠定了基础。项目成果具有创新性和国际影响力。</w:t>
            </w:r>
          </w:p>
          <w:p>
            <w:pPr>
              <w:contextualSpacing/>
              <w:jc w:val="center"/>
              <w:rPr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color w:val="000000"/>
                <w:spacing w:val="2"/>
                <w:kern w:val="0"/>
                <w:sz w:val="24"/>
                <w:szCs w:val="24"/>
              </w:rPr>
              <w:t>推荐提名该项目为</w:t>
            </w:r>
            <w:r>
              <w:rPr>
                <w:color w:val="000000"/>
                <w:spacing w:val="2"/>
                <w:kern w:val="0"/>
                <w:sz w:val="24"/>
                <w:szCs w:val="24"/>
                <w:u w:val="single"/>
              </w:rPr>
              <w:t>2023年度</w:t>
            </w:r>
            <w:r>
              <w:rPr>
                <w:rFonts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>浙江</w:t>
            </w:r>
            <w:r>
              <w:rPr>
                <w:color w:val="000000"/>
                <w:spacing w:val="2"/>
                <w:kern w:val="0"/>
                <w:sz w:val="24"/>
                <w:szCs w:val="24"/>
                <w:u w:val="single"/>
              </w:rPr>
              <w:t>省自然科学奖一等奖</w:t>
            </w:r>
            <w:r>
              <w:rPr>
                <w:color w:val="000000"/>
                <w:spacing w:val="2"/>
                <w:kern w:val="0"/>
                <w:sz w:val="24"/>
                <w:szCs w:val="24"/>
              </w:rPr>
              <w:t>。</w:t>
            </w:r>
          </w:p>
          <w:p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133845"/>
    <w:rsid w:val="0022017B"/>
    <w:rsid w:val="003C31A6"/>
    <w:rsid w:val="004228F0"/>
    <w:rsid w:val="00425DA3"/>
    <w:rsid w:val="004B489B"/>
    <w:rsid w:val="004C425F"/>
    <w:rsid w:val="004D3794"/>
    <w:rsid w:val="00516CA5"/>
    <w:rsid w:val="0055324A"/>
    <w:rsid w:val="005956FF"/>
    <w:rsid w:val="00653BB3"/>
    <w:rsid w:val="0065780D"/>
    <w:rsid w:val="00705568"/>
    <w:rsid w:val="007A378A"/>
    <w:rsid w:val="00821DF8"/>
    <w:rsid w:val="008B76F6"/>
    <w:rsid w:val="009F3D2F"/>
    <w:rsid w:val="00A2366E"/>
    <w:rsid w:val="00AA6485"/>
    <w:rsid w:val="00B244D2"/>
    <w:rsid w:val="00B272D7"/>
    <w:rsid w:val="00B553E8"/>
    <w:rsid w:val="00BD3193"/>
    <w:rsid w:val="00BE5379"/>
    <w:rsid w:val="00C03F73"/>
    <w:rsid w:val="00C669D8"/>
    <w:rsid w:val="00CC64D3"/>
    <w:rsid w:val="00DF1D10"/>
    <w:rsid w:val="00EA2A37"/>
    <w:rsid w:val="00FD2E53"/>
    <w:rsid w:val="E7B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basedOn w:val="8"/>
    <w:link w:val="4"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2393</Characters>
  <Lines>19</Lines>
  <Paragraphs>5</Paragraphs>
  <TotalTime>240</TotalTime>
  <ScaleCrop>false</ScaleCrop>
  <LinksUpToDate>false</LinksUpToDate>
  <CharactersWithSpaces>2807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2024-08-06T15:41:00Z</dcterms:created>
  <dc:creator>ZJU</dc:creator>
  <cp:lastModifiedBy>白炽</cp:lastModifiedBy>
  <dcterms:modified xsi:type="dcterms:W3CDTF">2024-08-12T17:36:40Z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CD608EEAB92BC1C3A8D7B966676802B2</vt:lpwstr>
  </property>
</Properties>
</file>