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13075" w14:textId="77777777" w:rsidR="00A41837" w:rsidRDefault="00A41837">
      <w:pPr>
        <w:rPr>
          <w:rFonts w:eastAsia="仿宋_GB2312"/>
          <w:sz w:val="24"/>
          <w:szCs w:val="32"/>
        </w:rPr>
      </w:pPr>
    </w:p>
    <w:p w14:paraId="474CD5A4" w14:textId="77777777" w:rsidR="00A41837" w:rsidRDefault="00000000">
      <w:pPr>
        <w:jc w:val="center"/>
        <w:rPr>
          <w:rStyle w:val="title1"/>
          <w:rFonts w:eastAsia="方正小标宋简体"/>
          <w:bCs w:val="0"/>
          <w:sz w:val="36"/>
          <w:szCs w:val="36"/>
        </w:rPr>
      </w:pPr>
      <w:r>
        <w:rPr>
          <w:rStyle w:val="title1"/>
          <w:rFonts w:ascii="微软雅黑" w:eastAsia="微软雅黑" w:hAnsi="微软雅黑" w:cs="微软雅黑" w:hint="eastAsia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sz w:val="32"/>
          <w:szCs w:val="32"/>
        </w:rPr>
        <w:t>（单位提名）</w:t>
      </w:r>
    </w:p>
    <w:p w14:paraId="69ACC5F3" w14:textId="77777777" w:rsidR="00A41837" w:rsidRDefault="0000000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5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6378"/>
      </w:tblGrid>
      <w:tr w:rsidR="00A41837" w14:paraId="195274C8" w14:textId="77777777">
        <w:trPr>
          <w:trHeight w:val="647"/>
        </w:trPr>
        <w:tc>
          <w:tcPr>
            <w:tcW w:w="2152" w:type="dxa"/>
            <w:vAlign w:val="center"/>
          </w:tcPr>
          <w:p w14:paraId="2432DF29" w14:textId="77777777" w:rsidR="00A41837" w:rsidRDefault="00000000">
            <w:pPr>
              <w:jc w:val="center"/>
              <w:rPr>
                <w:rStyle w:val="title1"/>
                <w:rFonts w:eastAsia="仿宋_GB2312"/>
                <w:b w:val="0"/>
                <w:sz w:val="28"/>
              </w:rPr>
            </w:pPr>
            <w:r>
              <w:rPr>
                <w:rStyle w:val="title1"/>
                <w:rFonts w:eastAsia="仿宋_GB2312"/>
                <w:sz w:val="28"/>
              </w:rPr>
              <w:t>成果名称</w:t>
            </w:r>
          </w:p>
        </w:tc>
        <w:tc>
          <w:tcPr>
            <w:tcW w:w="6378" w:type="dxa"/>
            <w:vAlign w:val="center"/>
          </w:tcPr>
          <w:p w14:paraId="4EA7E03D" w14:textId="1C3C0B5A" w:rsidR="00A41837" w:rsidRDefault="00000000">
            <w:pPr>
              <w:jc w:val="center"/>
              <w:rPr>
                <w:rStyle w:val="title1"/>
                <w:rFonts w:eastAsia="仿宋_GB2312"/>
                <w:b w:val="0"/>
              </w:rPr>
            </w:pPr>
            <w:r>
              <w:rPr>
                <w:rStyle w:val="title1"/>
                <w:rFonts w:eastAsia="仿宋_GB2312" w:hint="eastAsia"/>
                <w:b w:val="0"/>
                <w:color w:val="000000" w:themeColor="text1"/>
              </w:rPr>
              <w:t>急性髓系白血病分子机制及临床</w:t>
            </w:r>
            <w:r w:rsidR="003012E8">
              <w:rPr>
                <w:rStyle w:val="title1"/>
                <w:rFonts w:eastAsia="仿宋_GB2312" w:hint="eastAsia"/>
                <w:b w:val="0"/>
                <w:color w:val="000000" w:themeColor="text1"/>
              </w:rPr>
              <w:t>应用</w:t>
            </w:r>
            <w:r>
              <w:rPr>
                <w:rStyle w:val="title1"/>
                <w:rFonts w:eastAsia="仿宋_GB2312" w:hint="eastAsia"/>
                <w:b w:val="0"/>
                <w:color w:val="000000" w:themeColor="text1"/>
              </w:rPr>
              <w:t>与推广</w:t>
            </w:r>
          </w:p>
        </w:tc>
      </w:tr>
      <w:tr w:rsidR="00A41837" w14:paraId="12D84F3F" w14:textId="77777777">
        <w:trPr>
          <w:trHeight w:val="561"/>
        </w:trPr>
        <w:tc>
          <w:tcPr>
            <w:tcW w:w="2152" w:type="dxa"/>
            <w:vAlign w:val="center"/>
          </w:tcPr>
          <w:p w14:paraId="0B56D05C" w14:textId="77777777" w:rsidR="00A41837" w:rsidRDefault="00000000">
            <w:pPr>
              <w:jc w:val="center"/>
              <w:rPr>
                <w:rStyle w:val="title1"/>
                <w:rFonts w:eastAsia="仿宋_GB2312"/>
                <w:b w:val="0"/>
                <w:sz w:val="28"/>
              </w:rPr>
            </w:pPr>
            <w:r>
              <w:rPr>
                <w:rStyle w:val="title1"/>
                <w:rFonts w:eastAsia="仿宋_GB2312"/>
                <w:sz w:val="28"/>
              </w:rPr>
              <w:t>提名等级</w:t>
            </w:r>
          </w:p>
        </w:tc>
        <w:tc>
          <w:tcPr>
            <w:tcW w:w="6378" w:type="dxa"/>
            <w:vAlign w:val="center"/>
          </w:tcPr>
          <w:p w14:paraId="1C8419A3" w14:textId="77777777" w:rsidR="00A41837" w:rsidRDefault="00000000">
            <w:pPr>
              <w:jc w:val="center"/>
              <w:rPr>
                <w:rStyle w:val="title1"/>
                <w:rFonts w:eastAsia="仿宋_GB2312"/>
                <w:b w:val="0"/>
              </w:rPr>
            </w:pPr>
            <w:r>
              <w:rPr>
                <w:rStyle w:val="title1"/>
                <w:rFonts w:eastAsia="仿宋_GB2312" w:hint="eastAsia"/>
                <w:b w:val="0"/>
                <w:color w:val="000000" w:themeColor="text1"/>
              </w:rPr>
              <w:t>一等奖</w:t>
            </w:r>
          </w:p>
        </w:tc>
      </w:tr>
      <w:tr w:rsidR="00A41837" w14:paraId="657C850C" w14:textId="77777777">
        <w:trPr>
          <w:trHeight w:val="1374"/>
        </w:trPr>
        <w:tc>
          <w:tcPr>
            <w:tcW w:w="2152" w:type="dxa"/>
            <w:vAlign w:val="center"/>
          </w:tcPr>
          <w:p w14:paraId="0F64CCE0" w14:textId="77777777" w:rsidR="00A41837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9146E90" w14:textId="77777777" w:rsidR="00A41837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378" w:type="dxa"/>
            <w:vAlign w:val="center"/>
          </w:tcPr>
          <w:p w14:paraId="0FE26534" w14:textId="77777777" w:rsidR="00A41837" w:rsidRDefault="00A41837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b/>
                <w:bCs/>
                <w:sz w:val="20"/>
              </w:rPr>
            </w:pPr>
          </w:p>
          <w:p w14:paraId="7B513C07" w14:textId="77777777" w:rsidR="00A41837" w:rsidRDefault="00000000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b/>
                <w:bCs/>
                <w:sz w:val="20"/>
              </w:rPr>
            </w:pPr>
            <w:r>
              <w:rPr>
                <w:rFonts w:eastAsia="仿宋_GB2312"/>
                <w:b/>
                <w:bCs/>
                <w:sz w:val="20"/>
              </w:rPr>
              <w:t>主要知识产权和标准规范目录</w:t>
            </w:r>
            <w:r>
              <w:rPr>
                <w:rFonts w:eastAsia="仿宋_GB2312" w:hint="eastAsia"/>
                <w:b/>
                <w:bCs/>
                <w:sz w:val="20"/>
              </w:rPr>
              <w:t>：</w:t>
            </w:r>
          </w:p>
          <w:p w14:paraId="7678C4F6" w14:textId="77777777" w:rsidR="00A41837" w:rsidRDefault="00000000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/>
                <w:sz w:val="20"/>
              </w:rPr>
              <w:t xml:space="preserve">. </w:t>
            </w:r>
            <w:r>
              <w:rPr>
                <w:rFonts w:eastAsia="仿宋_GB2312" w:hint="eastAsia"/>
                <w:bCs/>
                <w:sz w:val="20"/>
              </w:rPr>
              <w:t>行业专家共识及指南：中国复发难治性急性髓系白血病诊疗指南（</w:t>
            </w:r>
            <w:r>
              <w:rPr>
                <w:rFonts w:eastAsia="仿宋_GB2312" w:hint="eastAsia"/>
                <w:bCs/>
                <w:sz w:val="20"/>
              </w:rPr>
              <w:t>2023</w:t>
            </w:r>
            <w:r>
              <w:rPr>
                <w:rFonts w:eastAsia="仿宋_GB2312" w:hint="eastAsia"/>
                <w:bCs/>
                <w:sz w:val="20"/>
              </w:rPr>
              <w:t>年版），中华血液学杂志，金洁。</w:t>
            </w:r>
          </w:p>
          <w:p w14:paraId="12290B47" w14:textId="77777777" w:rsidR="00A41837" w:rsidRDefault="00000000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 xml:space="preserve">2. </w:t>
            </w:r>
            <w:r>
              <w:rPr>
                <w:rFonts w:eastAsia="仿宋_GB2312" w:hint="eastAsia"/>
                <w:bCs/>
                <w:sz w:val="20"/>
              </w:rPr>
              <w:t>行业专家共识及指南：</w:t>
            </w:r>
            <w:r>
              <w:rPr>
                <w:rFonts w:eastAsia="仿宋_GB2312" w:hint="eastAsia"/>
                <w:bCs/>
                <w:sz w:val="20"/>
              </w:rPr>
              <w:t>2023 CSCO</w:t>
            </w:r>
            <w:r>
              <w:rPr>
                <w:rFonts w:eastAsia="仿宋_GB2312" w:hint="eastAsia"/>
                <w:bCs/>
                <w:sz w:val="20"/>
              </w:rPr>
              <w:t>恶性血液病诊疗指南（复发难治急性髓系白血病），金洁。</w:t>
            </w:r>
          </w:p>
          <w:p w14:paraId="4BA26AA6" w14:textId="77777777" w:rsidR="00A41837" w:rsidRDefault="00000000">
            <w:pPr>
              <w:spacing w:line="360" w:lineRule="auto"/>
              <w:jc w:val="left"/>
              <w:rPr>
                <w:rFonts w:eastAsia="仿宋_GB2312"/>
                <w:b/>
                <w:bCs/>
                <w:sz w:val="20"/>
              </w:rPr>
            </w:pPr>
            <w:r>
              <w:rPr>
                <w:rFonts w:eastAsia="仿宋_GB2312"/>
                <w:b/>
                <w:bCs/>
                <w:sz w:val="20"/>
              </w:rPr>
              <w:t>代表性论文专著目录：</w:t>
            </w:r>
          </w:p>
          <w:p w14:paraId="30E24390" w14:textId="77777777" w:rsidR="00A41837" w:rsidRDefault="00000000">
            <w:pPr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Wang H, Mao L, Yang M, et al. Venetoclax plus 3 + 7 daunorubicin and cytarabine chemotherapy as first-line treatment for adults with acute myeloid leukaemia: a multicentre, single-arm, phase 2 trial. Lancet Haematol. 2022;9(6):e415-e424.</w:t>
            </w:r>
          </w:p>
          <w:p w14:paraId="7346BC4F" w14:textId="77777777" w:rsidR="00A41837" w:rsidRDefault="00000000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2. Su R, Dong L, Li C, et al. R-2HG Exhibits Anti-tumor Activity by Targeting FTO/m6A/MYC/CEBPA Signaling. Cell. 2018;172(1-2):90-105.e23.</w:t>
            </w:r>
          </w:p>
          <w:p w14:paraId="7BB30A19" w14:textId="77777777" w:rsidR="00A41837" w:rsidRDefault="00000000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3</w:t>
            </w:r>
            <w:r>
              <w:rPr>
                <w:rFonts w:eastAsia="仿宋_GB2312"/>
                <w:bCs/>
                <w:sz w:val="20"/>
              </w:rPr>
              <w:t>. Jin J, Hou S, Yao Y, et al. Phosphoproteomic Characterization and Kinase Signature Predict Response to Venetoclax Plus 3+7 Chemotherapy in Acute Myeloid Leukemia. Adv Sci (Weinh). 2024;11(11):e2305885.</w:t>
            </w:r>
          </w:p>
          <w:p w14:paraId="1E975466" w14:textId="77777777" w:rsidR="00A41837" w:rsidRDefault="00000000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4</w:t>
            </w:r>
            <w:r>
              <w:rPr>
                <w:rFonts w:eastAsia="仿宋_GB2312"/>
                <w:bCs/>
                <w:sz w:val="20"/>
              </w:rPr>
              <w:t>. Wang H, Zhao D, Nguyen LX, et al. Targeting cell membrane HDM2: A novel therapeutic approach for acute myeloid leukemia. Leukemia. 2020;34(1):75-86.</w:t>
            </w:r>
          </w:p>
          <w:p w14:paraId="2E8D9583" w14:textId="77777777" w:rsidR="00A41837" w:rsidRDefault="00000000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5. Zhou Z, Zhuo N, Zhou Y, et al. Identification of the characteristics and prognostic impact of FUS::ERG and RUNX1::CBFA2T3 fusion genes in adult acute myeloid leukemia patients. Am J Hematol. 2024;99(7):1441-1444.</w:t>
            </w:r>
          </w:p>
          <w:p w14:paraId="08AD8EDF" w14:textId="77777777" w:rsidR="00A41837" w:rsidRDefault="00000000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6. Zhu S, Luo Y, Li K, et al. RIPK3 deficiency blocks R-2-hydroxyglutarate-induced necroptosis in IDH-mutated AML cells. Sci Adv. 2024;10(16):eadi1782.</w:t>
            </w:r>
          </w:p>
          <w:p w14:paraId="054EB10B" w14:textId="77777777" w:rsidR="00A41837" w:rsidRDefault="00000000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7</w:t>
            </w:r>
            <w:r>
              <w:rPr>
                <w:rFonts w:eastAsia="仿宋_GB2312"/>
                <w:bCs/>
                <w:sz w:val="20"/>
              </w:rPr>
              <w:t xml:space="preserve">. Li C, Dong L, Su R, et al. Homoharringtonine exhibits potent anti-tumor effect and modulates DNA epigenome in acute myeloid leukemia by </w:t>
            </w:r>
            <w:r>
              <w:rPr>
                <w:rFonts w:eastAsia="仿宋_GB2312"/>
                <w:bCs/>
                <w:sz w:val="20"/>
              </w:rPr>
              <w:lastRenderedPageBreak/>
              <w:t xml:space="preserve">targeting SP1/TET1/5hmC. Haematologica. 2020;105(1):148-160. </w:t>
            </w:r>
          </w:p>
          <w:p w14:paraId="36EAB708" w14:textId="77777777" w:rsidR="00A41837" w:rsidRDefault="00000000">
            <w:pPr>
              <w:snapToGrid w:val="0"/>
              <w:spacing w:line="360" w:lineRule="auto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0"/>
              </w:rPr>
              <w:t>8</w:t>
            </w:r>
            <w:r>
              <w:rPr>
                <w:rFonts w:eastAsia="仿宋_GB2312"/>
                <w:bCs/>
                <w:sz w:val="20"/>
              </w:rPr>
              <w:t>. Ling Q, Li F, Zhang X, et al. MAP4K1 functions as a tumor promotor and drug mediator for AML via modulation of DNA damage/repair system and MAPK pathway. EBioMedicine. 2021;69:103441.</w:t>
            </w:r>
          </w:p>
        </w:tc>
      </w:tr>
      <w:tr w:rsidR="00A41837" w14:paraId="7AAC2453" w14:textId="77777777">
        <w:trPr>
          <w:trHeight w:val="4436"/>
        </w:trPr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14:paraId="750900B6" w14:textId="77777777" w:rsidR="00A41837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14:paraId="756D40C6" w14:textId="77777777" w:rsidR="00A41837" w:rsidRDefault="00000000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金洁，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教授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主任医师，浙江大学医学院附属第一医院；</w:t>
            </w:r>
          </w:p>
          <w:p w14:paraId="7B5AD31A" w14:textId="77777777" w:rsidR="00A41837" w:rsidRDefault="00000000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王华锋，排名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2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，副教授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副主任医师，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浙江大学医学院附属第一医院；</w:t>
            </w:r>
          </w:p>
          <w:p w14:paraId="6661914B" w14:textId="77777777" w:rsidR="00A41837" w:rsidRDefault="00000000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佟红艳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教授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主任医师，浙江大学医学院附属第一医院；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14:paraId="480FC608" w14:textId="77777777" w:rsidR="00A41837" w:rsidRDefault="00000000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主鸿鹄，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教授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主任医师，首都医科大学附属朝阳医院；</w:t>
            </w:r>
          </w:p>
          <w:p w14:paraId="202D0E4E" w14:textId="77777777" w:rsidR="00A41837" w:rsidRDefault="00000000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李晨莹，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主治医师，浙江大学医学院附属第一医院；</w:t>
            </w:r>
          </w:p>
          <w:p w14:paraId="7B8A814D" w14:textId="77777777" w:rsidR="00A41837" w:rsidRDefault="00000000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周一乐，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主治医师，浙江大学医学院附属第一医院；</w:t>
            </w:r>
          </w:p>
          <w:p w14:paraId="0B8F654E" w14:textId="77777777" w:rsidR="00A41837" w:rsidRDefault="00000000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张仪，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主治医师，浙江大学医学院附属第一医院；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14:paraId="172E1E68" w14:textId="77777777" w:rsidR="00A41837" w:rsidRDefault="00000000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孙杰，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研究员，浙江大学医学院附属第一医院；</w:t>
            </w:r>
          </w:p>
          <w:p w14:paraId="5F5130AE" w14:textId="77777777" w:rsidR="00A41837" w:rsidRDefault="00000000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凌清，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医师，浙江大学医学院附属第一医院；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14:paraId="48C56631" w14:textId="77777777" w:rsidR="00A41837" w:rsidRDefault="00000000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朱双虹，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医师，浙江大学医学院附属第一医院；</w:t>
            </w:r>
          </w:p>
          <w:p w14:paraId="57EE3D9E" w14:textId="77777777" w:rsidR="00A41837" w:rsidRDefault="00000000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李枫林，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医师，宁波大学附属人民医院；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69BEABBD" w14:textId="77777777" w:rsidR="00A41837" w:rsidRDefault="00000000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叶文乐，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12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医师，浙江大学医学院附属第一医院；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52CF6D97" w14:textId="77777777" w:rsidR="00A41837" w:rsidRDefault="00000000">
            <w:pPr>
              <w:rPr>
                <w:bCs/>
                <w:color w:val="000000" w:themeColor="text1"/>
                <w:sz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毛莉萍，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副主任医师，浙江大学医学院附属第一医院；</w:t>
            </w:r>
          </w:p>
        </w:tc>
      </w:tr>
      <w:tr w:rsidR="00A41837" w14:paraId="1AD03B18" w14:textId="77777777">
        <w:trPr>
          <w:trHeight w:val="1986"/>
        </w:trPr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14:paraId="38FA88A0" w14:textId="77777777" w:rsidR="00A41837" w:rsidRDefault="0000000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14:paraId="7E58415B" w14:textId="77777777" w:rsidR="00A41837" w:rsidRDefault="00000000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Style w:val="title1"/>
                <w:b w:val="0"/>
                <w:color w:val="000000" w:themeColor="text1"/>
              </w:rPr>
              <w:t>浙江大学医学院附属第一医院</w:t>
            </w:r>
          </w:p>
        </w:tc>
      </w:tr>
      <w:tr w:rsidR="00A41837" w14:paraId="22A70AB4" w14:textId="77777777">
        <w:trPr>
          <w:trHeight w:val="692"/>
        </w:trPr>
        <w:tc>
          <w:tcPr>
            <w:tcW w:w="2152" w:type="dxa"/>
            <w:vAlign w:val="center"/>
          </w:tcPr>
          <w:p w14:paraId="4177C516" w14:textId="77777777" w:rsidR="00A41837" w:rsidRDefault="00000000">
            <w:pPr>
              <w:jc w:val="center"/>
              <w:rPr>
                <w:rStyle w:val="title1"/>
                <w:rFonts w:eastAsia="仿宋_GB2312"/>
                <w:b w:val="0"/>
                <w:sz w:val="28"/>
                <w:szCs w:val="28"/>
              </w:rPr>
            </w:pPr>
            <w:r>
              <w:rPr>
                <w:rStyle w:val="title1"/>
                <w:rFonts w:eastAsia="仿宋_GB2312"/>
                <w:sz w:val="28"/>
                <w:szCs w:val="28"/>
              </w:rPr>
              <w:t>提名单位</w:t>
            </w:r>
          </w:p>
        </w:tc>
        <w:tc>
          <w:tcPr>
            <w:tcW w:w="6378" w:type="dxa"/>
            <w:vAlign w:val="center"/>
          </w:tcPr>
          <w:p w14:paraId="2AD0ADC4" w14:textId="77777777" w:rsidR="00A41837" w:rsidRDefault="00000000">
            <w:pPr>
              <w:contextualSpacing/>
              <w:jc w:val="center"/>
              <w:rPr>
                <w:rStyle w:val="title1"/>
                <w:b w:val="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</w:rPr>
              <w:t>浙江大学</w:t>
            </w:r>
          </w:p>
        </w:tc>
      </w:tr>
      <w:tr w:rsidR="00A41837" w14:paraId="68E28A3F" w14:textId="77777777">
        <w:trPr>
          <w:trHeight w:val="90"/>
        </w:trPr>
        <w:tc>
          <w:tcPr>
            <w:tcW w:w="2152" w:type="dxa"/>
            <w:vAlign w:val="center"/>
          </w:tcPr>
          <w:p w14:paraId="7D524E57" w14:textId="77777777" w:rsidR="00A41837" w:rsidRDefault="00000000">
            <w:pPr>
              <w:jc w:val="center"/>
              <w:rPr>
                <w:rStyle w:val="title1"/>
                <w:rFonts w:eastAsia="仿宋_GB2312"/>
                <w:b w:val="0"/>
                <w:sz w:val="28"/>
                <w:szCs w:val="28"/>
              </w:rPr>
            </w:pPr>
            <w:r>
              <w:rPr>
                <w:rStyle w:val="title1"/>
                <w:rFonts w:eastAsia="仿宋_GB2312"/>
                <w:sz w:val="28"/>
                <w:szCs w:val="28"/>
              </w:rPr>
              <w:t>提名意见</w:t>
            </w:r>
          </w:p>
        </w:tc>
        <w:tc>
          <w:tcPr>
            <w:tcW w:w="6378" w:type="dxa"/>
            <w:vAlign w:val="center"/>
          </w:tcPr>
          <w:p w14:paraId="59944D39" w14:textId="77777777" w:rsidR="00A41837" w:rsidRDefault="00000000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本项目围绕急性髓系白血病（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）的分子机制及临床转化开展了系统深入的研究，取得了如下成果：①提出了国际首创的维奈克拉联合标准强化疗（</w:t>
            </w:r>
            <w:r>
              <w:rPr>
                <w:rFonts w:hint="eastAsia"/>
                <w:color w:val="000000" w:themeColor="text1"/>
              </w:rPr>
              <w:t>DAV</w:t>
            </w:r>
            <w:r>
              <w:rPr>
                <w:rFonts w:hint="eastAsia"/>
                <w:color w:val="000000" w:themeColor="text1"/>
              </w:rPr>
              <w:t>方案）治疗新诊断的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，显著提高了疾病的完全缓解率，延长了患者生存，并写入了国内指南。进一步基于蛋白组学分析成功发现了生物标志物用于预测患者对</w:t>
            </w:r>
            <w:r>
              <w:rPr>
                <w:rFonts w:hint="eastAsia"/>
                <w:color w:val="000000" w:themeColor="text1"/>
              </w:rPr>
              <w:t>DA</w:t>
            </w:r>
            <w:r>
              <w:rPr>
                <w:rFonts w:hint="eastAsia"/>
                <w:color w:val="000000" w:themeColor="text1"/>
              </w:rPr>
              <w:t>及</w:t>
            </w:r>
            <w:r>
              <w:rPr>
                <w:rFonts w:hint="eastAsia"/>
                <w:color w:val="000000" w:themeColor="text1"/>
              </w:rPr>
              <w:t>DAV</w:t>
            </w:r>
            <w:r>
              <w:rPr>
                <w:rFonts w:hint="eastAsia"/>
                <w:color w:val="000000" w:themeColor="text1"/>
              </w:rPr>
              <w:t>的疗效，对于</w:t>
            </w:r>
            <w:r>
              <w:rPr>
                <w:rFonts w:hint="eastAsia"/>
                <w:color w:val="000000" w:themeColor="text1"/>
              </w:rPr>
              <w:t>DAV</w:t>
            </w:r>
            <w:r>
              <w:rPr>
                <w:rFonts w:hint="eastAsia"/>
                <w:color w:val="000000" w:themeColor="text1"/>
              </w:rPr>
              <w:t>方案不能缓解的患者也提出了潜在的解决方案；②发现并验证了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治疗的新靶点及其作用机制，包括靶向细胞膜</w:t>
            </w:r>
            <w:r>
              <w:rPr>
                <w:rFonts w:hint="eastAsia"/>
                <w:color w:val="000000" w:themeColor="text1"/>
              </w:rPr>
              <w:t>HDM2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HHT</w:t>
            </w:r>
            <w:r>
              <w:rPr>
                <w:rFonts w:hint="eastAsia"/>
                <w:color w:val="000000" w:themeColor="text1"/>
              </w:rPr>
              <w:t>靶向</w:t>
            </w:r>
            <w:r>
              <w:rPr>
                <w:rFonts w:hint="eastAsia"/>
                <w:color w:val="000000" w:themeColor="text1"/>
              </w:rPr>
              <w:t>SP1/TET1/5hmC</w:t>
            </w:r>
            <w:r>
              <w:rPr>
                <w:rFonts w:hint="eastAsia"/>
                <w:color w:val="000000" w:themeColor="text1"/>
              </w:rPr>
              <w:t>轴，以及靶向</w:t>
            </w:r>
            <w:r>
              <w:rPr>
                <w:rFonts w:hint="eastAsia"/>
                <w:color w:val="000000" w:themeColor="text1"/>
              </w:rPr>
              <w:t>DNA</w:t>
            </w:r>
            <w:r>
              <w:rPr>
                <w:rFonts w:hint="eastAsia"/>
                <w:color w:val="000000" w:themeColor="text1"/>
              </w:rPr>
              <w:t>损伤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修复系统和</w:t>
            </w:r>
            <w:r>
              <w:rPr>
                <w:rFonts w:hint="eastAsia"/>
                <w:color w:val="000000" w:themeColor="text1"/>
              </w:rPr>
              <w:t>MAPK</w:t>
            </w:r>
            <w:r>
              <w:rPr>
                <w:rFonts w:hint="eastAsia"/>
                <w:color w:val="000000" w:themeColor="text1"/>
              </w:rPr>
              <w:t>通路等；③构建了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精准诊疗及预后评价系统，通过多组学生信分析及机器学习探索了靶向时代下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的新的生物学特征及预后相关因素。</w:t>
            </w:r>
          </w:p>
          <w:p w14:paraId="29637A05" w14:textId="77777777" w:rsidR="00A41837" w:rsidRDefault="00000000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本项目共发表</w:t>
            </w:r>
            <w:r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余篇</w:t>
            </w:r>
            <w:r>
              <w:rPr>
                <w:rFonts w:hint="eastAsia"/>
                <w:color w:val="000000" w:themeColor="text1"/>
              </w:rPr>
              <w:t>SCI</w:t>
            </w:r>
            <w:r>
              <w:rPr>
                <w:rFonts w:hint="eastAsia"/>
                <w:color w:val="000000" w:themeColor="text1"/>
              </w:rPr>
              <w:t>论文，其中中科院一区论文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篇，并授权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项国家发明专利，撰写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相关国内指南及专家共识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项。关键成果目前已在全国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余家医疗及科研机构推广应用，显著提升了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患者的治疗效果，构建了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精准诊疗体系及研究模型，产生了良好的社会效益和经济效益。</w:t>
            </w:r>
          </w:p>
          <w:p w14:paraId="684CE463" w14:textId="77777777" w:rsidR="00A41837" w:rsidRDefault="00000000">
            <w:pPr>
              <w:ind w:firstLineChars="200" w:firstLine="420"/>
              <w:rPr>
                <w:rStyle w:val="title1"/>
                <w:b w:val="0"/>
              </w:rPr>
            </w:pPr>
            <w:r>
              <w:rPr>
                <w:rFonts w:hint="eastAsia"/>
                <w:color w:val="000000" w:themeColor="text1"/>
              </w:rPr>
              <w:t>本项目专注于解决人民健康领域的临床难点问题，在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的分</w:t>
            </w:r>
            <w:r>
              <w:rPr>
                <w:rFonts w:hint="eastAsia"/>
                <w:color w:val="000000" w:themeColor="text1"/>
              </w:rPr>
              <w:lastRenderedPageBreak/>
              <w:t>子机制和临床转化领域进行了深入研究，取得了卓越的成果。成果丰富，展示了显著的原创性，具备广泛的临床应用与推广价值。为此，我们提名该成果为省科学技术进步奖一等奖。</w:t>
            </w:r>
          </w:p>
        </w:tc>
      </w:tr>
    </w:tbl>
    <w:p w14:paraId="55DE7C62" w14:textId="77777777" w:rsidR="00A41837" w:rsidRDefault="00A41837"/>
    <w:sectPr w:rsidR="00A41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CF42CB"/>
    <w:multiLevelType w:val="singleLevel"/>
    <w:tmpl w:val="DDCF42CB"/>
    <w:lvl w:ilvl="0">
      <w:start w:val="1"/>
      <w:numFmt w:val="decimal"/>
      <w:suff w:val="space"/>
      <w:lvlText w:val="%1."/>
      <w:lvlJc w:val="left"/>
    </w:lvl>
  </w:abstractNum>
  <w:num w:numId="1" w16cid:durableId="204625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61"/>
    <w:rsid w:val="BBFA2190"/>
    <w:rsid w:val="BF5F3376"/>
    <w:rsid w:val="DAD7B563"/>
    <w:rsid w:val="DBDB5BA9"/>
    <w:rsid w:val="EE73A3D4"/>
    <w:rsid w:val="FF46475F"/>
    <w:rsid w:val="000B1B4D"/>
    <w:rsid w:val="000E6961"/>
    <w:rsid w:val="001E76DC"/>
    <w:rsid w:val="00292D87"/>
    <w:rsid w:val="003012E8"/>
    <w:rsid w:val="00333F63"/>
    <w:rsid w:val="003411D5"/>
    <w:rsid w:val="003E6CC0"/>
    <w:rsid w:val="0045737C"/>
    <w:rsid w:val="00457DBA"/>
    <w:rsid w:val="00564B9A"/>
    <w:rsid w:val="005C1677"/>
    <w:rsid w:val="005F293E"/>
    <w:rsid w:val="0066247A"/>
    <w:rsid w:val="00697616"/>
    <w:rsid w:val="006F2EDC"/>
    <w:rsid w:val="008011DB"/>
    <w:rsid w:val="0081039D"/>
    <w:rsid w:val="00823574"/>
    <w:rsid w:val="00830F81"/>
    <w:rsid w:val="00841BF4"/>
    <w:rsid w:val="008A3E68"/>
    <w:rsid w:val="008C4DA8"/>
    <w:rsid w:val="008E1075"/>
    <w:rsid w:val="008F59B7"/>
    <w:rsid w:val="00906CAA"/>
    <w:rsid w:val="009666F9"/>
    <w:rsid w:val="009F4D0A"/>
    <w:rsid w:val="00A41837"/>
    <w:rsid w:val="00BB309F"/>
    <w:rsid w:val="00BE1F2B"/>
    <w:rsid w:val="00C15033"/>
    <w:rsid w:val="00C63921"/>
    <w:rsid w:val="00CE2BF6"/>
    <w:rsid w:val="00D94152"/>
    <w:rsid w:val="00E00F49"/>
    <w:rsid w:val="00E15578"/>
    <w:rsid w:val="00F24DD6"/>
    <w:rsid w:val="00F63595"/>
    <w:rsid w:val="00FF6FB5"/>
    <w:rsid w:val="174EA5CC"/>
    <w:rsid w:val="5FF73185"/>
    <w:rsid w:val="6EFBF7F1"/>
    <w:rsid w:val="73BA2608"/>
    <w:rsid w:val="74E5BB19"/>
    <w:rsid w:val="75B9B290"/>
    <w:rsid w:val="7FEE7B26"/>
    <w:rsid w:val="7FFE8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259C"/>
  <w15:docId w15:val="{AD7F2708-E951-4217-B2C7-24938F17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 Zhang</cp:lastModifiedBy>
  <cp:revision>22</cp:revision>
  <dcterms:created xsi:type="dcterms:W3CDTF">2024-08-10T15:25:00Z</dcterms:created>
  <dcterms:modified xsi:type="dcterms:W3CDTF">2024-08-14T06:29:00Z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1033-6.5.2.8766</vt:lpwstr>
  </property>
  <property fmtid="{D5CDD505-2E9C-101B-9397-08002B2CF9AE}" pid="3" name="ICV">
    <vt:lpwstr>642FD71B8FEBE7CEA7DBB4663A62425A_43</vt:lpwstr>
  </property>
</Properties>
</file>