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3" w:name="_GoBack"/>
      <w:bookmarkEnd w:id="3"/>
      <w:bookmarkStart w:id="0" w:name="_Toc15897"/>
      <w:bookmarkStart w:id="1" w:name="_Toc47722399"/>
      <w:bookmarkStart w:id="2" w:name="_Toc523884784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08" w:firstLineChars="190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>
      <w:pPr>
        <w:spacing w:line="50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1.专家提名成果还应公示提名专家的姓名、工作单位、职称、学科专业。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>公示信息表，确认不会修改后，请发送到科研院成果部kyc</w:t>
      </w:r>
      <w:r>
        <w:rPr>
          <w:rFonts w:eastAsia="仿宋_GB2312"/>
          <w:color w:val="FF0000"/>
          <w:sz w:val="32"/>
          <w:szCs w:val="32"/>
        </w:rPr>
        <w:t>1@zju.edu.cn</w:t>
      </w:r>
      <w:r>
        <w:rPr>
          <w:rFonts w:hint="eastAsia" w:eastAsia="仿宋_GB2312"/>
          <w:color w:val="FF0000"/>
          <w:sz w:val="32"/>
          <w:szCs w:val="32"/>
        </w:rPr>
        <w:t>邮箱。由科研院按照先后顺序进行公示。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r>
        <w:rPr>
          <w:rStyle w:val="10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0"/>
          <w:rFonts w:eastAsia="仿宋_GB2312"/>
          <w:color w:val="auto"/>
          <w:sz w:val="32"/>
          <w:szCs w:val="32"/>
        </w:rPr>
        <w:t>（单位提名）</w:t>
      </w:r>
    </w:p>
    <w:p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5"/>
        <w:tblW w:w="867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7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种植体周软硬组织愈合关键技术及产业化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1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3" w:hRule="atLeast"/>
        </w:trPr>
        <w:tc>
          <w:tcPr>
            <w:tcW w:w="2156" w:type="dxa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>
            <w:pPr>
              <w:numPr>
                <w:ilvl w:val="0"/>
                <w:numId w:val="1"/>
              </w:numPr>
              <w:spacing w:line="15" w:lineRule="auto"/>
              <w:rPr>
                <w:rFonts w:eastAsia="方正黑体简体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Tu Chenxi, Lu Huidan, Zhou Tong, Zhang Wanying, Deng Liwen, Cao Wangbei, Yang Zhijian, Wang Zhaolong, Wu Xinyu, Ding Jie, Xu Feng,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Gao Changyou</w:t>
            </w:r>
            <w:r>
              <w:rPr>
                <w:rFonts w:hint="eastAsia" w:eastAsia="方正黑体简体"/>
                <w:sz w:val="18"/>
                <w:szCs w:val="18"/>
              </w:rPr>
              <w:t>*. Promoting the healing of infected diabetic wound by an anti-bacterial and nano-enzyme-containing hydrogel with inflammation-suppressing, ROS-scavenging, oxygen and nitric oxide-generating properties. Biomaterials. 2022;286.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方正黑体简体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Yang Zhijian#,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Xi Yue#</w:t>
            </w:r>
            <w:r>
              <w:rPr>
                <w:rFonts w:hint="eastAsia" w:eastAsia="方正黑体简体"/>
                <w:sz w:val="18"/>
                <w:szCs w:val="18"/>
              </w:rPr>
              <w:t>, Bai Jun,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 xml:space="preserve"> Jiang Zhiwei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Wang Shuqin, Zhang Haolan, Dai Wei, Chen Chaozhen, Gou Zhongru,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Yang Guoli*, Gao Changyou*</w:t>
            </w:r>
            <w:r>
              <w:rPr>
                <w:rFonts w:hint="eastAsia" w:eastAsia="方正黑体简体"/>
                <w:sz w:val="18"/>
                <w:szCs w:val="18"/>
              </w:rPr>
              <w:t>. Covalent grafting of hyperbranched poly-L-lysine on Ti-based implants achieves dual functions of antibacteria and promoted osteointegration in vivo. Biomaterials. 2021;269:120534.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方正黑体简体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Zhang Deteng, Zheng Honghao, Geng Keyu, Shen Jianhua, Feng Xue, Xu Peifang, Duan Yiyuan, Li Yifan, Wu Ronghuan, Gou Zhongru,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Gao Changyou*</w:t>
            </w:r>
            <w:r>
              <w:rPr>
                <w:rFonts w:hint="eastAsia" w:eastAsia="方正黑体简体"/>
                <w:sz w:val="18"/>
                <w:szCs w:val="18"/>
              </w:rPr>
              <w:t>. Large fuzzy biodegradable polyester microspheres with dopamine deposition enhance cell adhesion and bone regeneration in vivo. Biomaterials. 2021;272:120783.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方正黑体简体"/>
                <w:sz w:val="18"/>
                <w:szCs w:val="18"/>
              </w:rPr>
            </w:pP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Jiang Zhiwei</w:t>
            </w:r>
            <w:r>
              <w:rPr>
                <w:rFonts w:hint="eastAsia" w:eastAsia="方正黑体简体"/>
                <w:sz w:val="18"/>
                <w:szCs w:val="18"/>
              </w:rPr>
              <w:t xml:space="preserve">#, Yu Ke#, Feng Yuting, Zhang Lifang,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Yang Guoli*</w:t>
            </w:r>
            <w:r>
              <w:rPr>
                <w:rFonts w:hint="eastAsia" w:eastAsia="方正黑体简体"/>
                <w:sz w:val="15"/>
                <w:szCs w:val="15"/>
              </w:rPr>
              <w:t xml:space="preserve">. </w:t>
            </w:r>
            <w:r>
              <w:rPr>
                <w:rFonts w:hint="eastAsia" w:eastAsia="方正黑体简体"/>
                <w:sz w:val="18"/>
                <w:szCs w:val="18"/>
              </w:rPr>
              <w:t>An effective light activated TiO2 nanodot platform for gene delivery within cell sheets to enhance osseointegration. Chemical Engineering Jouranl. 2020;402:126170.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方正黑体简体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Li Yongzheng#,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Zhang Jing#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Wang Chengze,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Jiang Zhiwei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Lai Kaichen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Wang Ying*, Yang Guoli*</w:t>
            </w:r>
            <w:r>
              <w:rPr>
                <w:rFonts w:hint="eastAsia" w:eastAsia="方正黑体简体"/>
                <w:sz w:val="18"/>
                <w:szCs w:val="18"/>
              </w:rPr>
              <w:t>. Porous composite hydrogels with improved MSC survival for robust epithelial sealing around implants and M2 macrophage polarization. Acta Biomaterials. 2023;157:108-123.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Yu Ke#,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Jiang Zhiwei#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Miao Xiaoyan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Yu Zhou, Du Xue,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Lai Kaichen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Wang Ying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Yang Guoli*</w:t>
            </w:r>
            <w:r>
              <w:rPr>
                <w:rFonts w:hint="eastAsia" w:eastAsia="方正黑体简体"/>
                <w:sz w:val="18"/>
                <w:szCs w:val="18"/>
              </w:rPr>
              <w:t>. circRNA422 enhanced osteogenic differentiation of bone marrow mesenchymal stem cells during early osseointegration through the SP7/LRP5 axis. Molecular Therapy. 2022;30(10):3226-3240.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方正黑体简体"/>
                <w:sz w:val="18"/>
                <w:szCs w:val="18"/>
              </w:rPr>
              <w:t xml:space="preserve">Li Yongzheng#,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Zhang Jing#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Cai Wenjin#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Wang Chengze, Yu Zhou,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Jiang Zhiwei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Lai Kaichen</w:t>
            </w:r>
            <w:r>
              <w:rPr>
                <w:rFonts w:hint="eastAsia" w:eastAsia="方正黑体简体"/>
                <w:sz w:val="18"/>
                <w:szCs w:val="18"/>
              </w:rPr>
              <w:t xml:space="preserve">, </w:t>
            </w:r>
            <w:r>
              <w:rPr>
                <w:rFonts w:hint="eastAsia" w:eastAsia="方正黑体简体"/>
                <w:b/>
                <w:bCs/>
                <w:sz w:val="18"/>
                <w:szCs w:val="18"/>
              </w:rPr>
              <w:t>Wang Ying*, Yang Guoli*</w:t>
            </w:r>
            <w:r>
              <w:rPr>
                <w:rFonts w:hint="eastAsia" w:eastAsia="方正黑体简体"/>
                <w:sz w:val="18"/>
                <w:szCs w:val="18"/>
              </w:rPr>
              <w:t>. CREB3L2 regulates hemidesmosome formation during epithelial sealing. Journal of Dental Research. 2023;102(11):1199-1209.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杨国利，黄廷贲，</w:t>
            </w:r>
            <w:r>
              <w:rPr>
                <w:rFonts w:eastAsia="仿宋"/>
                <w:sz w:val="18"/>
                <w:szCs w:val="18"/>
              </w:rPr>
              <w:t>俞舟，俞琼，</w:t>
            </w:r>
            <w:r>
              <w:rPr>
                <w:rFonts w:eastAsia="仿宋"/>
                <w:b/>
                <w:bCs/>
                <w:sz w:val="18"/>
                <w:szCs w:val="18"/>
              </w:rPr>
              <w:t>姜治伟</w:t>
            </w:r>
            <w:r>
              <w:rPr>
                <w:rFonts w:eastAsia="仿宋"/>
                <w:sz w:val="18"/>
                <w:szCs w:val="18"/>
              </w:rPr>
              <w:t>；一种具有掺钴涂层的纯钛种植体及其制备方法（授权号：CN111394766B，专利号ZL202010267458.9）2020-04-08, 1/5</w:t>
            </w:r>
          </w:p>
          <w:p>
            <w:pPr>
              <w:numPr>
                <w:ilvl w:val="0"/>
                <w:numId w:val="1"/>
              </w:numPr>
              <w:spacing w:line="15" w:lineRule="auto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高长有</w:t>
            </w:r>
            <w:r>
              <w:rPr>
                <w:rFonts w:eastAsia="仿宋"/>
                <w:sz w:val="18"/>
                <w:szCs w:val="18"/>
              </w:rPr>
              <w:t>，涂辰兮，朱旸，沈育明；一种抗组织粘附的口腔种植用钛表面修饰方法及其产品和应用（授权号：CN202210759270.5，专利号ZL202210759270.5）2023-06-06</w:t>
            </w:r>
            <w:r>
              <w:rPr>
                <w:rFonts w:hint="eastAsia" w:eastAsia="仿宋"/>
                <w:sz w:val="18"/>
                <w:szCs w:val="18"/>
              </w:rPr>
              <w:t xml:space="preserve">, </w:t>
            </w:r>
            <w:r>
              <w:rPr>
                <w:rFonts w:eastAsia="仿宋"/>
                <w:sz w:val="18"/>
                <w:szCs w:val="18"/>
              </w:rPr>
              <w:t>1/4</w:t>
            </w:r>
          </w:p>
          <w:p>
            <w:pPr>
              <w:spacing w:line="15" w:lineRule="auto"/>
              <w:rPr>
                <w:rFonts w:eastAsia="方正黑体简体"/>
                <w:sz w:val="10"/>
                <w:szCs w:val="10"/>
              </w:rPr>
            </w:pPr>
            <w:r>
              <w:rPr>
                <w:rFonts w:hint="eastAsia" w:eastAsia="仿宋"/>
                <w:sz w:val="18"/>
                <w:szCs w:val="18"/>
              </w:rPr>
              <w:t>10、</w:t>
            </w:r>
            <w:r>
              <w:rPr>
                <w:rFonts w:eastAsia="仿宋"/>
                <w:b/>
                <w:bCs/>
                <w:sz w:val="18"/>
                <w:szCs w:val="18"/>
              </w:rPr>
              <w:t>高长有</w:t>
            </w:r>
            <w:r>
              <w:rPr>
                <w:rFonts w:eastAsia="仿宋"/>
                <w:sz w:val="18"/>
                <w:szCs w:val="18"/>
              </w:rPr>
              <w:t>，沈育明，朱旸；一种超亲水口腔种植用钛表面处理方法及其产品和应用（授权号：CN202211029263.6，专利号：ZL202211029263.6）2024-06-14</w:t>
            </w:r>
            <w:r>
              <w:rPr>
                <w:rFonts w:hint="eastAsia" w:eastAsia="仿宋"/>
                <w:sz w:val="18"/>
                <w:szCs w:val="18"/>
              </w:rPr>
              <w:t xml:space="preserve">, </w:t>
            </w:r>
            <w:r>
              <w:rPr>
                <w:rFonts w:eastAsia="仿宋"/>
                <w:sz w:val="18"/>
                <w:szCs w:val="18"/>
              </w:rPr>
              <w:t>1/3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20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杨国利，</w:t>
            </w:r>
            <w:r>
              <w:rPr>
                <w:rFonts w:eastAsia="仿宋_GB2312"/>
                <w:bCs/>
                <w:sz w:val="24"/>
                <w:szCs w:val="24"/>
              </w:rPr>
              <w:t>排名1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，主任医师，浙江大学医学院附属口腔医院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高长有，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2，教授，浙江大学高分子科学与工程学系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姜治伟，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3，副主任医师，浙江大学医学院附属口腔医院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黄廷贲，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4，主治医师，浙江大学医学院附属口腔医院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王莹，排名5，副主任医师，浙江大学医学院附属口腔医院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张晶，排名6，副主任医师，浙江大学医学院附属口腔医院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  <w:lang w:eastAsia="zh-Hans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Hans"/>
              </w:rPr>
              <w:t>赖恺晨，排名</w:t>
            </w:r>
            <w:r>
              <w:rPr>
                <w:rFonts w:eastAsia="仿宋_GB2312"/>
                <w:bCs/>
                <w:sz w:val="24"/>
                <w:szCs w:val="24"/>
                <w:lang w:eastAsia="zh-Hans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主治医师，浙江大学医学院附属口腔医院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席月，</w:t>
            </w:r>
            <w:r>
              <w:rPr>
                <w:rFonts w:eastAsia="仿宋_GB2312"/>
                <w:bCs/>
                <w:sz w:val="24"/>
                <w:szCs w:val="24"/>
              </w:rPr>
              <w:t>排名8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，主治医师，浙江大学医学院附属口腔医院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蔡温晋，</w:t>
            </w:r>
            <w:r>
              <w:rPr>
                <w:rFonts w:eastAsia="仿宋_GB2312"/>
                <w:bCs/>
                <w:sz w:val="24"/>
                <w:szCs w:val="24"/>
              </w:rPr>
              <w:t>排名9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，住院医师，浙江大学医学院附属口腔医院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缪晓燕，</w:t>
            </w:r>
            <w:r>
              <w:rPr>
                <w:rFonts w:eastAsia="仿宋_GB2312"/>
                <w:bCs/>
                <w:sz w:val="24"/>
                <w:szCs w:val="24"/>
              </w:rPr>
              <w:t>排名10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，实验师，浙江大学医学院附属口腔医院</w:t>
            </w:r>
          </w:p>
          <w:p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徐仲棉，排名1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，工程师，浙江广慈医疗器械有限公司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9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浙江大学医学院附属口腔医院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浙江大学高分子科学与工程学系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3.单位名称：</w:t>
            </w:r>
            <w:r>
              <w:rPr>
                <w:rFonts w:hint="eastAsia" w:eastAsia="仿宋_GB2312"/>
                <w:bCs/>
                <w:sz w:val="24"/>
                <w:szCs w:val="24"/>
                <w:lang w:eastAsia="zh-Hans"/>
              </w:rPr>
              <w:t>浙江大学滨江研究院</w:t>
            </w:r>
          </w:p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4.</w:t>
            </w:r>
            <w:r>
              <w:rPr>
                <w:rFonts w:hint="eastAsia" w:eastAsia="仿宋_GB2312"/>
                <w:bCs/>
                <w:sz w:val="24"/>
                <w:szCs w:val="24"/>
                <w:lang w:eastAsia="zh-Hans"/>
              </w:rPr>
              <w:t>单位名称：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浙江广慈医疗器械有限公司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6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  <w:p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4" w:hRule="atLeast"/>
        </w:trPr>
        <w:tc>
          <w:tcPr>
            <w:tcW w:w="2156" w:type="dxa"/>
            <w:vAlign w:val="center"/>
          </w:tcPr>
          <w:p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>
            <w:pPr>
              <w:spacing w:line="15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重塑纯钛种植体周软硬组织是确保种植体成功并长期稳定的关键。然而，纯钛种植体周软硬组织愈合的生物学过程的分子调控网络尚不明确</w:t>
            </w:r>
            <w:r>
              <w:rPr>
                <w:rFonts w:hint="eastAsia" w:eastAsia="仿宋"/>
                <w:sz w:val="24"/>
                <w:szCs w:val="24"/>
                <w:lang w:eastAsia="zh-Hans"/>
              </w:rPr>
              <w:t>，且</w:t>
            </w:r>
            <w:r>
              <w:rPr>
                <w:rFonts w:hint="eastAsia" w:eastAsia="仿宋"/>
                <w:sz w:val="24"/>
                <w:szCs w:val="24"/>
              </w:rPr>
              <w:t>目前国内种植体周软硬组织修复材料超过70%的市场份额由国外进口产品占据等问题。</w:t>
            </w:r>
          </w:p>
          <w:p>
            <w:pPr>
              <w:spacing w:line="15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项目依托国家自然科学基金项目、浙江省重点研发项目等课题，联合浙江大学医学院附属口腔医院、浙江大学高分子科学与工程学系、</w:t>
            </w:r>
            <w:r>
              <w:rPr>
                <w:rFonts w:hint="eastAsia" w:eastAsia="仿宋_GB2312"/>
                <w:bCs/>
                <w:sz w:val="24"/>
                <w:szCs w:val="24"/>
                <w:lang w:eastAsia="zh-Hans"/>
              </w:rPr>
              <w:t>浙江大学滨江研究院、</w:t>
            </w:r>
            <w:r>
              <w:rPr>
                <w:rFonts w:hint="eastAsia" w:eastAsia="仿宋"/>
                <w:sz w:val="24"/>
                <w:szCs w:val="24"/>
              </w:rPr>
              <w:t>浙江广慈医疗器械有限公司，在种植体表面改性创新研究、促“种植体-牙龈”生物学封闭机理和促“种植体-骨”结合界面机理等研究领域取得系列重要原创性成果。首次证实了LRP5以LRP5/β-catenin/Runx2反馈环路调控纯钛种植体骨结合，并发现circRNA422通过SP7/LRP5轴、Nell-1通过Runx2/SP7轴增强BMSCs在纯钛种植体骨结合中的成骨分化。构建了新型的种植体表面技术并拥有相关专利，研发了国产ZDI种植系统并已实现临床应用。探究了种植体表面改性对种植体周组织愈合的影响及相关机制，并创新性地构建了兼具抗菌及促成骨双重功能的HBPL新型种植体并处于产品转化阶段，研发具有自主知识产权的国产种植系统。</w:t>
            </w:r>
          </w:p>
          <w:p>
            <w:pPr>
              <w:spacing w:line="15" w:lineRule="auto"/>
              <w:ind w:firstLine="480" w:firstLineChars="20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研究成果入选为国家科技部“火炬计划产业化示范项目”，ZDI种植体在多家省级、地市级医院以及民营口腔医院推广使用，提升了国产品牌竞争力，促进产业化，服务经济社会发展，并助力解决老百姓“看病难、看病贵”的难题。经审查，该项目符合申报要求，同意提名2023年度省科学技术进步奖一等奖。</w:t>
            </w:r>
          </w:p>
        </w:tc>
      </w:tr>
    </w:tbl>
    <w:p>
      <w:pPr>
        <w:pStyle w:val="12"/>
        <w:spacing w:line="240" w:lineRule="auto"/>
        <w:ind w:firstLine="0" w:firstLineChars="0"/>
        <w:jc w:val="center"/>
        <w:rPr>
          <w:rFonts w:ascii="Times New Roman" w:eastAsia="方正黑体简体"/>
          <w:sz w:val="32"/>
        </w:rPr>
      </w:pPr>
    </w:p>
    <w:p>
      <w:pPr>
        <w:pStyle w:val="12"/>
        <w:spacing w:line="240" w:lineRule="auto"/>
        <w:ind w:firstLine="0" w:firstLineChars="0"/>
        <w:jc w:val="center"/>
        <w:rPr>
          <w:rFonts w:ascii="Times New Roman" w:eastAsia="方正黑体简体"/>
          <w:sz w:val="32"/>
        </w:rPr>
      </w:pPr>
    </w:p>
    <w:p>
      <w:pPr>
        <w:pStyle w:val="12"/>
        <w:spacing w:line="240" w:lineRule="auto"/>
        <w:ind w:firstLine="0" w:firstLineChars="0"/>
        <w:jc w:val="center"/>
        <w:rPr>
          <w:rFonts w:ascii="Times New Roman" w:eastAsia="方正黑体简体"/>
          <w:sz w:val="32"/>
        </w:rPr>
      </w:pPr>
    </w:p>
    <w:p>
      <w:pPr>
        <w:pStyle w:val="12"/>
        <w:spacing w:line="240" w:lineRule="auto"/>
        <w:ind w:firstLine="0" w:firstLineChars="0"/>
        <w:rPr>
          <w:rFonts w:ascii="Times New Roman" w:eastAsia="方正黑体简体"/>
          <w:sz w:val="32"/>
        </w:rPr>
      </w:pPr>
    </w:p>
    <w:p>
      <w:pPr>
        <w:pStyle w:val="12"/>
        <w:spacing w:line="240" w:lineRule="auto"/>
        <w:ind w:firstLine="0" w:firstLineChars="0"/>
        <w:jc w:val="center"/>
        <w:rPr>
          <w:rFonts w:ascii="Times New Roman"/>
          <w:b/>
          <w:sz w:val="28"/>
        </w:rPr>
      </w:pPr>
      <w:r>
        <w:rPr>
          <w:rFonts w:ascii="Times New Roman" w:eastAsia="方正黑体简体"/>
          <w:sz w:val="32"/>
        </w:rPr>
        <w:t>被提名人论文专著发表情况</w:t>
      </w:r>
    </w:p>
    <w:tbl>
      <w:tblPr>
        <w:tblStyle w:val="6"/>
        <w:tblW w:w="96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82"/>
        <w:gridCol w:w="1016"/>
        <w:gridCol w:w="1186"/>
        <w:gridCol w:w="879"/>
        <w:gridCol w:w="887"/>
        <w:gridCol w:w="1195"/>
        <w:gridCol w:w="886"/>
        <w:gridCol w:w="9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834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序号</w:t>
            </w:r>
          </w:p>
        </w:tc>
        <w:tc>
          <w:tcPr>
            <w:tcW w:w="1782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论文专著名称</w:t>
            </w:r>
          </w:p>
        </w:tc>
        <w:tc>
          <w:tcPr>
            <w:tcW w:w="101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年卷页码（xx年xx卷xx页）</w:t>
            </w:r>
          </w:p>
        </w:tc>
        <w:tc>
          <w:tcPr>
            <w:tcW w:w="118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发表时间（xx年xx月xx日）</w:t>
            </w:r>
          </w:p>
        </w:tc>
        <w:tc>
          <w:tcPr>
            <w:tcW w:w="879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通讯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作者</w:t>
            </w:r>
          </w:p>
        </w:tc>
        <w:tc>
          <w:tcPr>
            <w:tcW w:w="887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第一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作者</w:t>
            </w:r>
          </w:p>
        </w:tc>
        <w:tc>
          <w:tcPr>
            <w:tcW w:w="1195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所有作者（排序）</w:t>
            </w:r>
          </w:p>
        </w:tc>
        <w:tc>
          <w:tcPr>
            <w:tcW w:w="88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第几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作者</w:t>
            </w:r>
          </w:p>
        </w:tc>
        <w:tc>
          <w:tcPr>
            <w:tcW w:w="96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他引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总次数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Promoting the healing of infected diabetic wound by an anti-bacterial and nano-enzyme-containing hydrogel with inflammation-suppressing, ROS-scavenging, oxygen and nitric oxide-generating properties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2022年286卷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2022年6月29日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高长有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涂辰兮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涂辰兮，卢惠丹，周同，张婉莹，邓利文，曹望北，杨志坚，王兆龙，吴欣雨，丁洁，徐峰，高长有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通讯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Covalent grafting of hyperbranched poly-L-lysine on Ti-based implants achieves dual functions of antibacteria and promoted osteointegration in vivo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2021年269卷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2021年02月03日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杨国利、高长</w:t>
            </w:r>
            <w:r>
              <w:rPr>
                <w:rFonts w:hint="eastAsia" w:ascii="Times New Roman"/>
                <w:sz w:val="18"/>
                <w:szCs w:val="18"/>
              </w:rPr>
              <w:t>有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杨志坚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杨志坚、席月、白俊、姜治伟、王淑琴、张昊岚、戴薇、陈朝真、苟中入、杨国利、高长</w:t>
            </w:r>
            <w:r>
              <w:rPr>
                <w:rFonts w:hint="eastAsia" w:ascii="Times New Roman"/>
                <w:sz w:val="18"/>
                <w:szCs w:val="18"/>
              </w:rPr>
              <w:t>有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副通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Large fuzzy biodegradable polyester microspheres with dopamine deposition enhance cell adhesion and bone regeneration in vivo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2021年272卷120783页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2021年03月24日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高长</w:t>
            </w:r>
            <w:r>
              <w:rPr>
                <w:rFonts w:hint="eastAsia" w:ascii="Times New Roman"/>
                <w:sz w:val="18"/>
                <w:szCs w:val="18"/>
              </w:rPr>
              <w:t>有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张德腾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张德腾、郑鸿浩、耿可煜、沈建华、冯雪、徐佩芳、段翼远、李一凡、吴荣寰、苟中入、高长有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通讯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4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An effective light activated TiO2 nanodot platform for gene delivery within cell sheets to enhance osseointegration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2020年402卷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2020年10月12日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杨国利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姜治伟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姜治伟、於科、冯煜婷、张丽芳、杨国利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通讯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5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Porous composite hydrogels with improved MSC survival for robust epithelial sealing around implants and M2 macrophage polarization.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2023年157卷108-123页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2023年2月25日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杨国利、王莹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李勇正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李勇正、张晶、王成泽、姜治伟、赖恺晨、王莹、杨国利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主通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6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circRNA422 enhanced osteogenic differentiation of bone marrow mesenchymal stem cells during early osseointegration through the SP7/LRP5 axis</w:t>
            </w:r>
            <w:r>
              <w:rPr>
                <w:rFonts w:hint="eastAsia" w:ascii="Times New Roman"/>
                <w:sz w:val="18"/>
                <w:szCs w:val="18"/>
              </w:rPr>
              <w:t>.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2022年10卷3226-3240页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2022年12月14日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杨国利、王莹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於科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於科、姜治伟、缪晓燕、俞舟、杜雪、赖恺晨、王莹、杨国利</w:t>
            </w:r>
          </w:p>
          <w:p>
            <w:pPr>
              <w:spacing w:line="15" w:lineRule="auto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主通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134" w:hRule="atLeast"/>
          <w:jc w:val="center"/>
        </w:trPr>
        <w:tc>
          <w:tcPr>
            <w:tcW w:w="834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7</w:t>
            </w:r>
          </w:p>
        </w:tc>
        <w:tc>
          <w:tcPr>
            <w:tcW w:w="1782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CREB3L2 Regulates Hemidesmosome Formation during Epithelial Sealing. </w:t>
            </w:r>
          </w:p>
        </w:tc>
        <w:tc>
          <w:tcPr>
            <w:tcW w:w="101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2023年11卷1199-1209页</w:t>
            </w:r>
          </w:p>
        </w:tc>
        <w:tc>
          <w:tcPr>
            <w:tcW w:w="11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2023年8月17日</w:t>
            </w:r>
          </w:p>
        </w:tc>
        <w:tc>
          <w:tcPr>
            <w:tcW w:w="879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杨国利、王莹</w:t>
            </w:r>
          </w:p>
        </w:tc>
        <w:tc>
          <w:tcPr>
            <w:tcW w:w="887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李勇正</w:t>
            </w:r>
          </w:p>
        </w:tc>
        <w:tc>
          <w:tcPr>
            <w:tcW w:w="1195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李勇正、张晶、蔡温晋、王成泽、俞舟、姜治伟、赖恺晨、王莹、杨国利</w:t>
            </w:r>
          </w:p>
        </w:tc>
        <w:tc>
          <w:tcPr>
            <w:tcW w:w="886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主通</w:t>
            </w:r>
          </w:p>
        </w:tc>
        <w:tc>
          <w:tcPr>
            <w:tcW w:w="963" w:type="dxa"/>
          </w:tcPr>
          <w:p>
            <w:pPr>
              <w:pStyle w:val="12"/>
              <w:spacing w:line="15" w:lineRule="auto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1</w:t>
            </w:r>
          </w:p>
        </w:tc>
      </w:tr>
    </w:tbl>
    <w:p>
      <w:pPr>
        <w:pStyle w:val="12"/>
        <w:spacing w:line="240" w:lineRule="auto"/>
        <w:ind w:firstLine="0" w:firstLineChars="0"/>
        <w:jc w:val="center"/>
        <w:rPr>
          <w:rFonts w:ascii="Times New Roman" w:eastAsia="方正黑体简体"/>
          <w:color w:val="0000FF"/>
          <w:sz w:val="32"/>
        </w:rPr>
      </w:pPr>
    </w:p>
    <w:p>
      <w:pPr>
        <w:rPr>
          <w:rFonts w:eastAsia="方正黑体简体"/>
          <w:color w:val="0000FF"/>
          <w:sz w:val="32"/>
        </w:rPr>
      </w:pPr>
    </w:p>
    <w:p>
      <w:pPr>
        <w:rPr>
          <w:rFonts w:eastAsia="方正黑体简体"/>
          <w:color w:val="0000FF"/>
          <w:sz w:val="32"/>
        </w:rPr>
      </w:pPr>
    </w:p>
    <w:p>
      <w:pPr>
        <w:rPr>
          <w:rFonts w:eastAsia="方正黑体简体"/>
          <w:color w:val="0000FF"/>
          <w:sz w:val="32"/>
        </w:rPr>
      </w:pPr>
    </w:p>
    <w:p>
      <w:pPr>
        <w:pStyle w:val="12"/>
        <w:spacing w:line="240" w:lineRule="auto"/>
        <w:ind w:firstLine="0" w:firstLineChars="0"/>
        <w:jc w:val="center"/>
        <w:rPr>
          <w:rFonts w:ascii="Times New Roman"/>
          <w:b/>
        </w:rPr>
      </w:pPr>
      <w:r>
        <w:rPr>
          <w:rFonts w:ascii="Times New Roman" w:eastAsia="方正黑体简体"/>
          <w:sz w:val="32"/>
        </w:rPr>
        <w:t>主要知识产权</w:t>
      </w:r>
      <w:r>
        <w:rPr>
          <w:rFonts w:hint="eastAsia" w:ascii="Times New Roman" w:eastAsia="方正黑体简体"/>
          <w:sz w:val="32"/>
        </w:rPr>
        <w:t>和标准规范</w:t>
      </w:r>
      <w:r>
        <w:rPr>
          <w:rFonts w:ascii="Times New Roman" w:eastAsia="方正黑体简体"/>
          <w:sz w:val="32"/>
        </w:rPr>
        <w:t>目录</w:t>
      </w:r>
    </w:p>
    <w:tbl>
      <w:tblPr>
        <w:tblStyle w:val="5"/>
        <w:tblW w:w="9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60"/>
        <w:gridCol w:w="1388"/>
        <w:gridCol w:w="1087"/>
        <w:gridCol w:w="1260"/>
        <w:gridCol w:w="963"/>
        <w:gridCol w:w="1036"/>
        <w:gridCol w:w="988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6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知识产权</w:t>
            </w:r>
            <w:r>
              <w:rPr>
                <w:rFonts w:hint="eastAsia" w:ascii="Times New Roman" w:eastAsia="仿宋_GB2312"/>
                <w:szCs w:val="24"/>
              </w:rPr>
              <w:t>（标准规范）</w:t>
            </w:r>
            <w:r>
              <w:rPr>
                <w:rFonts w:ascii="Times New Roman" w:eastAsia="仿宋_GB2312"/>
                <w:szCs w:val="24"/>
              </w:rPr>
              <w:t>类别</w:t>
            </w:r>
          </w:p>
        </w:tc>
        <w:tc>
          <w:tcPr>
            <w:tcW w:w="1388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知识产权</w:t>
            </w:r>
            <w:r>
              <w:rPr>
                <w:rFonts w:hint="eastAsia" w:ascii="Times New Roman" w:eastAsia="仿宋_GB2312"/>
                <w:szCs w:val="24"/>
              </w:rPr>
              <w:t>（标准规范）</w:t>
            </w:r>
            <w:r>
              <w:rPr>
                <w:rFonts w:ascii="Times New Roman" w:eastAsia="仿宋_GB2312"/>
                <w:szCs w:val="24"/>
              </w:rPr>
              <w:t>具体名称</w:t>
            </w:r>
          </w:p>
        </w:tc>
        <w:tc>
          <w:tcPr>
            <w:tcW w:w="1087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国家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（地区）</w:t>
            </w:r>
          </w:p>
        </w:tc>
        <w:tc>
          <w:tcPr>
            <w:tcW w:w="1260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授权号</w:t>
            </w:r>
            <w:r>
              <w:rPr>
                <w:rFonts w:hint="eastAsia" w:ascii="Times New Roman" w:eastAsia="仿宋_GB2312"/>
                <w:szCs w:val="24"/>
              </w:rPr>
              <w:t>（标准规范编号）</w:t>
            </w:r>
          </w:p>
        </w:tc>
        <w:tc>
          <w:tcPr>
            <w:tcW w:w="96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授权</w:t>
            </w:r>
            <w:r>
              <w:rPr>
                <w:rFonts w:hint="eastAsia" w:ascii="Times New Roman" w:eastAsia="仿宋_GB2312"/>
                <w:szCs w:val="24"/>
              </w:rPr>
              <w:t>（标准规范发布）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日期</w:t>
            </w:r>
          </w:p>
        </w:tc>
        <w:tc>
          <w:tcPr>
            <w:tcW w:w="1036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证书</w:t>
            </w:r>
          </w:p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编号</w:t>
            </w:r>
            <w:r>
              <w:rPr>
                <w:rFonts w:hint="eastAsia" w:ascii="Times New Roman" w:eastAsia="仿宋_GB2312"/>
                <w:szCs w:val="24"/>
              </w:rPr>
              <w:t>（标准规范批准发布部门）</w:t>
            </w:r>
          </w:p>
        </w:tc>
        <w:tc>
          <w:tcPr>
            <w:tcW w:w="988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权利人</w:t>
            </w:r>
            <w:r>
              <w:rPr>
                <w:rFonts w:hint="eastAsia" w:ascii="Times New Roman" w:eastAsia="仿宋_GB2312"/>
                <w:szCs w:val="24"/>
              </w:rPr>
              <w:t>（标准规范起草单位）</w:t>
            </w:r>
          </w:p>
        </w:tc>
        <w:tc>
          <w:tcPr>
            <w:tcW w:w="993" w:type="dxa"/>
            <w:vAlign w:val="center"/>
          </w:tcPr>
          <w:p>
            <w:pPr>
              <w:pStyle w:val="4"/>
              <w:spacing w:line="390" w:lineRule="exact"/>
              <w:ind w:firstLine="0" w:firstLineChars="0"/>
              <w:jc w:val="center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发明人</w:t>
            </w:r>
            <w:r>
              <w:rPr>
                <w:rFonts w:hint="eastAsia" w:ascii="Times New Roman" w:eastAsia="仿宋_GB2312"/>
                <w:szCs w:val="24"/>
              </w:rPr>
              <w:t>（标准规范起草人）</w:t>
            </w:r>
          </w:p>
        </w:tc>
      </w:tr>
      <w:tr>
        <w:trPr>
          <w:trHeight w:val="544" w:hRule="atLeast"/>
          <w:jc w:val="center"/>
        </w:trPr>
        <w:tc>
          <w:tcPr>
            <w:tcW w:w="6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专利</w:t>
            </w:r>
          </w:p>
        </w:tc>
        <w:tc>
          <w:tcPr>
            <w:tcW w:w="13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一种具有掺钴涂层的纯钛种植体及其制备方法</w:t>
            </w:r>
          </w:p>
        </w:tc>
        <w:tc>
          <w:tcPr>
            <w:tcW w:w="1087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CN111394766B</w:t>
            </w:r>
          </w:p>
        </w:tc>
        <w:tc>
          <w:tcPr>
            <w:tcW w:w="96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2020.4.8</w:t>
            </w:r>
          </w:p>
        </w:tc>
        <w:tc>
          <w:tcPr>
            <w:tcW w:w="1036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ZL202010267458.9</w:t>
            </w:r>
          </w:p>
        </w:tc>
        <w:tc>
          <w:tcPr>
            <w:tcW w:w="9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浙江大学医学院附属口腔医院</w:t>
            </w:r>
          </w:p>
        </w:tc>
        <w:tc>
          <w:tcPr>
            <w:tcW w:w="99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杨国利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6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专利</w:t>
            </w:r>
          </w:p>
        </w:tc>
        <w:tc>
          <w:tcPr>
            <w:tcW w:w="13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一种抗组织粘附的口腔种植用钛表面修饰方法及其产品和应用</w:t>
            </w:r>
          </w:p>
        </w:tc>
        <w:tc>
          <w:tcPr>
            <w:tcW w:w="1087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CN202210759270.5</w:t>
            </w:r>
          </w:p>
        </w:tc>
        <w:tc>
          <w:tcPr>
            <w:tcW w:w="96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2023.6.6</w:t>
            </w:r>
          </w:p>
        </w:tc>
        <w:tc>
          <w:tcPr>
            <w:tcW w:w="1036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ZL202210759270.5</w:t>
            </w:r>
          </w:p>
        </w:tc>
        <w:tc>
          <w:tcPr>
            <w:tcW w:w="9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浙江大学滨江研究院</w:t>
            </w:r>
          </w:p>
        </w:tc>
        <w:tc>
          <w:tcPr>
            <w:tcW w:w="99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高长有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  <w:jc w:val="center"/>
        </w:trPr>
        <w:tc>
          <w:tcPr>
            <w:tcW w:w="6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专利</w:t>
            </w:r>
          </w:p>
        </w:tc>
        <w:tc>
          <w:tcPr>
            <w:tcW w:w="13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一种超亲水口腔种植用钛表面处理方法及其产品和应用</w:t>
            </w:r>
          </w:p>
        </w:tc>
        <w:tc>
          <w:tcPr>
            <w:tcW w:w="1087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中国</w:t>
            </w:r>
          </w:p>
        </w:tc>
        <w:tc>
          <w:tcPr>
            <w:tcW w:w="1260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CN202211029263.6</w:t>
            </w:r>
          </w:p>
        </w:tc>
        <w:tc>
          <w:tcPr>
            <w:tcW w:w="96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2024.6.14</w:t>
            </w:r>
          </w:p>
        </w:tc>
        <w:tc>
          <w:tcPr>
            <w:tcW w:w="1036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ZL202211029263.6</w:t>
            </w:r>
          </w:p>
        </w:tc>
        <w:tc>
          <w:tcPr>
            <w:tcW w:w="988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浙江大学滨江研究院</w:t>
            </w:r>
          </w:p>
        </w:tc>
        <w:tc>
          <w:tcPr>
            <w:tcW w:w="993" w:type="dxa"/>
          </w:tcPr>
          <w:p>
            <w:pPr>
              <w:pStyle w:val="12"/>
              <w:spacing w:line="390" w:lineRule="exact"/>
              <w:ind w:firstLine="0" w:firstLineChars="0"/>
              <w:rPr>
                <w:rFonts w:ascii="Times New Roman"/>
                <w:sz w:val="18"/>
                <w:szCs w:val="18"/>
              </w:rPr>
            </w:pPr>
            <w:r>
              <w:rPr>
                <w:rFonts w:hint="eastAsia" w:ascii="Times New Roman"/>
                <w:sz w:val="18"/>
                <w:szCs w:val="18"/>
              </w:rPr>
              <w:t>高长有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89DBB2"/>
    <w:multiLevelType w:val="singleLevel"/>
    <w:tmpl w:val="DA89DB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WI3YjA3NDcxMzgyZWE1YmExYTk2Yzc1YzMwMT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 Biomateriali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f090sesa29fqeee28x9px62eavrp22adr5&quot;&gt;My EndNote Library&lt;record-ids&gt;&lt;item&gt;104&lt;/item&gt;&lt;/record-ids&gt;&lt;/item&gt;&lt;/Libraries&gt;"/>
  </w:docVars>
  <w:rsids>
    <w:rsidRoot w:val="007A378A"/>
    <w:rsid w:val="00133845"/>
    <w:rsid w:val="00176FB3"/>
    <w:rsid w:val="00181193"/>
    <w:rsid w:val="003844B4"/>
    <w:rsid w:val="004D3794"/>
    <w:rsid w:val="005058C0"/>
    <w:rsid w:val="005956FF"/>
    <w:rsid w:val="00653BB3"/>
    <w:rsid w:val="006E1A36"/>
    <w:rsid w:val="007A378A"/>
    <w:rsid w:val="007D5163"/>
    <w:rsid w:val="00821DF8"/>
    <w:rsid w:val="008B76F6"/>
    <w:rsid w:val="008F0AAB"/>
    <w:rsid w:val="008F6EB2"/>
    <w:rsid w:val="00A2366E"/>
    <w:rsid w:val="00B23B96"/>
    <w:rsid w:val="00B272D7"/>
    <w:rsid w:val="00C03F73"/>
    <w:rsid w:val="00CC64D3"/>
    <w:rsid w:val="00D857D1"/>
    <w:rsid w:val="00E3082F"/>
    <w:rsid w:val="00E94DB8"/>
    <w:rsid w:val="03411FB9"/>
    <w:rsid w:val="07287ACA"/>
    <w:rsid w:val="09597D53"/>
    <w:rsid w:val="0B1313B8"/>
    <w:rsid w:val="0B521208"/>
    <w:rsid w:val="12C01C02"/>
    <w:rsid w:val="148B36A2"/>
    <w:rsid w:val="165E578B"/>
    <w:rsid w:val="1B14408C"/>
    <w:rsid w:val="1CAB26B7"/>
    <w:rsid w:val="1F553D43"/>
    <w:rsid w:val="24942F2D"/>
    <w:rsid w:val="26234789"/>
    <w:rsid w:val="29B6075C"/>
    <w:rsid w:val="2A0F3860"/>
    <w:rsid w:val="2D920278"/>
    <w:rsid w:val="331111E6"/>
    <w:rsid w:val="35F5085E"/>
    <w:rsid w:val="36C95F72"/>
    <w:rsid w:val="36EF52AD"/>
    <w:rsid w:val="395F496C"/>
    <w:rsid w:val="39DD5A6B"/>
    <w:rsid w:val="3B140CCD"/>
    <w:rsid w:val="3C853D67"/>
    <w:rsid w:val="3E6076C0"/>
    <w:rsid w:val="3F1B2679"/>
    <w:rsid w:val="41D57ADD"/>
    <w:rsid w:val="482B6D71"/>
    <w:rsid w:val="487C2EE0"/>
    <w:rsid w:val="4A1026B5"/>
    <w:rsid w:val="4B9E2841"/>
    <w:rsid w:val="4CDC1453"/>
    <w:rsid w:val="541A6303"/>
    <w:rsid w:val="58004F55"/>
    <w:rsid w:val="5A0D69E5"/>
    <w:rsid w:val="5CE522CD"/>
    <w:rsid w:val="5FEFAF23"/>
    <w:rsid w:val="61036E98"/>
    <w:rsid w:val="62D80472"/>
    <w:rsid w:val="63EF4167"/>
    <w:rsid w:val="66693E1B"/>
    <w:rsid w:val="670459B5"/>
    <w:rsid w:val="6B122D3D"/>
    <w:rsid w:val="6B5A6FCB"/>
    <w:rsid w:val="703603A6"/>
    <w:rsid w:val="71AB4D77"/>
    <w:rsid w:val="72CE5C83"/>
    <w:rsid w:val="74D5418A"/>
    <w:rsid w:val="7712568E"/>
    <w:rsid w:val="7AEC6F41"/>
    <w:rsid w:val="7BEA7F7E"/>
    <w:rsid w:val="7FE34706"/>
    <w:rsid w:val="F3BF1D86"/>
    <w:rsid w:val="FFE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widowControl/>
      <w:jc w:val="left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文字 字符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1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13">
    <w:name w:val="EndNote Bibliography Title"/>
    <w:qFormat/>
    <w:uiPriority w:val="0"/>
    <w:pPr>
      <w:jc w:val="center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customStyle="1" w:styleId="14">
    <w:name w:val="EndNote Bibliography"/>
    <w:qFormat/>
    <w:uiPriority w:val="0"/>
    <w:pPr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848</Words>
  <Characters>4837</Characters>
  <Lines>40</Lines>
  <Paragraphs>11</Paragraphs>
  <TotalTime>3</TotalTime>
  <ScaleCrop>false</ScaleCrop>
  <LinksUpToDate>false</LinksUpToDate>
  <CharactersWithSpaces>5674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2024-08-11T13:44:00Z</dcterms:created>
  <dc:creator>ZJU</dc:creator>
  <cp:lastModifiedBy>白炽</cp:lastModifiedBy>
  <dcterms:modified xsi:type="dcterms:W3CDTF">2024-08-12T17:48:00Z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440311F637894D5B50DAB96601FA909D</vt:lpwstr>
  </property>
</Properties>
</file>