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66D92">
      <w:pPr>
        <w:jc w:val="center"/>
        <w:rPr>
          <w:rStyle w:val="8"/>
          <w:rFonts w:eastAsia="方正小标宋简体"/>
          <w:bCs w:val="0"/>
          <w:color w:val="auto"/>
          <w:sz w:val="36"/>
          <w:szCs w:val="36"/>
        </w:rPr>
      </w:pPr>
      <w:r>
        <w:rPr>
          <w:rStyle w:val="8"/>
          <w:rFonts w:hint="eastAsia" w:ascii="微软雅黑" w:hAnsi="微软雅黑" w:eastAsia="微软雅黑" w:cs="微软雅黑"/>
          <w:color w:val="auto"/>
          <w:sz w:val="36"/>
          <w:szCs w:val="36"/>
        </w:rPr>
        <w:t>浙江省科学技术奖公示信息表</w:t>
      </w:r>
      <w:r>
        <w:rPr>
          <w:rStyle w:val="8"/>
          <w:rFonts w:eastAsia="仿宋_GB2312"/>
          <w:color w:val="auto"/>
          <w:sz w:val="32"/>
          <w:szCs w:val="32"/>
        </w:rPr>
        <w:t>（单位提名）</w:t>
      </w:r>
    </w:p>
    <w:p w14:paraId="2F887A66">
      <w:pPr>
        <w:spacing w:line="440" w:lineRule="exact"/>
        <w:rPr>
          <w:rFonts w:eastAsia="仿宋_GB2312"/>
          <w:sz w:val="28"/>
          <w:szCs w:val="24"/>
        </w:rPr>
      </w:pPr>
      <w:r>
        <w:rPr>
          <w:rFonts w:eastAsia="仿宋_GB2312"/>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07D5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389AC2E0">
            <w:pPr>
              <w:jc w:val="center"/>
              <w:rPr>
                <w:rStyle w:val="8"/>
                <w:rFonts w:eastAsia="仿宋_GB2312"/>
                <w:b w:val="0"/>
                <w:color w:val="auto"/>
                <w:sz w:val="28"/>
              </w:rPr>
            </w:pPr>
            <w:r>
              <w:rPr>
                <w:rStyle w:val="8"/>
                <w:rFonts w:eastAsia="仿宋_GB2312"/>
                <w:color w:val="auto"/>
                <w:sz w:val="28"/>
              </w:rPr>
              <w:t>成果名称</w:t>
            </w:r>
          </w:p>
        </w:tc>
        <w:tc>
          <w:tcPr>
            <w:tcW w:w="6237" w:type="dxa"/>
            <w:vAlign w:val="center"/>
          </w:tcPr>
          <w:p w14:paraId="2F2D7CD8">
            <w:pPr>
              <w:jc w:val="center"/>
              <w:rPr>
                <w:rStyle w:val="8"/>
                <w:rFonts w:eastAsia="仿宋_GB2312"/>
                <w:b w:val="0"/>
                <w:color w:val="auto"/>
                <w:sz w:val="28"/>
              </w:rPr>
            </w:pPr>
            <w:r>
              <w:rPr>
                <w:rStyle w:val="8"/>
                <w:rFonts w:hint="eastAsia" w:eastAsia="仿宋_GB2312"/>
                <w:b w:val="0"/>
                <w:color w:val="auto"/>
                <w:sz w:val="28"/>
              </w:rPr>
              <w:t>凝血实验室指标的稳定性及临床应用</w:t>
            </w:r>
          </w:p>
        </w:tc>
      </w:tr>
      <w:tr w14:paraId="0BA1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66564380">
            <w:pPr>
              <w:jc w:val="center"/>
              <w:rPr>
                <w:rStyle w:val="8"/>
                <w:rFonts w:eastAsia="仿宋_GB2312"/>
                <w:b w:val="0"/>
                <w:color w:val="auto"/>
                <w:sz w:val="28"/>
              </w:rPr>
            </w:pPr>
            <w:r>
              <w:rPr>
                <w:rStyle w:val="8"/>
                <w:rFonts w:eastAsia="仿宋_GB2312"/>
                <w:color w:val="auto"/>
                <w:sz w:val="28"/>
              </w:rPr>
              <w:t>提名等级</w:t>
            </w:r>
          </w:p>
        </w:tc>
        <w:tc>
          <w:tcPr>
            <w:tcW w:w="6237" w:type="dxa"/>
            <w:vAlign w:val="center"/>
          </w:tcPr>
          <w:p w14:paraId="067464DA">
            <w:pPr>
              <w:jc w:val="center"/>
              <w:rPr>
                <w:rStyle w:val="8"/>
                <w:rFonts w:eastAsia="仿宋_GB2312"/>
                <w:b w:val="0"/>
                <w:color w:val="auto"/>
                <w:sz w:val="28"/>
              </w:rPr>
            </w:pPr>
            <w:r>
              <w:rPr>
                <w:rStyle w:val="8"/>
                <w:rFonts w:hint="eastAsia" w:eastAsia="仿宋_GB2312"/>
                <w:b w:val="0"/>
                <w:color w:val="auto"/>
                <w:sz w:val="28"/>
              </w:rPr>
              <w:t>二等奖</w:t>
            </w:r>
          </w:p>
        </w:tc>
      </w:tr>
      <w:tr w14:paraId="7101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5C45A8AB">
            <w:pPr>
              <w:spacing w:line="440" w:lineRule="exact"/>
              <w:jc w:val="center"/>
              <w:rPr>
                <w:rFonts w:eastAsia="仿宋_GB2312"/>
                <w:bCs/>
                <w:sz w:val="28"/>
                <w:szCs w:val="24"/>
              </w:rPr>
            </w:pPr>
            <w:r>
              <w:rPr>
                <w:rFonts w:eastAsia="仿宋_GB2312"/>
                <w:bCs/>
                <w:sz w:val="28"/>
                <w:szCs w:val="24"/>
              </w:rPr>
              <w:t>提名书</w:t>
            </w:r>
          </w:p>
          <w:p w14:paraId="3E4E2CAB">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3D23C4F0">
            <w:pPr>
              <w:jc w:val="left"/>
              <w:rPr>
                <w:rFonts w:eastAsia="仿宋_GB2312"/>
                <w:bCs/>
                <w:szCs w:val="21"/>
              </w:rPr>
            </w:pPr>
            <w:r>
              <w:rPr>
                <w:rFonts w:eastAsia="仿宋_GB2312"/>
                <w:bCs/>
                <w:szCs w:val="21"/>
              </w:rPr>
              <w:t>1.Zhao Y, Feng G, Feng L. Effects of pre-analytical storage time, temperature, and freeze-thaw times on coagulation factors activities in citrate-anticoagulated plasma. Ann Transl Med. 2018 Dec;6(23):456.</w:t>
            </w:r>
          </w:p>
          <w:p w14:paraId="4E2CC990">
            <w:pPr>
              <w:jc w:val="left"/>
              <w:rPr>
                <w:rFonts w:eastAsia="仿宋_GB2312"/>
                <w:bCs/>
                <w:szCs w:val="21"/>
              </w:rPr>
            </w:pPr>
            <w:r>
              <w:rPr>
                <w:rFonts w:eastAsia="仿宋_GB2312"/>
                <w:bCs/>
                <w:szCs w:val="21"/>
              </w:rPr>
              <w:t xml:space="preserve">2.Feng G, Zhao Y, Zhang J, Feng L. Effects of Freeze-Thaw Times on Screening Coagulation Tests and Factors VIII and IX Activities in Citrate-Anticoagulated Plasma at -20°C and -80°C. Clin Lab. 2018 Sep 1;64(9):1439-1444. </w:t>
            </w:r>
          </w:p>
          <w:p w14:paraId="0264D1D8">
            <w:pPr>
              <w:jc w:val="left"/>
              <w:rPr>
                <w:rFonts w:eastAsia="仿宋_GB2312"/>
                <w:bCs/>
                <w:szCs w:val="21"/>
              </w:rPr>
            </w:pPr>
            <w:r>
              <w:rPr>
                <w:rFonts w:eastAsia="仿宋_GB2312"/>
                <w:bCs/>
                <w:szCs w:val="21"/>
              </w:rPr>
              <w:t>3.Zhao Y, Feng G, Zhang J, Gong R, Cai C, Feng L Effects of preanalytical frozen storage time and temperature on screening coagulation tests and factors VIII and IX activity. Sci Rep. 2017 Sep 22;7(1):12179.</w:t>
            </w:r>
          </w:p>
          <w:p w14:paraId="5D373BD0">
            <w:pPr>
              <w:jc w:val="left"/>
              <w:rPr>
                <w:rFonts w:eastAsia="仿宋_GB2312"/>
                <w:bCs/>
                <w:szCs w:val="21"/>
              </w:rPr>
            </w:pPr>
            <w:r>
              <w:rPr>
                <w:rFonts w:eastAsia="仿宋_GB2312"/>
                <w:bCs/>
                <w:szCs w:val="21"/>
              </w:rPr>
              <w:t xml:space="preserve">4.Feng L, Zhao Y, Zhao H, Shao Z. Effects of storage time and temperature on coagulation tests and factors in fresh plasma. Sci Rep. 2014 Jan 27;4:3868. </w:t>
            </w:r>
          </w:p>
          <w:p w14:paraId="3EDFB95F">
            <w:pPr>
              <w:jc w:val="left"/>
              <w:rPr>
                <w:rFonts w:eastAsia="仿宋_GB2312"/>
                <w:bCs/>
                <w:szCs w:val="21"/>
              </w:rPr>
            </w:pPr>
            <w:r>
              <w:rPr>
                <w:rFonts w:eastAsia="仿宋_GB2312"/>
                <w:bCs/>
                <w:szCs w:val="21"/>
              </w:rPr>
              <w:t xml:space="preserve">5.Zhao Y, Lv G. Influence of temperature and storage duration on measurement of activated partial thromboplastin time, D-dimers, fibrinogen, prothrombin time and thrombin time, in citrate-anticoagulated whole blood specimens. Int J Lab Hematol. 2013 Oct;35(5):566-70. </w:t>
            </w:r>
          </w:p>
          <w:p w14:paraId="61AF95B5">
            <w:pPr>
              <w:rPr>
                <w:rFonts w:eastAsia="仿宋_GB2312"/>
                <w:bCs/>
                <w:szCs w:val="21"/>
              </w:rPr>
            </w:pPr>
            <w:r>
              <w:rPr>
                <w:rFonts w:eastAsia="仿宋_GB2312"/>
                <w:bCs/>
                <w:szCs w:val="21"/>
              </w:rPr>
              <w:t>6. Feng L, Sun K, Zhang J, Feng G, Zhao Y. A novel non-invasive index using AFP and APTT is associated with liver fibrosis in patients with chronic hepatitis B infection: a retrospective cohort study. BMJ Open. 2015 Sep 21;5(9):e008032.</w:t>
            </w:r>
          </w:p>
          <w:p w14:paraId="79A44270">
            <w:pPr>
              <w:rPr>
                <w:rFonts w:eastAsia="仿宋_GB2312"/>
                <w:bCs/>
                <w:szCs w:val="21"/>
              </w:rPr>
            </w:pPr>
            <w:r>
              <w:rPr>
                <w:rFonts w:eastAsia="仿宋_GB2312"/>
                <w:bCs/>
                <w:szCs w:val="21"/>
              </w:rPr>
              <w:t xml:space="preserve">7. Shao Z, Zhao Y, Feng L, Feng G, Zhang J, Zhang J. </w:t>
            </w:r>
            <w:bookmarkStart w:id="0" w:name="OLE_LINK2"/>
            <w:r>
              <w:rPr>
                <w:rFonts w:eastAsia="仿宋_GB2312"/>
                <w:bCs/>
                <w:szCs w:val="21"/>
              </w:rPr>
              <w:t>Association between plasma fibrinogen levels and mortality in acute-on-chronic hepatitis B liver failure</w:t>
            </w:r>
            <w:bookmarkEnd w:id="0"/>
            <w:r>
              <w:rPr>
                <w:rFonts w:eastAsia="仿宋_GB2312"/>
                <w:bCs/>
                <w:szCs w:val="21"/>
              </w:rPr>
              <w:t>. Dis Markers. 2015;2015:468596.</w:t>
            </w:r>
          </w:p>
          <w:p w14:paraId="5B62C90D">
            <w:pPr>
              <w:widowControl/>
              <w:shd w:val="clear" w:color="auto" w:fill="FFFFFF"/>
              <w:rPr>
                <w:rFonts w:eastAsia="仿宋_GB2312"/>
                <w:bCs/>
                <w:szCs w:val="21"/>
              </w:rPr>
            </w:pPr>
            <w:r>
              <w:rPr>
                <w:rFonts w:eastAsia="仿宋_GB2312"/>
                <w:bCs/>
                <w:szCs w:val="21"/>
              </w:rPr>
              <w:t xml:space="preserve">8. </w:t>
            </w:r>
            <w:r>
              <w:fldChar w:fldCharType="begin"/>
            </w:r>
            <w:r>
              <w:instrText xml:space="preserve"> HYPERLINK "https://pubmed.ncbi.nlm.nih.gov/?term=Feng+L&amp;cauthor_id=19695405" </w:instrText>
            </w:r>
            <w:r>
              <w:fldChar w:fldCharType="separate"/>
            </w:r>
            <w:r>
              <w:rPr>
                <w:rFonts w:eastAsia="仿宋_GB2312"/>
                <w:bCs/>
                <w:szCs w:val="21"/>
              </w:rPr>
              <w:t>Limin Feng</w:t>
            </w:r>
            <w:r>
              <w:rPr>
                <w:rFonts w:eastAsia="仿宋_GB2312"/>
                <w:bCs/>
                <w:szCs w:val="21"/>
              </w:rPr>
              <w:fldChar w:fldCharType="end"/>
            </w:r>
            <w:r>
              <w:rPr>
                <w:rFonts w:eastAsia="仿宋_GB2312"/>
                <w:bCs/>
                <w:szCs w:val="21"/>
              </w:rPr>
              <w:t>, </w:t>
            </w:r>
            <w:r>
              <w:fldChar w:fldCharType="begin"/>
            </w:r>
            <w:r>
              <w:instrText xml:space="preserve"> HYPERLINK "https://pubmed.ncbi.nlm.nih.gov/?term=Shen-Tu+J&amp;cauthor_id=19695405" </w:instrText>
            </w:r>
            <w:r>
              <w:fldChar w:fldCharType="separate"/>
            </w:r>
            <w:r>
              <w:rPr>
                <w:rFonts w:eastAsia="仿宋_GB2312"/>
                <w:bCs/>
                <w:szCs w:val="21"/>
              </w:rPr>
              <w:t>Jianzhong Shen-Tu</w:t>
            </w:r>
            <w:r>
              <w:rPr>
                <w:rFonts w:eastAsia="仿宋_GB2312"/>
                <w:bCs/>
                <w:szCs w:val="21"/>
              </w:rPr>
              <w:fldChar w:fldCharType="end"/>
            </w:r>
            <w:r>
              <w:rPr>
                <w:rFonts w:eastAsia="仿宋_GB2312"/>
                <w:bCs/>
                <w:szCs w:val="21"/>
              </w:rPr>
              <w:t>, </w:t>
            </w:r>
            <w:r>
              <w:fldChar w:fldCharType="begin"/>
            </w:r>
            <w:r>
              <w:instrText xml:space="preserve"> HYPERLINK "https://pubmed.ncbi.nlm.nih.gov/?term=Liu+J&amp;cauthor_id=19695405" </w:instrText>
            </w:r>
            <w:r>
              <w:fldChar w:fldCharType="separate"/>
            </w:r>
            <w:r>
              <w:rPr>
                <w:rFonts w:eastAsia="仿宋_GB2312"/>
                <w:bCs/>
                <w:szCs w:val="21"/>
              </w:rPr>
              <w:t>Jian Liu</w:t>
            </w:r>
            <w:r>
              <w:rPr>
                <w:rFonts w:eastAsia="仿宋_GB2312"/>
                <w:bCs/>
                <w:szCs w:val="21"/>
              </w:rPr>
              <w:fldChar w:fldCharType="end"/>
            </w:r>
            <w:r>
              <w:rPr>
                <w:rFonts w:eastAsia="仿宋_GB2312"/>
                <w:bCs/>
                <w:szCs w:val="21"/>
              </w:rPr>
              <w:t>, </w:t>
            </w:r>
            <w:r>
              <w:fldChar w:fldCharType="begin"/>
            </w:r>
            <w:r>
              <w:instrText xml:space="preserve"> HYPERLINK "https://pubmed.ncbi.nlm.nih.gov/?term=Chen+J&amp;cauthor_id=19695405" </w:instrText>
            </w:r>
            <w:r>
              <w:fldChar w:fldCharType="separate"/>
            </w:r>
            <w:r>
              <w:rPr>
                <w:rFonts w:eastAsia="仿宋_GB2312"/>
                <w:bCs/>
                <w:szCs w:val="21"/>
              </w:rPr>
              <w:t>Junchun Chen</w:t>
            </w:r>
            <w:r>
              <w:rPr>
                <w:rFonts w:eastAsia="仿宋_GB2312"/>
                <w:bCs/>
                <w:szCs w:val="21"/>
              </w:rPr>
              <w:fldChar w:fldCharType="end"/>
            </w:r>
            <w:r>
              <w:rPr>
                <w:rFonts w:eastAsia="仿宋_GB2312"/>
                <w:bCs/>
                <w:szCs w:val="21"/>
              </w:rPr>
              <w:t>, </w:t>
            </w:r>
            <w:r>
              <w:fldChar w:fldCharType="begin"/>
            </w:r>
            <w:r>
              <w:instrText xml:space="preserve"> HYPERLINK "https://pubmed.ncbi.nlm.nih.gov/?term=Wu+L&amp;cauthor_id=19695405" </w:instrText>
            </w:r>
            <w:r>
              <w:fldChar w:fldCharType="separate"/>
            </w:r>
            <w:r>
              <w:rPr>
                <w:rFonts w:eastAsia="仿宋_GB2312"/>
                <w:bCs/>
                <w:szCs w:val="21"/>
              </w:rPr>
              <w:t>Lihua Wu</w:t>
            </w:r>
            <w:r>
              <w:rPr>
                <w:rFonts w:eastAsia="仿宋_GB2312"/>
                <w:bCs/>
                <w:szCs w:val="21"/>
              </w:rPr>
              <w:fldChar w:fldCharType="end"/>
            </w:r>
            <w:r>
              <w:rPr>
                <w:rFonts w:eastAsia="仿宋_GB2312"/>
                <w:bCs/>
                <w:szCs w:val="21"/>
              </w:rPr>
              <w:t>, </w:t>
            </w:r>
            <w:r>
              <w:fldChar w:fldCharType="begin"/>
            </w:r>
            <w:r>
              <w:instrText xml:space="preserve"> HYPERLINK "https://pubmed.ncbi.nlm.nih.gov/?term=Huang+M&amp;cauthor_id=19695405" </w:instrText>
            </w:r>
            <w:r>
              <w:fldChar w:fldCharType="separate"/>
            </w:r>
            <w:r>
              <w:rPr>
                <w:rFonts w:eastAsia="仿宋_GB2312"/>
                <w:bCs/>
                <w:szCs w:val="21"/>
              </w:rPr>
              <w:t>Mingzhu Huang</w:t>
            </w:r>
            <w:r>
              <w:rPr>
                <w:rFonts w:eastAsia="仿宋_GB2312"/>
                <w:bCs/>
                <w:szCs w:val="21"/>
              </w:rPr>
              <w:fldChar w:fldCharType="end"/>
            </w:r>
            <w:r>
              <w:rPr>
                <w:rFonts w:eastAsia="仿宋_GB2312"/>
                <w:bCs/>
                <w:szCs w:val="21"/>
              </w:rPr>
              <w:t>. Bioequivalence of Generic and Branded Subcutaneous Enoxaparin A Single-Dose, Randomized-Sequence, Open-Label, Two-Period Crossover Study in Healthy Chinese Male Subjects. Clin Ther. 2009 Jul;31(7):1559-67. </w:t>
            </w:r>
          </w:p>
          <w:p w14:paraId="70242265">
            <w:pPr>
              <w:rPr>
                <w:rFonts w:hint="eastAsia"/>
                <w:lang w:val="en-US" w:eastAsia="zh-CN"/>
              </w:rPr>
            </w:pPr>
            <w:r>
              <w:rPr>
                <w:rFonts w:hint="eastAsia"/>
                <w:lang w:val="en-US" w:eastAsia="zh-CN"/>
              </w:rPr>
              <w:t>9. 林莎,祁晓婷,毛卫林, 冯立民.血浆D-二聚体及凝血指标在肝硬化、肝癌患者中的应用价值. 实验与检验医学, 2011, 29(3):2.</w:t>
            </w:r>
          </w:p>
          <w:p w14:paraId="4281BE50">
            <w:pPr>
              <w:rPr>
                <w:rFonts w:eastAsia="仿宋_GB2312"/>
                <w:bCs/>
                <w:szCs w:val="21"/>
              </w:rPr>
            </w:pPr>
            <w:r>
              <w:rPr>
                <w:rFonts w:hint="eastAsia"/>
                <w:lang w:val="en-US" w:eastAsia="zh-CN"/>
              </w:rPr>
              <w:t xml:space="preserve">10. </w:t>
            </w:r>
            <w:r>
              <w:t>胡晓</w:t>
            </w:r>
            <w:r>
              <w:rPr>
                <w:rFonts w:hint="eastAsia"/>
              </w:rPr>
              <w:t>、</w:t>
            </w:r>
            <w:r>
              <w:t>冯立民</w:t>
            </w:r>
            <w:r>
              <w:rPr>
                <w:rFonts w:hint="eastAsia"/>
              </w:rPr>
              <w:t>、</w:t>
            </w:r>
            <w:r>
              <w:t>王佳丽</w:t>
            </w:r>
            <w:r>
              <w:rPr>
                <w:rFonts w:hint="eastAsia"/>
              </w:rPr>
              <w:t xml:space="preserve">. </w:t>
            </w:r>
            <w:bookmarkStart w:id="1" w:name="_GoBack"/>
            <w:bookmarkEnd w:id="1"/>
            <w:r>
              <w:fldChar w:fldCharType="begin"/>
            </w:r>
            <w:r>
              <w:instrText xml:space="preserve"> HYPERLINK "http://d.g.wanfangdata.com.cn/Periodical_jiangxyxjy201301009.aspx" \o "文摘" \t "_blank" </w:instrText>
            </w:r>
            <w:r>
              <w:fldChar w:fldCharType="separate"/>
            </w:r>
            <w:r>
              <w:fldChar w:fldCharType="end"/>
            </w:r>
            <w:r>
              <w:t>肝硬化患者血浆凝血因子</w:t>
            </w:r>
            <w:r>
              <w:rPr>
                <w:rFonts w:hint="eastAsia" w:ascii="宋体" w:hAnsi="宋体" w:cs="宋体"/>
              </w:rPr>
              <w:t>Ⅷ</w:t>
            </w:r>
            <w:r>
              <w:t>及常规凝血指标检测结果分析</w:t>
            </w:r>
            <w:r>
              <w:rPr>
                <w:rFonts w:hint="eastAsia"/>
                <w:lang w:val="en-US" w:eastAsia="zh-CN"/>
              </w:rPr>
              <w:t>.</w:t>
            </w:r>
            <w:r>
              <w:t xml:space="preserve"> 实验与检验医学</w:t>
            </w:r>
            <w:r>
              <w:rPr>
                <w:rFonts w:hint="eastAsia"/>
                <w:lang w:val="en-US" w:eastAsia="zh-CN"/>
              </w:rPr>
              <w:t>,</w:t>
            </w:r>
            <w:r>
              <w:t xml:space="preserve"> 2013</w:t>
            </w:r>
            <w:r>
              <w:rPr>
                <w:rFonts w:hint="eastAsia"/>
              </w:rPr>
              <w:t>,(31)1:24-26.</w:t>
            </w:r>
          </w:p>
        </w:tc>
      </w:tr>
      <w:tr w14:paraId="5D53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11DCBF54">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764D421B">
            <w:pPr>
              <w:spacing w:line="440" w:lineRule="exact"/>
              <w:rPr>
                <w:rFonts w:eastAsia="仿宋_GB2312"/>
                <w:bCs/>
                <w:sz w:val="24"/>
                <w:szCs w:val="24"/>
              </w:rPr>
            </w:pPr>
            <w:r>
              <w:rPr>
                <w:rFonts w:hint="eastAsia" w:eastAsia="仿宋_GB2312"/>
                <w:bCs/>
                <w:sz w:val="24"/>
                <w:szCs w:val="24"/>
              </w:rPr>
              <w:t>冯立民，</w:t>
            </w:r>
            <w:r>
              <w:rPr>
                <w:rFonts w:eastAsia="仿宋_GB2312"/>
                <w:bCs/>
                <w:sz w:val="24"/>
                <w:szCs w:val="24"/>
              </w:rPr>
              <w:t>排名1，</w:t>
            </w:r>
            <w:r>
              <w:rPr>
                <w:rFonts w:hint="eastAsia" w:eastAsia="仿宋_GB2312"/>
                <w:bCs/>
                <w:sz w:val="24"/>
                <w:szCs w:val="24"/>
              </w:rPr>
              <w:t>主任技师</w:t>
            </w:r>
            <w:r>
              <w:rPr>
                <w:rFonts w:eastAsia="仿宋_GB2312"/>
                <w:bCs/>
                <w:sz w:val="24"/>
                <w:szCs w:val="24"/>
              </w:rPr>
              <w:t>，</w:t>
            </w:r>
            <w:r>
              <w:rPr>
                <w:rFonts w:hint="eastAsia" w:eastAsia="仿宋_GB2312"/>
                <w:bCs/>
                <w:sz w:val="24"/>
                <w:szCs w:val="24"/>
              </w:rPr>
              <w:t>浙江大学医学院附属第一医院</w:t>
            </w:r>
            <w:r>
              <w:rPr>
                <w:rFonts w:eastAsia="仿宋_GB2312"/>
                <w:bCs/>
                <w:sz w:val="24"/>
                <w:szCs w:val="24"/>
              </w:rPr>
              <w:t>；</w:t>
            </w:r>
          </w:p>
          <w:p w14:paraId="133051E0">
            <w:pPr>
              <w:spacing w:line="440" w:lineRule="exact"/>
              <w:rPr>
                <w:rFonts w:eastAsia="仿宋_GB2312"/>
                <w:bCs/>
                <w:sz w:val="24"/>
                <w:szCs w:val="24"/>
              </w:rPr>
            </w:pPr>
            <w:r>
              <w:rPr>
                <w:rFonts w:hint="eastAsia" w:eastAsia="仿宋_GB2312"/>
                <w:bCs/>
                <w:sz w:val="24"/>
                <w:szCs w:val="24"/>
              </w:rPr>
              <w:t>赵  莹，</w:t>
            </w:r>
            <w:r>
              <w:rPr>
                <w:rFonts w:eastAsia="仿宋_GB2312"/>
                <w:bCs/>
                <w:sz w:val="24"/>
                <w:szCs w:val="24"/>
              </w:rPr>
              <w:t>排名</w:t>
            </w:r>
            <w:r>
              <w:rPr>
                <w:rFonts w:hint="eastAsia" w:eastAsia="仿宋_GB2312"/>
                <w:bCs/>
                <w:sz w:val="24"/>
                <w:szCs w:val="24"/>
              </w:rPr>
              <w:t>2</w:t>
            </w:r>
            <w:r>
              <w:rPr>
                <w:rFonts w:eastAsia="仿宋_GB2312"/>
                <w:bCs/>
                <w:sz w:val="24"/>
                <w:szCs w:val="24"/>
              </w:rPr>
              <w:t>，</w:t>
            </w:r>
            <w:r>
              <w:rPr>
                <w:rFonts w:hint="eastAsia" w:eastAsia="仿宋_GB2312"/>
                <w:bCs/>
                <w:sz w:val="24"/>
                <w:szCs w:val="24"/>
              </w:rPr>
              <w:t>主任技师</w:t>
            </w:r>
            <w:r>
              <w:rPr>
                <w:rFonts w:eastAsia="仿宋_GB2312"/>
                <w:bCs/>
                <w:sz w:val="24"/>
                <w:szCs w:val="24"/>
              </w:rPr>
              <w:t>，</w:t>
            </w:r>
            <w:r>
              <w:rPr>
                <w:rFonts w:hint="eastAsia" w:eastAsia="仿宋_GB2312"/>
                <w:bCs/>
                <w:sz w:val="24"/>
                <w:szCs w:val="24"/>
              </w:rPr>
              <w:t>浙江大学医学院附属第一医院</w:t>
            </w:r>
            <w:r>
              <w:rPr>
                <w:rFonts w:eastAsia="仿宋_GB2312"/>
                <w:bCs/>
                <w:sz w:val="24"/>
                <w:szCs w:val="24"/>
              </w:rPr>
              <w:t>；</w:t>
            </w:r>
          </w:p>
          <w:p w14:paraId="20A2C9D5">
            <w:pPr>
              <w:spacing w:line="440" w:lineRule="exact"/>
              <w:rPr>
                <w:rFonts w:eastAsia="仿宋_GB2312"/>
                <w:bCs/>
                <w:sz w:val="24"/>
                <w:szCs w:val="24"/>
              </w:rPr>
            </w:pPr>
            <w:r>
              <w:rPr>
                <w:rFonts w:hint="eastAsia" w:eastAsia="仿宋_GB2312"/>
                <w:bCs/>
                <w:sz w:val="24"/>
                <w:szCs w:val="24"/>
              </w:rPr>
              <w:t>邵浙新，</w:t>
            </w:r>
            <w:r>
              <w:rPr>
                <w:rFonts w:eastAsia="仿宋_GB2312"/>
                <w:bCs/>
                <w:sz w:val="24"/>
                <w:szCs w:val="24"/>
              </w:rPr>
              <w:t>排名</w:t>
            </w:r>
            <w:r>
              <w:rPr>
                <w:rFonts w:hint="eastAsia" w:eastAsia="仿宋_GB2312"/>
                <w:bCs/>
                <w:sz w:val="24"/>
                <w:szCs w:val="24"/>
              </w:rPr>
              <w:t>3</w:t>
            </w:r>
            <w:r>
              <w:rPr>
                <w:rFonts w:eastAsia="仿宋_GB2312"/>
                <w:bCs/>
                <w:sz w:val="24"/>
                <w:szCs w:val="24"/>
              </w:rPr>
              <w:t>，</w:t>
            </w:r>
            <w:r>
              <w:rPr>
                <w:rFonts w:hint="eastAsia" w:eastAsia="仿宋_GB2312"/>
                <w:bCs/>
                <w:sz w:val="24"/>
                <w:szCs w:val="24"/>
              </w:rPr>
              <w:t>高级实验师</w:t>
            </w:r>
            <w:r>
              <w:rPr>
                <w:rFonts w:eastAsia="仿宋_GB2312"/>
                <w:bCs/>
                <w:sz w:val="24"/>
                <w:szCs w:val="24"/>
              </w:rPr>
              <w:t>，</w:t>
            </w:r>
            <w:r>
              <w:rPr>
                <w:rFonts w:hint="eastAsia" w:eastAsia="仿宋_GB2312"/>
                <w:bCs/>
                <w:sz w:val="24"/>
                <w:szCs w:val="24"/>
              </w:rPr>
              <w:t>浙江大学医学院附属第一医院</w:t>
            </w:r>
            <w:r>
              <w:rPr>
                <w:rFonts w:eastAsia="仿宋_GB2312"/>
                <w:bCs/>
                <w:sz w:val="24"/>
                <w:szCs w:val="24"/>
              </w:rPr>
              <w:t>；</w:t>
            </w:r>
          </w:p>
          <w:p w14:paraId="3CA721FD">
            <w:pPr>
              <w:spacing w:line="440" w:lineRule="exact"/>
              <w:rPr>
                <w:rFonts w:eastAsia="仿宋_GB2312"/>
                <w:bCs/>
                <w:sz w:val="24"/>
                <w:szCs w:val="24"/>
              </w:rPr>
            </w:pPr>
            <w:r>
              <w:rPr>
                <w:rFonts w:hint="eastAsia" w:eastAsia="仿宋_GB2312"/>
                <w:bCs/>
                <w:sz w:val="24"/>
                <w:szCs w:val="24"/>
              </w:rPr>
              <w:t>冯国芳，</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主任医师</w:t>
            </w:r>
            <w:r>
              <w:rPr>
                <w:rFonts w:eastAsia="仿宋_GB2312"/>
                <w:bCs/>
                <w:sz w:val="24"/>
                <w:szCs w:val="24"/>
              </w:rPr>
              <w:t>，</w:t>
            </w:r>
            <w:r>
              <w:rPr>
                <w:rFonts w:hint="eastAsia" w:eastAsia="仿宋_GB2312"/>
                <w:bCs/>
                <w:sz w:val="24"/>
                <w:szCs w:val="24"/>
              </w:rPr>
              <w:t>浙江大学医学院附属妇产科医院</w:t>
            </w:r>
            <w:r>
              <w:rPr>
                <w:rFonts w:eastAsia="仿宋_GB2312"/>
                <w:bCs/>
                <w:sz w:val="24"/>
                <w:szCs w:val="24"/>
              </w:rPr>
              <w:t>；</w:t>
            </w:r>
          </w:p>
          <w:p w14:paraId="734AAAD0">
            <w:pPr>
              <w:spacing w:line="440" w:lineRule="exact"/>
              <w:rPr>
                <w:rFonts w:eastAsia="仿宋_GB2312"/>
                <w:bCs/>
                <w:sz w:val="24"/>
                <w:szCs w:val="24"/>
              </w:rPr>
            </w:pPr>
            <w:r>
              <w:rPr>
                <w:rFonts w:hint="eastAsia" w:eastAsia="仿宋_GB2312"/>
                <w:bCs/>
                <w:sz w:val="24"/>
                <w:szCs w:val="24"/>
              </w:rPr>
              <w:t>申屠建中，</w:t>
            </w:r>
            <w:r>
              <w:rPr>
                <w:rFonts w:eastAsia="仿宋_GB2312"/>
                <w:bCs/>
                <w:sz w:val="24"/>
                <w:szCs w:val="24"/>
              </w:rPr>
              <w:t>排名</w:t>
            </w:r>
            <w:r>
              <w:rPr>
                <w:rFonts w:hint="eastAsia" w:eastAsia="仿宋_GB2312"/>
                <w:bCs/>
                <w:sz w:val="24"/>
                <w:szCs w:val="24"/>
              </w:rPr>
              <w:t>5</w:t>
            </w:r>
            <w:r>
              <w:rPr>
                <w:rFonts w:eastAsia="仿宋_GB2312"/>
                <w:bCs/>
                <w:sz w:val="24"/>
                <w:szCs w:val="24"/>
              </w:rPr>
              <w:t>，</w:t>
            </w:r>
            <w:r>
              <w:rPr>
                <w:rFonts w:hint="eastAsia" w:eastAsia="仿宋_GB2312"/>
                <w:bCs/>
                <w:sz w:val="24"/>
                <w:szCs w:val="24"/>
              </w:rPr>
              <w:t>主任药师</w:t>
            </w:r>
            <w:r>
              <w:rPr>
                <w:rFonts w:eastAsia="仿宋_GB2312"/>
                <w:bCs/>
                <w:sz w:val="24"/>
                <w:szCs w:val="24"/>
              </w:rPr>
              <w:t>，</w:t>
            </w:r>
            <w:r>
              <w:rPr>
                <w:rFonts w:hint="eastAsia" w:eastAsia="仿宋_GB2312"/>
                <w:bCs/>
                <w:sz w:val="24"/>
                <w:szCs w:val="24"/>
              </w:rPr>
              <w:t>浙江大学医学院附属第一医院</w:t>
            </w:r>
            <w:r>
              <w:rPr>
                <w:rFonts w:eastAsia="仿宋_GB2312"/>
                <w:bCs/>
                <w:sz w:val="24"/>
                <w:szCs w:val="24"/>
              </w:rPr>
              <w:t>；</w:t>
            </w:r>
          </w:p>
          <w:p w14:paraId="24608F96">
            <w:pPr>
              <w:spacing w:line="440" w:lineRule="exact"/>
              <w:rPr>
                <w:rFonts w:eastAsia="仿宋_GB2312"/>
                <w:bCs/>
                <w:sz w:val="24"/>
                <w:szCs w:val="24"/>
              </w:rPr>
            </w:pPr>
            <w:r>
              <w:rPr>
                <w:rFonts w:hint="eastAsia" w:eastAsia="仿宋_GB2312"/>
                <w:bCs/>
                <w:sz w:val="24"/>
                <w:szCs w:val="24"/>
              </w:rPr>
              <w:t>吴国兰，</w:t>
            </w:r>
            <w:r>
              <w:rPr>
                <w:rFonts w:eastAsia="仿宋_GB2312"/>
                <w:bCs/>
                <w:sz w:val="24"/>
                <w:szCs w:val="24"/>
              </w:rPr>
              <w:t>排名</w:t>
            </w:r>
            <w:r>
              <w:rPr>
                <w:rFonts w:hint="eastAsia" w:eastAsia="仿宋_GB2312"/>
                <w:bCs/>
                <w:sz w:val="24"/>
                <w:szCs w:val="24"/>
              </w:rPr>
              <w:t>6</w:t>
            </w:r>
            <w:r>
              <w:rPr>
                <w:rFonts w:eastAsia="仿宋_GB2312"/>
                <w:bCs/>
                <w:sz w:val="24"/>
                <w:szCs w:val="24"/>
              </w:rPr>
              <w:t>，</w:t>
            </w:r>
            <w:r>
              <w:rPr>
                <w:rFonts w:hint="eastAsia" w:eastAsia="仿宋_GB2312"/>
                <w:bCs/>
                <w:sz w:val="24"/>
                <w:szCs w:val="24"/>
              </w:rPr>
              <w:t>副主任药师</w:t>
            </w:r>
            <w:r>
              <w:rPr>
                <w:rFonts w:eastAsia="仿宋_GB2312"/>
                <w:bCs/>
                <w:sz w:val="24"/>
                <w:szCs w:val="24"/>
              </w:rPr>
              <w:t>，</w:t>
            </w:r>
            <w:r>
              <w:rPr>
                <w:rFonts w:hint="eastAsia" w:eastAsia="仿宋_GB2312"/>
                <w:bCs/>
                <w:sz w:val="24"/>
                <w:szCs w:val="24"/>
              </w:rPr>
              <w:t>浙江大学医学院附属第一医院</w:t>
            </w:r>
            <w:r>
              <w:rPr>
                <w:rFonts w:eastAsia="仿宋_GB2312"/>
                <w:bCs/>
                <w:sz w:val="24"/>
                <w:szCs w:val="24"/>
              </w:rPr>
              <w:t>；</w:t>
            </w:r>
          </w:p>
          <w:p w14:paraId="3DA36FEE">
            <w:pPr>
              <w:spacing w:line="440" w:lineRule="exact"/>
              <w:rPr>
                <w:rFonts w:eastAsia="仿宋_GB2312"/>
                <w:bCs/>
                <w:sz w:val="24"/>
                <w:szCs w:val="24"/>
              </w:rPr>
            </w:pPr>
            <w:r>
              <w:rPr>
                <w:rFonts w:hint="eastAsia" w:eastAsia="仿宋_GB2312"/>
                <w:bCs/>
                <w:sz w:val="24"/>
                <w:szCs w:val="24"/>
              </w:rPr>
              <w:t>周惠丽，</w:t>
            </w:r>
            <w:r>
              <w:rPr>
                <w:rFonts w:eastAsia="仿宋_GB2312"/>
                <w:bCs/>
                <w:sz w:val="24"/>
                <w:szCs w:val="24"/>
              </w:rPr>
              <w:t>排名</w:t>
            </w:r>
            <w:r>
              <w:rPr>
                <w:rFonts w:hint="eastAsia" w:eastAsia="仿宋_GB2312"/>
                <w:bCs/>
                <w:sz w:val="24"/>
                <w:szCs w:val="24"/>
              </w:rPr>
              <w:t>7</w:t>
            </w:r>
            <w:r>
              <w:rPr>
                <w:rFonts w:eastAsia="仿宋_GB2312"/>
                <w:bCs/>
                <w:sz w:val="24"/>
                <w:szCs w:val="24"/>
              </w:rPr>
              <w:t>，</w:t>
            </w:r>
            <w:r>
              <w:rPr>
                <w:rFonts w:hint="eastAsia" w:eastAsia="仿宋_GB2312"/>
                <w:bCs/>
                <w:sz w:val="24"/>
                <w:szCs w:val="24"/>
              </w:rPr>
              <w:t>副主任药师</w:t>
            </w:r>
            <w:r>
              <w:rPr>
                <w:rFonts w:eastAsia="仿宋_GB2312"/>
                <w:bCs/>
                <w:sz w:val="24"/>
                <w:szCs w:val="24"/>
              </w:rPr>
              <w:t>，</w:t>
            </w:r>
            <w:r>
              <w:rPr>
                <w:rFonts w:hint="eastAsia" w:eastAsia="仿宋_GB2312"/>
                <w:bCs/>
                <w:sz w:val="24"/>
                <w:szCs w:val="24"/>
              </w:rPr>
              <w:t>浙江大学医学院附属第一医院</w:t>
            </w:r>
            <w:r>
              <w:rPr>
                <w:rFonts w:eastAsia="仿宋_GB2312"/>
                <w:bCs/>
                <w:sz w:val="24"/>
                <w:szCs w:val="24"/>
              </w:rPr>
              <w:t>；</w:t>
            </w:r>
          </w:p>
        </w:tc>
      </w:tr>
      <w:tr w14:paraId="05D54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68415A2B">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5BC146CE">
            <w:pPr>
              <w:numPr>
                <w:ilvl w:val="0"/>
                <w:numId w:val="1"/>
              </w:numPr>
              <w:spacing w:line="440" w:lineRule="exact"/>
              <w:jc w:val="left"/>
              <w:rPr>
                <w:rFonts w:eastAsia="仿宋_GB2312"/>
                <w:bCs/>
                <w:sz w:val="24"/>
                <w:szCs w:val="24"/>
              </w:rPr>
            </w:pPr>
            <w:r>
              <w:rPr>
                <w:rFonts w:hint="eastAsia" w:eastAsia="仿宋_GB2312"/>
                <w:bCs/>
                <w:sz w:val="24"/>
                <w:szCs w:val="24"/>
              </w:rPr>
              <w:t>浙江大学医学院附属第一医院；</w:t>
            </w:r>
          </w:p>
          <w:p w14:paraId="4399A709">
            <w:pPr>
              <w:spacing w:line="440" w:lineRule="exact"/>
              <w:jc w:val="left"/>
              <w:rPr>
                <w:rFonts w:eastAsia="仿宋_GB2312"/>
                <w:bCs/>
                <w:sz w:val="24"/>
                <w:szCs w:val="24"/>
              </w:rPr>
            </w:pPr>
            <w:r>
              <w:rPr>
                <w:rFonts w:eastAsia="仿宋_GB2312"/>
                <w:bCs/>
                <w:sz w:val="24"/>
                <w:szCs w:val="24"/>
              </w:rPr>
              <w:t>2</w:t>
            </w:r>
            <w:r>
              <w:rPr>
                <w:rFonts w:hint="eastAsia" w:eastAsia="仿宋_GB2312"/>
                <w:bCs/>
                <w:sz w:val="24"/>
                <w:szCs w:val="24"/>
              </w:rPr>
              <w:t>. 浙江大学医学院附属妇产科医院</w:t>
            </w:r>
          </w:p>
          <w:p w14:paraId="4B41C644">
            <w:pPr>
              <w:spacing w:line="440" w:lineRule="exact"/>
              <w:jc w:val="left"/>
              <w:rPr>
                <w:rFonts w:eastAsia="仿宋"/>
                <w:bCs/>
                <w:sz w:val="24"/>
                <w:szCs w:val="24"/>
              </w:rPr>
            </w:pPr>
          </w:p>
        </w:tc>
      </w:tr>
      <w:tr w14:paraId="24D7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299921AA">
            <w:pPr>
              <w:jc w:val="center"/>
              <w:rPr>
                <w:rStyle w:val="8"/>
                <w:rFonts w:eastAsia="仿宋_GB2312"/>
                <w:b w:val="0"/>
                <w:color w:val="auto"/>
                <w:sz w:val="28"/>
                <w:szCs w:val="28"/>
              </w:rPr>
            </w:pPr>
            <w:r>
              <w:rPr>
                <w:rStyle w:val="8"/>
                <w:rFonts w:eastAsia="仿宋_GB2312"/>
                <w:color w:val="auto"/>
                <w:sz w:val="28"/>
                <w:szCs w:val="28"/>
              </w:rPr>
              <w:t>提名单位</w:t>
            </w:r>
          </w:p>
        </w:tc>
        <w:tc>
          <w:tcPr>
            <w:tcW w:w="6237" w:type="dxa"/>
            <w:vAlign w:val="center"/>
          </w:tcPr>
          <w:p w14:paraId="1DAB84A6">
            <w:pPr>
              <w:contextualSpacing/>
              <w:jc w:val="left"/>
              <w:rPr>
                <w:rStyle w:val="8"/>
                <w:rFonts w:ascii="宋体" w:hAnsi="宋体"/>
                <w:bCs w:val="0"/>
                <w:color w:val="auto"/>
                <w:sz w:val="21"/>
                <w:szCs w:val="21"/>
              </w:rPr>
            </w:pPr>
            <w:r>
              <w:rPr>
                <w:rStyle w:val="8"/>
                <w:rFonts w:hint="eastAsia" w:ascii="宋体" w:hAnsi="宋体"/>
                <w:bCs w:val="0"/>
                <w:color w:val="auto"/>
                <w:sz w:val="21"/>
                <w:szCs w:val="21"/>
              </w:rPr>
              <w:t>浙江大学</w:t>
            </w:r>
          </w:p>
        </w:tc>
      </w:tr>
      <w:tr w14:paraId="73BEA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8" w:hRule="atLeast"/>
        </w:trPr>
        <w:tc>
          <w:tcPr>
            <w:tcW w:w="2269" w:type="dxa"/>
            <w:vAlign w:val="center"/>
          </w:tcPr>
          <w:p w14:paraId="2F5EA270">
            <w:pPr>
              <w:jc w:val="center"/>
              <w:rPr>
                <w:rStyle w:val="8"/>
                <w:rFonts w:eastAsia="仿宋_GB2312"/>
                <w:b w:val="0"/>
                <w:color w:val="auto"/>
                <w:sz w:val="28"/>
                <w:szCs w:val="28"/>
              </w:rPr>
            </w:pPr>
            <w:r>
              <w:rPr>
                <w:rStyle w:val="8"/>
                <w:rFonts w:eastAsia="仿宋_GB2312"/>
                <w:color w:val="auto"/>
                <w:sz w:val="28"/>
                <w:szCs w:val="28"/>
              </w:rPr>
              <w:t>提名意见</w:t>
            </w:r>
          </w:p>
        </w:tc>
        <w:tc>
          <w:tcPr>
            <w:tcW w:w="6237" w:type="dxa"/>
            <w:vAlign w:val="center"/>
          </w:tcPr>
          <w:p w14:paraId="2B3D4354">
            <w:pPr>
              <w:ind w:firstLine="420" w:firstLineChars="200"/>
            </w:pPr>
            <w:r>
              <w:t>凝血常规</w:t>
            </w:r>
            <w:r>
              <w:rPr>
                <w:rFonts w:hint="eastAsia"/>
              </w:rPr>
              <w:t>检测</w:t>
            </w:r>
            <w:r>
              <w:t>项目和凝血因子活性检测是评估患者止血和凝血状态的重要手段</w:t>
            </w:r>
            <w:r>
              <w:rPr>
                <w:rFonts w:hint="eastAsia"/>
              </w:rPr>
              <w:t>，其结果的准确与否对患者的诊断、治疗有着极为重要的意义，而检测指标分析前的稳定性对实验室结果的准确性起到了关键作用。该</w:t>
            </w:r>
            <w:r>
              <w:t>项目</w:t>
            </w:r>
            <w:r>
              <w:rPr>
                <w:rFonts w:hint="eastAsia"/>
              </w:rPr>
              <w:t>通过较长期的研究，全面性、系统性的评价</w:t>
            </w:r>
            <w:r>
              <w:t>了新鲜血浆</w:t>
            </w:r>
            <w:r>
              <w:rPr>
                <w:rFonts w:hint="eastAsia"/>
              </w:rPr>
              <w:t>样本的不同存储</w:t>
            </w:r>
            <w:r>
              <w:t>温度、</w:t>
            </w:r>
            <w:r>
              <w:rPr>
                <w:rFonts w:hint="eastAsia"/>
              </w:rPr>
              <w:t>不同</w:t>
            </w:r>
            <w:r>
              <w:t>存储时间</w:t>
            </w:r>
            <w:r>
              <w:rPr>
                <w:rFonts w:hint="eastAsia"/>
              </w:rPr>
              <w:t>、不同冻融次数</w:t>
            </w:r>
            <w:r>
              <w:t>对</w:t>
            </w:r>
            <w:r>
              <w:rPr>
                <w:rFonts w:hint="eastAsia"/>
              </w:rPr>
              <w:t>多种凝血指标检测结果的影响</w:t>
            </w:r>
            <w:r>
              <w:t>，并</w:t>
            </w:r>
            <w:r>
              <w:rPr>
                <w:rFonts w:hint="eastAsia"/>
              </w:rPr>
              <w:t>提出</w:t>
            </w:r>
            <w:r>
              <w:t>了相</w:t>
            </w:r>
            <w:r>
              <w:rPr>
                <w:rFonts w:hint="eastAsia"/>
              </w:rPr>
              <w:t>应的指导意见，为科学进行凝血相关实验室指标的检测提供了重要的理论依据</w:t>
            </w:r>
            <w:r>
              <w:t>。</w:t>
            </w:r>
            <w:r>
              <w:rPr>
                <w:rFonts w:hint="eastAsia"/>
              </w:rPr>
              <w:t>这个项目还</w:t>
            </w:r>
            <w:r>
              <w:t>将凝血</w:t>
            </w:r>
            <w:r>
              <w:rPr>
                <w:rFonts w:hint="eastAsia"/>
              </w:rPr>
              <w:t>实验室指标</w:t>
            </w:r>
            <w:r>
              <w:t>用于</w:t>
            </w:r>
            <w:r>
              <w:rPr>
                <w:rFonts w:hint="eastAsia"/>
              </w:rPr>
              <w:t>慢性</w:t>
            </w:r>
            <w:r>
              <w:t>肝病</w:t>
            </w:r>
            <w:r>
              <w:rPr>
                <w:rFonts w:hint="eastAsia"/>
              </w:rPr>
              <w:t>的病情预测及辅助诊断，包括开发并验证了APTT-AFP组合模型用于预测慢乙肝患者的肝纤维化程度；Fbg与慢加急性肝衰竭患者预后之间的关系等。</w:t>
            </w:r>
          </w:p>
          <w:p w14:paraId="155A8132">
            <w:pPr>
              <w:ind w:firstLine="420" w:firstLineChars="200"/>
            </w:pPr>
            <w:r>
              <w:rPr>
                <w:rFonts w:hint="eastAsia"/>
              </w:rPr>
              <w:t>此外，该项目采用抗Xa和抗IIa活性等凝血指标用于确定国产依诺肝素钠注射液的药代动力学特性和生物利用度，并与进口制剂“克赛”的人体药代动力学做等效性分析。此前未见有依诺肝素钠在亚洲人群中的药代动力学研究的报道。该研究为中国首个国产国产依诺肝素类药物的临床使用和产品出口提供了极为重要的科学依据，并节约了许多外汇。</w:t>
            </w:r>
          </w:p>
          <w:p w14:paraId="2F0216C8">
            <w:pPr>
              <w:ind w:firstLine="420" w:firstLineChars="200"/>
              <w:contextualSpacing/>
              <w:jc w:val="left"/>
              <w:rPr>
                <w:rStyle w:val="8"/>
                <w:rFonts w:hint="eastAsia"/>
                <w:b w:val="0"/>
                <w:bCs w:val="0"/>
                <w:color w:val="auto"/>
                <w:sz w:val="21"/>
                <w:szCs w:val="21"/>
              </w:rPr>
            </w:pPr>
            <w:r>
              <w:rPr>
                <w:rFonts w:hint="eastAsia"/>
              </w:rPr>
              <w:t>该项目团队紧密结合临床实际需求开展研究，其研究成果丰富和发展了凝血指标实验室检测和临床应用的理论体系。</w:t>
            </w:r>
            <w:r>
              <w:rPr>
                <w:rStyle w:val="8"/>
                <w:rFonts w:hint="eastAsia" w:ascii="宋体" w:hAnsi="宋体"/>
                <w:b w:val="0"/>
                <w:color w:val="auto"/>
                <w:sz w:val="21"/>
                <w:szCs w:val="21"/>
              </w:rPr>
              <w:t>应用和推广其研究结果，能为患者及临床提供更</w:t>
            </w:r>
            <w:r>
              <w:rPr>
                <w:rStyle w:val="8"/>
                <w:rFonts w:hint="eastAsia"/>
                <w:b w:val="0"/>
                <w:bCs w:val="0"/>
                <w:color w:val="auto"/>
                <w:sz w:val="21"/>
                <w:szCs w:val="21"/>
              </w:rPr>
              <w:t>为可靠的实验室数据</w:t>
            </w:r>
            <w:r>
              <w:rPr>
                <w:rStyle w:val="8"/>
                <w:rFonts w:hint="eastAsia" w:ascii="宋体" w:hAnsi="宋体"/>
                <w:b w:val="0"/>
                <w:color w:val="auto"/>
                <w:sz w:val="21"/>
                <w:szCs w:val="21"/>
              </w:rPr>
              <w:t>；也能为各种凝血相关的前瞻性研究、生物制剂等效性研究和生物样本库建立</w:t>
            </w:r>
            <w:r>
              <w:rPr>
                <w:rStyle w:val="8"/>
                <w:rFonts w:hint="eastAsia" w:ascii="宋体" w:hAnsi="宋体"/>
                <w:b w:val="0"/>
                <w:color w:val="auto"/>
                <w:sz w:val="21"/>
                <w:szCs w:val="21"/>
                <w:lang w:val="en-US" w:eastAsia="zh-CN"/>
              </w:rPr>
              <w:t>的样本采集后保存</w:t>
            </w:r>
            <w:r>
              <w:rPr>
                <w:rStyle w:val="8"/>
                <w:rFonts w:hint="eastAsia" w:ascii="宋体" w:hAnsi="宋体"/>
                <w:b w:val="0"/>
                <w:color w:val="auto"/>
                <w:sz w:val="21"/>
                <w:szCs w:val="21"/>
              </w:rPr>
              <w:t>提供了重要的科学依据</w:t>
            </w:r>
            <w:r>
              <w:rPr>
                <w:rStyle w:val="8"/>
                <w:rFonts w:hint="eastAsia"/>
                <w:b w:val="0"/>
                <w:bCs w:val="0"/>
                <w:color w:val="auto"/>
                <w:sz w:val="21"/>
                <w:szCs w:val="21"/>
              </w:rPr>
              <w:t>。</w:t>
            </w:r>
          </w:p>
        </w:tc>
      </w:tr>
    </w:tbl>
    <w:p w14:paraId="05E5A383">
      <w:pPr>
        <w:adjustRightInd w:val="0"/>
        <w:snapToGrid w:val="0"/>
        <w:spacing w:line="560" w:lineRule="exact"/>
        <w:rPr>
          <w:rFonts w:eastAsia="仿宋_GB2312"/>
          <w:sz w:val="32"/>
          <w:szCs w:val="32"/>
        </w:rPr>
      </w:pPr>
    </w:p>
    <w:p w14:paraId="459929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34424D"/>
    <w:multiLevelType w:val="singleLevel"/>
    <w:tmpl w:val="6634424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lMmM2MWRjMzBmYmYzOTJkMWRjMzJlOTE2Y2E4MGYifQ=="/>
  </w:docVars>
  <w:rsids>
    <w:rsidRoot w:val="000E6961"/>
    <w:rsid w:val="00024E2D"/>
    <w:rsid w:val="000E6961"/>
    <w:rsid w:val="00182C92"/>
    <w:rsid w:val="00203279"/>
    <w:rsid w:val="0029320B"/>
    <w:rsid w:val="003428A5"/>
    <w:rsid w:val="003C7BAF"/>
    <w:rsid w:val="00506C6C"/>
    <w:rsid w:val="005776A9"/>
    <w:rsid w:val="005A5C7A"/>
    <w:rsid w:val="00810F20"/>
    <w:rsid w:val="00841BF4"/>
    <w:rsid w:val="00906CAA"/>
    <w:rsid w:val="00923696"/>
    <w:rsid w:val="00AF294C"/>
    <w:rsid w:val="00B14082"/>
    <w:rsid w:val="00FB575C"/>
    <w:rsid w:val="043B2EAD"/>
    <w:rsid w:val="10172994"/>
    <w:rsid w:val="11935F6F"/>
    <w:rsid w:val="13554FAD"/>
    <w:rsid w:val="34F479C9"/>
    <w:rsid w:val="459F64B2"/>
    <w:rsid w:val="4A714A31"/>
    <w:rsid w:val="56AA0AF4"/>
    <w:rsid w:val="5DE038A0"/>
    <w:rsid w:val="62D1698F"/>
    <w:rsid w:val="638D29FA"/>
    <w:rsid w:val="69D0270C"/>
    <w:rsid w:val="6B122D3D"/>
    <w:rsid w:val="6B6E600E"/>
    <w:rsid w:val="6ECD5DE2"/>
    <w:rsid w:val="75C1563E"/>
    <w:rsid w:val="76A6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Times New Roman" w:hAnsi="Times New Roman" w:eastAsia="宋体" w:cs="Times New Roman"/>
      <w:b/>
      <w:bCs/>
      <w:kern w:val="44"/>
      <w:sz w:val="44"/>
      <w:szCs w:val="44"/>
    </w:rPr>
  </w:style>
  <w:style w:type="character" w:customStyle="1" w:styleId="8">
    <w:name w:val="title1"/>
    <w:qFormat/>
    <w:uiPriority w:val="0"/>
    <w:rPr>
      <w:b/>
      <w:bCs/>
      <w:color w:val="999900"/>
      <w:sz w:val="24"/>
      <w:szCs w:val="24"/>
    </w:rPr>
  </w:style>
  <w:style w:type="character" w:customStyle="1" w:styleId="9">
    <w:name w:val="页眉 字符"/>
    <w:basedOn w:val="6"/>
    <w:link w:val="4"/>
    <w:qFormat/>
    <w:uiPriority w:val="99"/>
    <w:rPr>
      <w:rFonts w:ascii="Times New Roman" w:hAnsi="Times New Roman" w:eastAsia="宋体" w:cs="Times New Roman"/>
      <w:kern w:val="2"/>
      <w:sz w:val="18"/>
      <w:szCs w:val="18"/>
    </w:rPr>
  </w:style>
  <w:style w:type="character" w:customStyle="1" w:styleId="10">
    <w:name w:val="页脚 字符"/>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1132</Words>
  <Characters>2390</Characters>
  <Lines>22</Lines>
  <Paragraphs>6</Paragraphs>
  <TotalTime>5</TotalTime>
  <ScaleCrop>false</ScaleCrop>
  <LinksUpToDate>false</LinksUpToDate>
  <CharactersWithSpaces>2652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2024-08-03T14:37:00Z</dcterms:created>
  <dc:creator>Administrator</dc:creator>
  <cp:lastModifiedBy>冯立民</cp:lastModifiedBy>
  <dcterms:modified xsi:type="dcterms:W3CDTF">2024-08-14T08:24:19Z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59A71FCFF8B047C8B66205CC623CE60C_13</vt:lpwstr>
  </property>
</Properties>
</file>