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4"/>
          <w:rFonts w:eastAsia="方正小标宋简体"/>
          <w:bCs w:val="0"/>
          <w:color w:val="auto"/>
          <w:sz w:val="36"/>
          <w:szCs w:val="36"/>
        </w:rPr>
      </w:pPr>
      <w:bookmarkStart w:id="0" w:name="_GoBack"/>
      <w:bookmarkEnd w:id="0"/>
      <w:r>
        <w:rPr>
          <w:rStyle w:val="4"/>
          <w:rFonts w:eastAsia="方正小标宋简体"/>
          <w:b w:val="0"/>
          <w:color w:val="auto"/>
          <w:sz w:val="36"/>
          <w:szCs w:val="36"/>
        </w:rPr>
        <w:t>浙江省科学技术奖公示信息表</w:t>
      </w:r>
      <w:r>
        <w:rPr>
          <w:rStyle w:val="4"/>
          <w:rFonts w:eastAsia="仿宋_GB2312"/>
          <w:b w:val="0"/>
          <w:color w:val="auto"/>
          <w:sz w:val="32"/>
          <w:szCs w:val="32"/>
        </w:rPr>
        <w:t>（单位提名）</w:t>
      </w:r>
    </w:p>
    <w:p>
      <w:pPr>
        <w:spacing w:line="440" w:lineRule="exact"/>
        <w:rPr>
          <w:rFonts w:eastAsia="仿宋_GB2312"/>
          <w:color w:val="auto"/>
          <w:sz w:val="28"/>
          <w:szCs w:val="24"/>
        </w:rPr>
      </w:pPr>
      <w:r>
        <w:rPr>
          <w:rFonts w:eastAsia="仿宋_GB2312"/>
          <w:color w:val="auto"/>
          <w:sz w:val="28"/>
          <w:szCs w:val="24"/>
        </w:rPr>
        <w:t>提名奖项：科学技术进步奖</w:t>
      </w:r>
    </w:p>
    <w:tbl>
      <w:tblPr>
        <w:tblStyle w:val="2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3"/>
        <w:gridCol w:w="6453"/>
      </w:tblGrid>
      <w:tr>
        <w:trPr>
          <w:trHeight w:val="647" w:hRule="atLeast"/>
        </w:trPr>
        <w:tc>
          <w:tcPr>
            <w:tcW w:w="2053" w:type="dxa"/>
            <w:vAlign w:val="center"/>
          </w:tcPr>
          <w:p>
            <w:pPr>
              <w:jc w:val="center"/>
              <w:rPr>
                <w:rStyle w:val="4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4"/>
                <w:rFonts w:eastAsia="仿宋_GB2312"/>
                <w:b w:val="0"/>
                <w:bCs w:val="0"/>
                <w:color w:val="auto"/>
                <w:sz w:val="28"/>
              </w:rPr>
              <w:t>成果名称</w:t>
            </w:r>
          </w:p>
        </w:tc>
        <w:tc>
          <w:tcPr>
            <w:tcW w:w="6453" w:type="dxa"/>
            <w:vAlign w:val="center"/>
          </w:tcPr>
          <w:p>
            <w:pPr>
              <w:jc w:val="center"/>
              <w:rPr>
                <w:rStyle w:val="4"/>
                <w:rFonts w:hint="eastAsia" w:ascii="仿宋" w:hAnsi="仿宋" w:eastAsia="仿宋" w:cs="仿宋"/>
                <w:b w:val="0"/>
                <w:color w:val="auto"/>
                <w:sz w:val="28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color w:val="auto"/>
                <w:sz w:val="28"/>
                <w:lang w:val="en-US" w:eastAsia="zh-CN"/>
              </w:rPr>
              <w:t>正电子发射断层分子影像探针合成制备关键技术体系创新及应用</w:t>
            </w:r>
          </w:p>
        </w:tc>
      </w:tr>
      <w:tr>
        <w:trPr>
          <w:trHeight w:val="561" w:hRule="atLeast"/>
        </w:trPr>
        <w:tc>
          <w:tcPr>
            <w:tcW w:w="2053" w:type="dxa"/>
            <w:vAlign w:val="center"/>
          </w:tcPr>
          <w:p>
            <w:pPr>
              <w:jc w:val="center"/>
              <w:rPr>
                <w:rStyle w:val="4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4"/>
                <w:rFonts w:eastAsia="仿宋_GB2312"/>
                <w:b w:val="0"/>
                <w:bCs w:val="0"/>
                <w:color w:val="auto"/>
                <w:sz w:val="28"/>
              </w:rPr>
              <w:t>提名等级</w:t>
            </w:r>
          </w:p>
        </w:tc>
        <w:tc>
          <w:tcPr>
            <w:tcW w:w="6453" w:type="dxa"/>
            <w:vAlign w:val="center"/>
          </w:tcPr>
          <w:p>
            <w:pPr>
              <w:jc w:val="center"/>
              <w:rPr>
                <w:rStyle w:val="4"/>
                <w:rFonts w:hint="eastAsia" w:ascii="仿宋" w:hAnsi="仿宋" w:eastAsia="仿宋" w:cs="仿宋"/>
                <w:b w:val="0"/>
                <w:color w:val="auto"/>
                <w:sz w:val="28"/>
                <w:lang w:val="en-US" w:eastAsia="zh-CN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color w:val="auto"/>
                <w:sz w:val="28"/>
                <w:lang w:val="en-US" w:eastAsia="zh-CN"/>
              </w:rPr>
              <w:t>一等奖</w:t>
            </w:r>
          </w:p>
        </w:tc>
      </w:tr>
      <w:tr>
        <w:trPr>
          <w:trHeight w:val="2461" w:hRule="atLeast"/>
        </w:trPr>
        <w:tc>
          <w:tcPr>
            <w:tcW w:w="2053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8"/>
                <w:szCs w:val="24"/>
              </w:rPr>
            </w:pPr>
            <w:r>
              <w:rPr>
                <w:rFonts w:eastAsia="仿宋_GB2312"/>
                <w:bCs/>
                <w:color w:val="auto"/>
                <w:sz w:val="28"/>
                <w:szCs w:val="24"/>
              </w:rPr>
              <w:t>提名书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8"/>
                <w:szCs w:val="24"/>
              </w:rPr>
            </w:pPr>
            <w:r>
              <w:rPr>
                <w:rFonts w:eastAsia="仿宋_GB2312"/>
                <w:bCs/>
                <w:color w:val="auto"/>
                <w:sz w:val="28"/>
                <w:szCs w:val="24"/>
              </w:rPr>
              <w:t>相关内容</w:t>
            </w:r>
          </w:p>
        </w:tc>
        <w:tc>
          <w:tcPr>
            <w:tcW w:w="6453" w:type="dxa"/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基于微流控技术的PET显像剂模块化集成合成装置及其方法</w:t>
            </w:r>
          </w:p>
          <w:p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一种基于热驱动的微流控反应装置及方法</w:t>
            </w:r>
          </w:p>
          <w:p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阿兹海默症tau蛋白诊疗一体靶向药物前体的合成方法</w:t>
            </w:r>
          </w:p>
          <w:p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一种连续两次合成氟-18放射性药物的工艺及模块</w:t>
            </w:r>
          </w:p>
          <w:p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多次、快速合成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vertAlign w:val="superscript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F-FDG的工艺及所采用的阀门系统</w:t>
            </w:r>
          </w:p>
          <w:p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Transpathology: molecular imaging-based pathology</w:t>
            </w:r>
          </w:p>
          <w:p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Glucose Metabolic Profile by Visual Assessment Combined with Statistical Parametric Mapping Analysis in Pediatric Patients with Epilepsy</w:t>
            </w:r>
          </w:p>
          <w:p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 xml:space="preserve">A Deep Learning Framework for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vertAlign w:val="superscript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F-FDG PET Imaging Diagnosis in Pediatric Patients with Temporal Lobe Epilepsy</w:t>
            </w:r>
          </w:p>
          <w:p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 xml:space="preserve">International consensus on the use of tau PET imaging agent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vertAlign w:val="superscript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F-flortaucipir in Alzheimer's disease</w:t>
            </w:r>
          </w:p>
          <w:p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A Tauopathy-Homing and Autophagy-Activating Nanoassembly for Specific Clearance of Pathogenic Tau in Alzheimer's disease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58" w:hRule="atLeast"/>
        </w:trPr>
        <w:tc>
          <w:tcPr>
            <w:tcW w:w="2053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8"/>
                <w:szCs w:val="24"/>
              </w:rPr>
            </w:pPr>
            <w:r>
              <w:rPr>
                <w:rFonts w:eastAsia="仿宋_GB2312"/>
                <w:bCs/>
                <w:color w:val="auto"/>
                <w:sz w:val="28"/>
                <w:szCs w:val="24"/>
              </w:rPr>
              <w:t>主要完成人</w:t>
            </w:r>
          </w:p>
        </w:tc>
        <w:tc>
          <w:tcPr>
            <w:tcW w:w="6453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张  宏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，排名1，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教授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浙江大学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；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王  菁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，排名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实验师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浙江大学医学院附属第二医院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；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钟  燕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，排名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住院医师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浙江大学医学院附属第二医院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张晓辉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，排名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主治医师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浙江大学医学院附属第二医院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于聪聪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，排名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主治医师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浙江大学医学院附属第二医院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豆晓锋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，排名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主治医师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浙江大学医学院附属第二医院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周  瑞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，排名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住院医师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浙江大学医学院附属第二医院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金晨涛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，排名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主治医师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浙江大学医学院附属第二医院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和庆钢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，排名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研究员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浙江大学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潘建章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，排名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副研究员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浙江大学</w:t>
            </w:r>
          </w:p>
          <w:p>
            <w:pPr>
              <w:spacing w:line="440" w:lineRule="exac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周  彤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，排名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派特（北京）科技有限公司</w:t>
            </w:r>
          </w:p>
        </w:tc>
      </w:tr>
      <w:tr>
        <w:trPr>
          <w:trHeight w:val="1986" w:hRule="atLeast"/>
        </w:trPr>
        <w:tc>
          <w:tcPr>
            <w:tcW w:w="2053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bCs/>
                <w:color w:val="auto"/>
                <w:sz w:val="24"/>
                <w:szCs w:val="24"/>
              </w:rPr>
            </w:pPr>
            <w:r>
              <w:rPr>
                <w:rFonts w:eastAsia="仿宋"/>
                <w:bCs/>
                <w:color w:val="auto"/>
                <w:sz w:val="28"/>
                <w:szCs w:val="24"/>
              </w:rPr>
              <w:t>主要完成单位</w:t>
            </w:r>
          </w:p>
        </w:tc>
        <w:tc>
          <w:tcPr>
            <w:tcW w:w="6453" w:type="dxa"/>
            <w:tcBorders>
              <w:lef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浙江大学</w:t>
            </w: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 xml:space="preserve"> 浙江大学医学院附属第二医院</w:t>
            </w:r>
          </w:p>
          <w:p>
            <w:pPr>
              <w:spacing w:line="440" w:lineRule="exact"/>
              <w:jc w:val="left"/>
              <w:rPr>
                <w:rFonts w:eastAsia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 xml:space="preserve"> 派特（北京）科技有限公司</w:t>
            </w:r>
          </w:p>
        </w:tc>
      </w:tr>
      <w:tr>
        <w:trPr>
          <w:trHeight w:val="692" w:hRule="atLeast"/>
        </w:trPr>
        <w:tc>
          <w:tcPr>
            <w:tcW w:w="2053" w:type="dxa"/>
            <w:vAlign w:val="center"/>
          </w:tcPr>
          <w:p>
            <w:pPr>
              <w:jc w:val="center"/>
              <w:rPr>
                <w:rStyle w:val="4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4"/>
                <w:rFonts w:eastAsia="仿宋_GB2312"/>
                <w:b w:val="0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453" w:type="dxa"/>
            <w:vAlign w:val="center"/>
          </w:tcPr>
          <w:p>
            <w:pPr>
              <w:contextualSpacing/>
              <w:jc w:val="center"/>
              <w:rPr>
                <w:rStyle w:val="4"/>
                <w:rFonts w:hint="eastAsia" w:eastAsia="宋体"/>
                <w:b w:val="0"/>
                <w:color w:val="auto"/>
                <w:lang w:val="en-US" w:eastAsia="zh-CN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color w:val="auto"/>
                <w:lang w:val="en-US" w:eastAsia="zh-CN"/>
              </w:rPr>
              <w:t>浙江大学</w:t>
            </w:r>
          </w:p>
        </w:tc>
      </w:tr>
      <w:tr>
        <w:trPr>
          <w:trHeight w:val="3383" w:hRule="atLeast"/>
        </w:trPr>
        <w:tc>
          <w:tcPr>
            <w:tcW w:w="2053" w:type="dxa"/>
            <w:vAlign w:val="center"/>
          </w:tcPr>
          <w:p>
            <w:pPr>
              <w:jc w:val="center"/>
              <w:rPr>
                <w:rStyle w:val="4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4"/>
                <w:rFonts w:eastAsia="仿宋_GB2312"/>
                <w:b w:val="0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453" w:type="dxa"/>
            <w:vAlign w:val="center"/>
          </w:tcPr>
          <w:p>
            <w:pPr>
              <w:ind w:firstLine="480" w:firstLineChars="200"/>
              <w:contextualSpacing/>
              <w:jc w:val="both"/>
              <w:rPr>
                <w:rStyle w:val="4"/>
                <w:rFonts w:hint="eastAsia" w:ascii="仿宋" w:hAnsi="仿宋" w:eastAsia="仿宋" w:cs="仿宋"/>
                <w:b w:val="0"/>
                <w:color w:val="auto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color w:val="auto"/>
              </w:rPr>
              <w:t>该项目针对日益增长的重大疾病精准诊治需求，围绕正电子发射断层（PET）分子影像探针制备关键技术及系统研发，在连续快速合成、多功能一体化制备、关键设备国产化、原创性探针研发、PET分子影像诊断技术创新等方面，通过医工信交叉、产学研合作，成功研制国产化PET分子影像探针合成制备技术体系；项目开拓了一个新方向----基于微流控技术的PET分子影像探针合成制备系统的创制；提出了一个新理论----基于分子影像的“透明病理”理论创新；开创了一个新领域----引领国产化PET分子影像探针制备的研发，打破了高端PET分子影像探针合成制备系统高度依赖进口的现状，推动我国医学高端装备国产化，实现了我国专用核心部件和系列产品自主创新的跨越发展，加速了我国PET分子影像探针原创性研发，从而整体提高我国PET分子影像临床实践，支撑重大疾病的精准诊治，对创制高端医疗设备和提高我国重大疾病防治水平具有重大意义。</w:t>
            </w:r>
          </w:p>
          <w:p>
            <w:pPr>
              <w:ind w:firstLine="480" w:firstLineChars="200"/>
              <w:contextualSpacing/>
              <w:jc w:val="both"/>
              <w:rPr>
                <w:rStyle w:val="4"/>
                <w:b w:val="0"/>
                <w:color w:val="auto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color w:val="auto"/>
              </w:rPr>
              <w:t>项目发表高水平论文67篇，成果授权知识产权</w:t>
            </w:r>
            <w:r>
              <w:rPr>
                <w:rStyle w:val="4"/>
                <w:rFonts w:hint="eastAsia" w:ascii="仿宋" w:hAnsi="仿宋" w:eastAsia="仿宋" w:cs="仿宋"/>
                <w:b w:val="0"/>
                <w:color w:val="auto"/>
                <w:lang w:val="en-US" w:eastAsia="zh-CN"/>
              </w:rPr>
              <w:t>23</w:t>
            </w:r>
            <w:r>
              <w:rPr>
                <w:rStyle w:val="4"/>
                <w:rFonts w:hint="eastAsia" w:ascii="仿宋" w:hAnsi="仿宋" w:eastAsia="仿宋" w:cs="仿宋"/>
                <w:b w:val="0"/>
                <w:color w:val="auto"/>
              </w:rPr>
              <w:t>项，其中发明专利18项、实用新型专利4项；获日内瓦国际发明展金奖、全国发明展览会金奖、中国感光学会科学技术进步一等奖；销售制备系统247台和试剂盒19680余套；在50余家三甲医院和医药企业推广应用，显著提升重大疾病精准诊治能力，有效降低检查成本，惠及广大患者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EB5824"/>
    <w:multiLevelType w:val="singleLevel"/>
    <w:tmpl w:val="9AEB582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56F4EDA"/>
    <w:multiLevelType w:val="singleLevel"/>
    <w:tmpl w:val="E56F4ED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1MTQ1NDNjMTQzMGM1ZTc1NTkzYjI0ODdhM2VhYTkifQ=="/>
  </w:docVars>
  <w:rsids>
    <w:rsidRoot w:val="5FB56F32"/>
    <w:rsid w:val="123F6226"/>
    <w:rsid w:val="139D1358"/>
    <w:rsid w:val="1AA643E2"/>
    <w:rsid w:val="586B712A"/>
    <w:rsid w:val="5C471564"/>
    <w:rsid w:val="5FB56F32"/>
    <w:rsid w:val="64BC0F23"/>
    <w:rsid w:val="77FAFEA6"/>
    <w:rsid w:val="7E7A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title1"/>
    <w:qFormat/>
    <w:uiPriority w:val="0"/>
    <w:rPr>
      <w:b/>
      <w:bCs/>
      <w:color w:val="9999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1082</Words>
  <Characters>1521</Characters>
  <Lines>0</Lines>
  <Paragraphs>0</Paragraphs>
  <TotalTime>14</TotalTime>
  <ScaleCrop>false</ScaleCrop>
  <LinksUpToDate>false</LinksUpToDate>
  <CharactersWithSpaces>1596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2024-08-02T10:11:00Z</dcterms:created>
  <dc:creator>槡梓</dc:creator>
  <cp:lastModifiedBy>白炽</cp:lastModifiedBy>
  <cp:lastPrinted>2024-08-02T14:06:00Z</cp:lastPrinted>
  <dcterms:modified xsi:type="dcterms:W3CDTF">2024-08-12T18:20:53Z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3AD7AB19E35D8E0705E2B9669B64CCE3</vt:lpwstr>
  </property>
</Properties>
</file>