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Style w:val="13"/>
          <w:rFonts w:eastAsia="方正小标宋简体"/>
          <w:bCs w:val="0"/>
          <w:color w:val="auto"/>
          <w:sz w:val="36"/>
          <w:szCs w:val="36"/>
        </w:rPr>
      </w:pPr>
      <w:r>
        <w:rPr>
          <w:rStyle w:val="13"/>
          <w:rFonts w:eastAsia="方正小标宋简体"/>
          <w:color w:val="auto"/>
          <w:sz w:val="36"/>
          <w:szCs w:val="36"/>
        </w:rPr>
        <w:t>浙江省科学技术奖公示信息表</w:t>
      </w:r>
      <w:r>
        <w:rPr>
          <w:rStyle w:val="13"/>
          <w:rFonts w:eastAsia="仿宋_GB2312"/>
          <w:color w:val="auto"/>
          <w:sz w:val="32"/>
          <w:szCs w:val="32"/>
        </w:rPr>
        <w:t>（</w:t>
      </w:r>
      <w:r>
        <w:rPr>
          <w:rStyle w:val="13"/>
          <w:rFonts w:hint="eastAsia" w:eastAsia="仿宋_GB2312"/>
          <w:color w:val="auto"/>
          <w:sz w:val="32"/>
          <w:szCs w:val="32"/>
        </w:rPr>
        <w:t>单位</w:t>
      </w:r>
      <w:r>
        <w:rPr>
          <w:rStyle w:val="13"/>
          <w:rFonts w:eastAsia="仿宋_GB2312"/>
          <w:color w:val="auto"/>
          <w:sz w:val="32"/>
          <w:szCs w:val="32"/>
        </w:rPr>
        <w:t>提名）</w:t>
      </w:r>
    </w:p>
    <w:p>
      <w:pPr>
        <w:spacing w:line="440" w:lineRule="exact"/>
        <w:ind w:firstLine="0" w:firstLineChars="0"/>
        <w:rPr>
          <w:rFonts w:eastAsia="仿宋_GB2312"/>
          <w:sz w:val="28"/>
          <w:szCs w:val="24"/>
        </w:rPr>
      </w:pPr>
      <w:r>
        <w:rPr>
          <w:rFonts w:eastAsia="仿宋_GB2312"/>
          <w:sz w:val="28"/>
          <w:szCs w:val="24"/>
        </w:rPr>
        <w:t>提名奖项：自然科学奖</w:t>
      </w:r>
    </w:p>
    <w:tbl>
      <w:tblPr>
        <w:tblStyle w:val="9"/>
        <w:tblW w:w="86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4"/>
        <w:gridCol w:w="66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 w:hRule="atLeast"/>
        </w:trPr>
        <w:tc>
          <w:tcPr>
            <w:tcW w:w="2014" w:type="dxa"/>
            <w:vAlign w:val="center"/>
          </w:tcPr>
          <w:p>
            <w:pPr>
              <w:adjustRightInd w:val="0"/>
              <w:snapToGrid w:val="0"/>
              <w:spacing w:line="240" w:lineRule="auto"/>
              <w:ind w:firstLine="0" w:firstLineChars="0"/>
              <w:jc w:val="center"/>
              <w:rPr>
                <w:rStyle w:val="13"/>
                <w:rFonts w:eastAsia="仿宋_GB2312"/>
                <w:b w:val="0"/>
                <w:color w:val="auto"/>
                <w:sz w:val="28"/>
              </w:rPr>
            </w:pPr>
            <w:r>
              <w:rPr>
                <w:rStyle w:val="13"/>
                <w:rFonts w:eastAsia="仿宋_GB2312"/>
                <w:color w:val="auto"/>
                <w:sz w:val="28"/>
              </w:rPr>
              <w:t>成果名称</w:t>
            </w:r>
          </w:p>
        </w:tc>
        <w:tc>
          <w:tcPr>
            <w:tcW w:w="6662" w:type="dxa"/>
            <w:vAlign w:val="center"/>
          </w:tcPr>
          <w:p>
            <w:pPr>
              <w:adjustRightInd w:val="0"/>
              <w:snapToGrid w:val="0"/>
              <w:spacing w:line="240" w:lineRule="auto"/>
              <w:ind w:firstLine="0" w:firstLineChars="0"/>
              <w:jc w:val="center"/>
              <w:rPr>
                <w:rStyle w:val="13"/>
                <w:rFonts w:eastAsia="仿宋_GB2312"/>
                <w:b w:val="0"/>
                <w:color w:val="auto"/>
                <w:sz w:val="28"/>
              </w:rPr>
            </w:pPr>
            <w:r>
              <w:rPr>
                <w:rStyle w:val="13"/>
                <w:rFonts w:hint="eastAsia" w:eastAsia="仿宋_GB2312"/>
                <w:b w:val="0"/>
                <w:color w:val="auto"/>
                <w:sz w:val="28"/>
              </w:rPr>
              <w:t>滨海含浅层气地层灾变机制与控制方法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4" w:hRule="atLeast"/>
        </w:trPr>
        <w:tc>
          <w:tcPr>
            <w:tcW w:w="2014" w:type="dxa"/>
            <w:vAlign w:val="center"/>
          </w:tcPr>
          <w:p>
            <w:pPr>
              <w:snapToGrid w:val="0"/>
              <w:spacing w:line="240" w:lineRule="auto"/>
              <w:ind w:firstLine="0" w:firstLineChars="0"/>
              <w:jc w:val="center"/>
              <w:rPr>
                <w:rStyle w:val="13"/>
                <w:rFonts w:eastAsia="仿宋_GB2312"/>
                <w:b w:val="0"/>
                <w:color w:val="auto"/>
                <w:sz w:val="28"/>
              </w:rPr>
            </w:pPr>
            <w:r>
              <w:rPr>
                <w:rStyle w:val="13"/>
                <w:rFonts w:eastAsia="仿宋_GB2312"/>
                <w:color w:val="auto"/>
                <w:sz w:val="28"/>
              </w:rPr>
              <w:t>提名等级</w:t>
            </w:r>
          </w:p>
        </w:tc>
        <w:tc>
          <w:tcPr>
            <w:tcW w:w="6662" w:type="dxa"/>
            <w:vAlign w:val="center"/>
          </w:tcPr>
          <w:p>
            <w:pPr>
              <w:snapToGrid w:val="0"/>
              <w:spacing w:line="240" w:lineRule="auto"/>
              <w:ind w:firstLine="0" w:firstLineChars="0"/>
              <w:jc w:val="center"/>
              <w:rPr>
                <w:rStyle w:val="13"/>
                <w:rFonts w:eastAsia="仿宋_GB2312"/>
                <w:b w:val="0"/>
                <w:color w:val="auto"/>
                <w:sz w:val="28"/>
              </w:rPr>
            </w:pPr>
            <w:r>
              <w:rPr>
                <w:rStyle w:val="13"/>
                <w:rFonts w:hint="eastAsia" w:eastAsia="仿宋_GB2312"/>
                <w:b w:val="0"/>
                <w:color w:val="auto"/>
                <w:sz w:val="28"/>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92" w:hRule="atLeast"/>
        </w:trPr>
        <w:tc>
          <w:tcPr>
            <w:tcW w:w="2014" w:type="dxa"/>
            <w:vAlign w:val="center"/>
          </w:tcPr>
          <w:p>
            <w:pPr>
              <w:spacing w:line="440" w:lineRule="exact"/>
              <w:ind w:firstLine="0" w:firstLineChars="0"/>
              <w:jc w:val="center"/>
              <w:rPr>
                <w:rFonts w:eastAsia="仿宋_GB2312"/>
                <w:bCs/>
                <w:sz w:val="28"/>
                <w:szCs w:val="24"/>
              </w:rPr>
            </w:pPr>
            <w:r>
              <w:rPr>
                <w:rFonts w:eastAsia="仿宋_GB2312"/>
                <w:bCs/>
                <w:sz w:val="28"/>
                <w:szCs w:val="24"/>
              </w:rPr>
              <w:t>提名书</w:t>
            </w:r>
          </w:p>
          <w:p>
            <w:pPr>
              <w:spacing w:line="440" w:lineRule="exact"/>
              <w:ind w:firstLine="0" w:firstLineChars="0"/>
              <w:jc w:val="center"/>
              <w:rPr>
                <w:rFonts w:eastAsia="仿宋_GB2312"/>
                <w:bCs/>
                <w:sz w:val="28"/>
                <w:szCs w:val="24"/>
              </w:rPr>
            </w:pPr>
            <w:r>
              <w:rPr>
                <w:rFonts w:eastAsia="仿宋_GB2312"/>
                <w:bCs/>
                <w:sz w:val="28"/>
                <w:szCs w:val="24"/>
              </w:rPr>
              <w:t>相关内容</w:t>
            </w:r>
          </w:p>
        </w:tc>
        <w:tc>
          <w:tcPr>
            <w:tcW w:w="6662" w:type="dxa"/>
            <w:vAlign w:val="center"/>
          </w:tcPr>
          <w:p>
            <w:pPr>
              <w:snapToGrid w:val="0"/>
              <w:spacing w:line="360" w:lineRule="exact"/>
              <w:ind w:firstLine="0" w:firstLineChars="0"/>
              <w:jc w:val="left"/>
              <w:rPr>
                <w:rFonts w:eastAsia="仿宋_GB2312"/>
                <w:bCs/>
                <w:sz w:val="22"/>
                <w:szCs w:val="22"/>
              </w:rPr>
            </w:pPr>
            <w:r>
              <w:rPr>
                <w:rFonts w:hint="eastAsia" w:eastAsia="仿宋_GB2312"/>
                <w:b/>
                <w:sz w:val="22"/>
                <w:szCs w:val="22"/>
              </w:rPr>
              <w:t>代表性论文专著</w:t>
            </w:r>
            <w:r>
              <w:rPr>
                <w:rFonts w:hint="eastAsia" w:eastAsia="仿宋_GB2312"/>
                <w:bCs/>
                <w:sz w:val="22"/>
                <w:szCs w:val="22"/>
              </w:rPr>
              <w:t xml:space="preserve">： </w:t>
            </w:r>
          </w:p>
          <w:p>
            <w:pPr>
              <w:pStyle w:val="17"/>
              <w:numPr>
                <w:ilvl w:val="0"/>
                <w:numId w:val="2"/>
              </w:numPr>
              <w:spacing w:line="440" w:lineRule="exact"/>
              <w:ind w:firstLineChars="0"/>
              <w:jc w:val="left"/>
              <w:rPr>
                <w:rFonts w:eastAsia="仿宋_GB2312"/>
                <w:bCs/>
                <w:szCs w:val="24"/>
              </w:rPr>
            </w:pPr>
            <w:r>
              <w:rPr>
                <w:rFonts w:hint="eastAsia" w:eastAsia="仿宋_GB2312"/>
                <w:bCs/>
                <w:szCs w:val="24"/>
              </w:rPr>
              <w:t>Hong Y.; Wang L.Z.; Zhang J.F.; Gao Z.W.; 3D elastoplastic model for fine-grained gassy soil considering the gas-dependent yield surface shape and stress-dilatancy, Journal of Engineering Mechanics-ASCE, 2020, 146(5).</w:t>
            </w:r>
          </w:p>
          <w:p>
            <w:pPr>
              <w:numPr>
                <w:ilvl w:val="0"/>
                <w:numId w:val="2"/>
              </w:numPr>
              <w:spacing w:line="440" w:lineRule="exact"/>
              <w:ind w:firstLine="480"/>
              <w:jc w:val="left"/>
              <w:rPr>
                <w:rFonts w:eastAsia="仿宋_GB2312"/>
                <w:bCs/>
                <w:szCs w:val="24"/>
              </w:rPr>
            </w:pPr>
            <w:r>
              <w:rPr>
                <w:rFonts w:hint="eastAsia" w:eastAsia="仿宋_GB2312"/>
                <w:bCs/>
                <w:szCs w:val="24"/>
              </w:rPr>
              <w:t>Hong Y.; Wang X.T.; Wang L.Z,; Gao Z.W.; A state-dependent constitutive model for coarse-grained gassy soil and its application in slope instability modelling, Computers and Geotechnics, 2021, 129(103847).</w:t>
            </w:r>
          </w:p>
          <w:p>
            <w:pPr>
              <w:numPr>
                <w:ilvl w:val="0"/>
                <w:numId w:val="2"/>
              </w:numPr>
              <w:spacing w:line="440" w:lineRule="exact"/>
              <w:ind w:firstLine="480"/>
              <w:jc w:val="left"/>
              <w:rPr>
                <w:rFonts w:eastAsia="仿宋_GB2312"/>
                <w:bCs/>
                <w:szCs w:val="24"/>
              </w:rPr>
            </w:pPr>
            <w:r>
              <w:rPr>
                <w:rFonts w:hint="eastAsia" w:eastAsia="仿宋_GB2312"/>
                <w:bCs/>
                <w:szCs w:val="24"/>
              </w:rPr>
              <w:t xml:space="preserve">Hong Y.; Wang L.Z.; Ng C.W.W.; </w:t>
            </w:r>
            <w:bookmarkStart w:id="0" w:name="_GoBack"/>
            <w:bookmarkEnd w:id="0"/>
            <w:r>
              <w:rPr>
                <w:rFonts w:hint="eastAsia" w:eastAsia="仿宋_GB2312"/>
                <w:bCs/>
                <w:szCs w:val="24"/>
              </w:rPr>
              <w:t>Yang B.; Effect of initial pore pressure on undrained shear behaviour of gassy marine clay, Canadian Geotechnical Journal, 2017, 54: 1592-1600.</w:t>
            </w:r>
          </w:p>
          <w:p>
            <w:pPr>
              <w:numPr>
                <w:ilvl w:val="0"/>
                <w:numId w:val="2"/>
              </w:numPr>
              <w:spacing w:line="440" w:lineRule="exact"/>
              <w:ind w:firstLine="480"/>
              <w:jc w:val="left"/>
              <w:rPr>
                <w:rFonts w:eastAsia="仿宋_GB2312"/>
                <w:bCs/>
                <w:szCs w:val="24"/>
              </w:rPr>
            </w:pPr>
            <w:r>
              <w:rPr>
                <w:rFonts w:hint="eastAsia" w:eastAsia="仿宋_GB2312"/>
                <w:bCs/>
                <w:szCs w:val="24"/>
              </w:rPr>
              <w:t>Hong Y.; Ng C.W.W.; Base stability of multi-propped excavations in soft clay subjected to hydraulic uplift, Canadian Geotechnical Journal, 2013, 50(2), 153-164.</w:t>
            </w:r>
          </w:p>
          <w:p>
            <w:pPr>
              <w:numPr>
                <w:ilvl w:val="0"/>
                <w:numId w:val="2"/>
              </w:numPr>
              <w:spacing w:line="440" w:lineRule="exact"/>
              <w:ind w:firstLine="480"/>
              <w:jc w:val="left"/>
              <w:rPr>
                <w:rFonts w:eastAsia="仿宋_GB2312"/>
                <w:bCs/>
                <w:szCs w:val="24"/>
              </w:rPr>
            </w:pPr>
            <w:r>
              <w:rPr>
                <w:rFonts w:hint="eastAsia" w:eastAsia="仿宋_GB2312"/>
                <w:bCs/>
                <w:szCs w:val="24"/>
              </w:rPr>
              <w:t>Ng C.W.W.; Feng S.; Liu H.W.; A fully coupled model for water–gas–heat reactive transport with methane oxidation in landfill covers, Science of the Total Environment, 2015, 508, 307 - 319</w:t>
            </w:r>
          </w:p>
          <w:p>
            <w:pPr>
              <w:numPr>
                <w:ilvl w:val="0"/>
                <w:numId w:val="2"/>
              </w:numPr>
              <w:spacing w:line="440" w:lineRule="exact"/>
              <w:ind w:firstLine="480"/>
              <w:jc w:val="left"/>
              <w:rPr>
                <w:rFonts w:eastAsia="仿宋_GB2312"/>
                <w:bCs/>
                <w:szCs w:val="24"/>
              </w:rPr>
            </w:pPr>
            <w:r>
              <w:rPr>
                <w:rFonts w:hint="eastAsia" w:eastAsia="仿宋_GB2312"/>
                <w:bCs/>
                <w:szCs w:val="24"/>
              </w:rPr>
              <w:t>Feng, S.; Ng, C.W.W.; Leung, A.K.; Liu, H.W.; Numerical modelling of methane oxidation efficiency and coupled water-gas-heat reactive transfer in a sloping landfill cover, Waste Management, 2017, 68, 355 - 368</w:t>
            </w:r>
          </w:p>
          <w:p>
            <w:pPr>
              <w:numPr>
                <w:ilvl w:val="0"/>
                <w:numId w:val="2"/>
              </w:numPr>
              <w:spacing w:line="440" w:lineRule="exact"/>
              <w:ind w:firstLine="480"/>
              <w:jc w:val="left"/>
              <w:rPr>
                <w:rFonts w:eastAsia="仿宋_GB2312"/>
                <w:bCs/>
                <w:szCs w:val="24"/>
              </w:rPr>
            </w:pPr>
            <w:r>
              <w:rPr>
                <w:rFonts w:hint="eastAsia" w:eastAsia="仿宋_GB2312"/>
                <w:bCs/>
                <w:szCs w:val="24"/>
              </w:rPr>
              <w:t>Shen, L</w:t>
            </w:r>
            <w:r>
              <w:rPr>
                <w:rFonts w:eastAsia="仿宋_GB2312"/>
                <w:bCs/>
                <w:szCs w:val="24"/>
              </w:rPr>
              <w:t>.D.</w:t>
            </w:r>
            <w:r>
              <w:rPr>
                <w:rFonts w:hint="eastAsia" w:eastAsia="仿宋_GB2312"/>
                <w:bCs/>
                <w:szCs w:val="24"/>
              </w:rPr>
              <w:t>; Liu, S</w:t>
            </w:r>
            <w:r>
              <w:rPr>
                <w:rFonts w:eastAsia="仿宋_GB2312"/>
                <w:bCs/>
                <w:szCs w:val="24"/>
              </w:rPr>
              <w:t>.</w:t>
            </w:r>
            <w:r>
              <w:rPr>
                <w:rFonts w:hint="eastAsia" w:eastAsia="仿宋_GB2312"/>
                <w:bCs/>
                <w:szCs w:val="24"/>
              </w:rPr>
              <w:t>; Zhu, Q</w:t>
            </w:r>
            <w:r>
              <w:rPr>
                <w:rFonts w:eastAsia="仿宋_GB2312"/>
                <w:bCs/>
                <w:szCs w:val="24"/>
              </w:rPr>
              <w:t>.</w:t>
            </w:r>
            <w:r>
              <w:rPr>
                <w:rFonts w:hint="eastAsia" w:eastAsia="仿宋_GB2312"/>
                <w:bCs/>
                <w:szCs w:val="24"/>
              </w:rPr>
              <w:t>; Li, X</w:t>
            </w:r>
            <w:r>
              <w:rPr>
                <w:rFonts w:eastAsia="仿宋_GB2312"/>
                <w:bCs/>
                <w:szCs w:val="24"/>
              </w:rPr>
              <w:t>.Y.</w:t>
            </w:r>
            <w:r>
              <w:rPr>
                <w:rFonts w:hint="eastAsia" w:eastAsia="仿宋_GB2312"/>
                <w:bCs/>
                <w:szCs w:val="24"/>
              </w:rPr>
              <w:t>; Cai, C</w:t>
            </w:r>
            <w:r>
              <w:rPr>
                <w:rFonts w:eastAsia="仿宋_GB2312"/>
                <w:bCs/>
                <w:szCs w:val="24"/>
              </w:rPr>
              <w:t>.</w:t>
            </w:r>
            <w:r>
              <w:rPr>
                <w:rFonts w:hint="eastAsia" w:eastAsia="仿宋_GB2312"/>
                <w:bCs/>
                <w:szCs w:val="24"/>
              </w:rPr>
              <w:t>; Cheng, D</w:t>
            </w:r>
            <w:r>
              <w:rPr>
                <w:rFonts w:eastAsia="仿宋_GB2312"/>
                <w:bCs/>
                <w:szCs w:val="24"/>
              </w:rPr>
              <w:t>.Q.</w:t>
            </w:r>
            <w:r>
              <w:rPr>
                <w:rFonts w:hint="eastAsia" w:eastAsia="仿宋_GB2312"/>
                <w:bCs/>
                <w:szCs w:val="24"/>
              </w:rPr>
              <w:t>; Lou, L</w:t>
            </w:r>
            <w:r>
              <w:rPr>
                <w:rFonts w:eastAsia="仿宋_GB2312"/>
                <w:bCs/>
                <w:szCs w:val="24"/>
              </w:rPr>
              <w:t>L.P.</w:t>
            </w:r>
            <w:r>
              <w:rPr>
                <w:rFonts w:hint="eastAsia" w:eastAsia="仿宋_GB2312"/>
                <w:bCs/>
                <w:szCs w:val="24"/>
              </w:rPr>
              <w:t>; Xu, X</w:t>
            </w:r>
            <w:r>
              <w:rPr>
                <w:rFonts w:eastAsia="仿宋_GB2312"/>
                <w:bCs/>
                <w:szCs w:val="24"/>
              </w:rPr>
              <w:t>.Y.</w:t>
            </w:r>
            <w:r>
              <w:rPr>
                <w:rFonts w:hint="eastAsia" w:eastAsia="仿宋_GB2312"/>
                <w:bCs/>
                <w:szCs w:val="24"/>
              </w:rPr>
              <w:t xml:space="preserve">; Zheng, </w:t>
            </w:r>
            <w:r>
              <w:rPr>
                <w:rFonts w:eastAsia="仿宋_GB2312"/>
                <w:bCs/>
                <w:szCs w:val="24"/>
              </w:rPr>
              <w:t>.</w:t>
            </w:r>
            <w:r>
              <w:rPr>
                <w:rFonts w:hint="eastAsia" w:eastAsia="仿宋_GB2312"/>
                <w:bCs/>
                <w:szCs w:val="24"/>
              </w:rPr>
              <w:t xml:space="preserve">; Hu, </w:t>
            </w:r>
            <w:r>
              <w:rPr>
                <w:rFonts w:eastAsia="仿宋_GB2312"/>
                <w:bCs/>
                <w:szCs w:val="24"/>
              </w:rPr>
              <w:t>.</w:t>
            </w:r>
            <w:r>
              <w:rPr>
                <w:rFonts w:hint="eastAsia" w:eastAsia="仿宋_GB2312"/>
                <w:bCs/>
                <w:szCs w:val="24"/>
              </w:rPr>
              <w:t xml:space="preserve">; Distribution and diversity of </w:t>
            </w:r>
            <w:r>
              <w:rPr>
                <w:rFonts w:eastAsia="仿宋_GB2312"/>
                <w:bCs/>
                <w:szCs w:val="24"/>
              </w:rPr>
              <w:t>n</w:t>
            </w:r>
            <w:r>
              <w:rPr>
                <w:rFonts w:hint="eastAsia" w:eastAsia="仿宋_GB2312"/>
                <w:bCs/>
                <w:szCs w:val="24"/>
              </w:rPr>
              <w:t>itrite-</w:t>
            </w:r>
            <w:r>
              <w:rPr>
                <w:rFonts w:eastAsia="仿宋_GB2312"/>
                <w:bCs/>
                <w:szCs w:val="24"/>
              </w:rPr>
              <w:t>d</w:t>
            </w:r>
            <w:r>
              <w:rPr>
                <w:rFonts w:hint="eastAsia" w:eastAsia="仿宋_GB2312"/>
                <w:bCs/>
                <w:szCs w:val="24"/>
              </w:rPr>
              <w:t xml:space="preserve">ependent </w:t>
            </w:r>
            <w:r>
              <w:rPr>
                <w:rFonts w:eastAsia="仿宋_GB2312"/>
                <w:bCs/>
                <w:szCs w:val="24"/>
              </w:rPr>
              <w:t>a</w:t>
            </w:r>
            <w:r>
              <w:rPr>
                <w:rFonts w:hint="eastAsia" w:eastAsia="仿宋_GB2312"/>
                <w:bCs/>
                <w:szCs w:val="24"/>
              </w:rPr>
              <w:t xml:space="preserve">naerobic </w:t>
            </w:r>
            <w:r>
              <w:rPr>
                <w:rFonts w:eastAsia="仿宋_GB2312"/>
                <w:bCs/>
                <w:szCs w:val="24"/>
              </w:rPr>
              <w:t>m</w:t>
            </w:r>
            <w:r>
              <w:rPr>
                <w:rFonts w:hint="eastAsia" w:eastAsia="仿宋_GB2312"/>
                <w:bCs/>
                <w:szCs w:val="24"/>
              </w:rPr>
              <w:t>ethane-</w:t>
            </w:r>
            <w:r>
              <w:rPr>
                <w:rFonts w:eastAsia="仿宋_GB2312"/>
                <w:bCs/>
                <w:szCs w:val="24"/>
              </w:rPr>
              <w:t>o</w:t>
            </w:r>
            <w:r>
              <w:rPr>
                <w:rFonts w:hint="eastAsia" w:eastAsia="仿宋_GB2312"/>
                <w:bCs/>
                <w:szCs w:val="24"/>
              </w:rPr>
              <w:t xml:space="preserve">xidising </w:t>
            </w:r>
            <w:r>
              <w:rPr>
                <w:rFonts w:eastAsia="仿宋_GB2312"/>
                <w:bCs/>
                <w:szCs w:val="24"/>
              </w:rPr>
              <w:t>b</w:t>
            </w:r>
            <w:r>
              <w:rPr>
                <w:rFonts w:hint="eastAsia" w:eastAsia="仿宋_GB2312"/>
                <w:bCs/>
                <w:szCs w:val="24"/>
              </w:rPr>
              <w:t xml:space="preserve">acteria in the </w:t>
            </w:r>
            <w:r>
              <w:rPr>
                <w:rFonts w:eastAsia="仿宋_GB2312"/>
                <w:bCs/>
                <w:szCs w:val="24"/>
              </w:rPr>
              <w:t>s</w:t>
            </w:r>
            <w:r>
              <w:rPr>
                <w:rFonts w:hint="eastAsia" w:eastAsia="仿宋_GB2312"/>
                <w:bCs/>
                <w:szCs w:val="24"/>
              </w:rPr>
              <w:t>ediments of the Qiantang River, Microbial Ecology, 2014, 2(67), 341-349</w:t>
            </w:r>
          </w:p>
          <w:p>
            <w:pPr>
              <w:pStyle w:val="17"/>
              <w:numPr>
                <w:ilvl w:val="0"/>
                <w:numId w:val="2"/>
              </w:numPr>
              <w:spacing w:line="440" w:lineRule="exact"/>
              <w:ind w:firstLineChars="0"/>
              <w:jc w:val="left"/>
              <w:rPr>
                <w:rFonts w:eastAsia="仿宋_GB2312"/>
                <w:bCs/>
                <w:szCs w:val="24"/>
              </w:rPr>
            </w:pPr>
            <w:r>
              <w:rPr>
                <w:rFonts w:hint="eastAsia" w:eastAsia="仿宋_GB2312"/>
                <w:bCs/>
                <w:szCs w:val="24"/>
              </w:rPr>
              <w:t>Shen, L</w:t>
            </w:r>
            <w:r>
              <w:rPr>
                <w:rFonts w:eastAsia="仿宋_GB2312"/>
                <w:bCs/>
                <w:szCs w:val="24"/>
              </w:rPr>
              <w:t>.D.</w:t>
            </w:r>
            <w:r>
              <w:rPr>
                <w:rFonts w:hint="eastAsia" w:eastAsia="仿宋_GB2312"/>
                <w:bCs/>
                <w:szCs w:val="24"/>
              </w:rPr>
              <w:t>; Liu, S</w:t>
            </w:r>
            <w:r>
              <w:rPr>
                <w:rFonts w:eastAsia="仿宋_GB2312"/>
                <w:bCs/>
                <w:szCs w:val="24"/>
              </w:rPr>
              <w:t>.</w:t>
            </w:r>
            <w:r>
              <w:rPr>
                <w:rFonts w:hint="eastAsia" w:eastAsia="仿宋_GB2312"/>
                <w:bCs/>
                <w:szCs w:val="24"/>
              </w:rPr>
              <w:t>; Huang, Q</w:t>
            </w:r>
            <w:r>
              <w:rPr>
                <w:rFonts w:eastAsia="仿宋_GB2312"/>
                <w:bCs/>
                <w:szCs w:val="24"/>
              </w:rPr>
              <w:t>.</w:t>
            </w:r>
            <w:r>
              <w:rPr>
                <w:rFonts w:hint="eastAsia" w:eastAsia="仿宋_GB2312"/>
                <w:bCs/>
                <w:szCs w:val="24"/>
              </w:rPr>
              <w:t>; Lian, X</w:t>
            </w:r>
            <w:r>
              <w:rPr>
                <w:rFonts w:eastAsia="仿宋_GB2312"/>
                <w:bCs/>
                <w:szCs w:val="24"/>
              </w:rPr>
              <w:t>.</w:t>
            </w:r>
            <w:r>
              <w:rPr>
                <w:rFonts w:hint="eastAsia" w:eastAsia="仿宋_GB2312"/>
                <w:bCs/>
                <w:szCs w:val="24"/>
              </w:rPr>
              <w:t>; He, Z</w:t>
            </w:r>
            <w:r>
              <w:rPr>
                <w:rFonts w:eastAsia="仿宋_GB2312"/>
                <w:bCs/>
                <w:szCs w:val="24"/>
              </w:rPr>
              <w:t>.F.</w:t>
            </w:r>
            <w:r>
              <w:rPr>
                <w:rFonts w:hint="eastAsia" w:eastAsia="仿宋_GB2312"/>
                <w:bCs/>
                <w:szCs w:val="24"/>
              </w:rPr>
              <w:t>; Geng, S</w:t>
            </w:r>
            <w:r>
              <w:rPr>
                <w:rFonts w:eastAsia="仿宋_GB2312"/>
                <w:bCs/>
                <w:szCs w:val="24"/>
              </w:rPr>
              <w:t>.</w:t>
            </w:r>
            <w:r>
              <w:rPr>
                <w:rFonts w:hint="eastAsia" w:eastAsia="仿宋_GB2312"/>
                <w:bCs/>
                <w:szCs w:val="24"/>
              </w:rPr>
              <w:t>；Jin, R</w:t>
            </w:r>
            <w:r>
              <w:rPr>
                <w:rFonts w:eastAsia="仿宋_GB2312"/>
                <w:bCs/>
                <w:szCs w:val="24"/>
              </w:rPr>
              <w:t>.C.</w:t>
            </w:r>
            <w:r>
              <w:rPr>
                <w:rFonts w:hint="eastAsia" w:eastAsia="仿宋_GB2312"/>
                <w:bCs/>
                <w:szCs w:val="24"/>
              </w:rPr>
              <w:t>; He, Y</w:t>
            </w:r>
            <w:r>
              <w:rPr>
                <w:rFonts w:eastAsia="仿宋_GB2312"/>
                <w:bCs/>
                <w:szCs w:val="24"/>
              </w:rPr>
              <w:t>.F.</w:t>
            </w:r>
            <w:r>
              <w:rPr>
                <w:rFonts w:hint="eastAsia" w:eastAsia="仿宋_GB2312"/>
                <w:bCs/>
                <w:szCs w:val="24"/>
              </w:rPr>
              <w:t>; Lou, L</w:t>
            </w:r>
            <w:r>
              <w:rPr>
                <w:rFonts w:eastAsia="仿宋_GB2312"/>
                <w:bCs/>
                <w:szCs w:val="24"/>
              </w:rPr>
              <w:t>.P.</w:t>
            </w:r>
            <w:r>
              <w:rPr>
                <w:rFonts w:hint="eastAsia" w:eastAsia="仿宋_GB2312"/>
                <w:bCs/>
                <w:szCs w:val="24"/>
              </w:rPr>
              <w:t>; Xu, X</w:t>
            </w:r>
            <w:r>
              <w:rPr>
                <w:rFonts w:eastAsia="仿宋_GB2312"/>
                <w:bCs/>
                <w:szCs w:val="24"/>
              </w:rPr>
              <w:t>.Y.</w:t>
            </w:r>
            <w:r>
              <w:rPr>
                <w:rFonts w:hint="eastAsia" w:eastAsia="仿宋_GB2312"/>
                <w:bCs/>
                <w:szCs w:val="24"/>
              </w:rPr>
              <w:t>; Zheng, P</w:t>
            </w:r>
            <w:r>
              <w:rPr>
                <w:rFonts w:eastAsia="仿宋_GB2312"/>
                <w:bCs/>
                <w:szCs w:val="24"/>
              </w:rPr>
              <w:t>.</w:t>
            </w:r>
            <w:r>
              <w:rPr>
                <w:rFonts w:hint="eastAsia" w:eastAsia="仿宋_GB2312"/>
                <w:bCs/>
                <w:szCs w:val="24"/>
              </w:rPr>
              <w:t>; Hu, B</w:t>
            </w:r>
            <w:r>
              <w:rPr>
                <w:rFonts w:eastAsia="仿宋_GB2312"/>
                <w:bCs/>
                <w:szCs w:val="24"/>
              </w:rPr>
              <w:t>.L.</w:t>
            </w:r>
            <w:r>
              <w:rPr>
                <w:rFonts w:hint="eastAsia" w:eastAsia="仿宋_GB2312"/>
                <w:bCs/>
                <w:szCs w:val="24"/>
              </w:rPr>
              <w:t>; Evidence for the cooccurrence of nitrite-dependent anaerobic ammonium and methane oxidation processes in a flooded paddy field, Applied and Environmental Microbiology, 2014, 24(80), 7611-7619</w:t>
            </w:r>
          </w:p>
          <w:p>
            <w:pPr>
              <w:pStyle w:val="17"/>
              <w:spacing w:line="440" w:lineRule="exact"/>
              <w:ind w:left="420" w:firstLine="0" w:firstLineChars="0"/>
              <w:jc w:val="left"/>
              <w:rPr>
                <w:rFonts w:eastAsia="仿宋_GB2312"/>
                <w:bCs/>
                <w:szCs w:val="24"/>
              </w:rPr>
            </w:pPr>
          </w:p>
          <w:p>
            <w:pPr>
              <w:snapToGrid w:val="0"/>
              <w:spacing w:line="360" w:lineRule="exact"/>
              <w:ind w:firstLine="0" w:firstLineChars="0"/>
              <w:rPr>
                <w:rFonts w:eastAsia="仿宋_GB2312"/>
                <w:bCs/>
                <w:sz w:val="22"/>
                <w:szCs w:val="22"/>
              </w:rPr>
            </w:pPr>
            <w:r>
              <w:rPr>
                <w:rFonts w:hint="eastAsia" w:eastAsia="仿宋_GB2312"/>
                <w:b/>
                <w:sz w:val="22"/>
                <w:szCs w:val="22"/>
              </w:rPr>
              <w:t>主要知识产权和标准规范目录</w:t>
            </w:r>
            <w:r>
              <w:rPr>
                <w:rFonts w:hint="eastAsia" w:eastAsia="仿宋_GB2312"/>
                <w:bCs/>
                <w:sz w:val="22"/>
                <w:szCs w:val="22"/>
              </w:rPr>
              <w:t>：</w:t>
            </w:r>
          </w:p>
          <w:p>
            <w:pPr>
              <w:pStyle w:val="17"/>
              <w:numPr>
                <w:ilvl w:val="0"/>
                <w:numId w:val="3"/>
              </w:numPr>
              <w:snapToGrid w:val="0"/>
              <w:spacing w:line="360" w:lineRule="exact"/>
              <w:ind w:left="0" w:firstLine="440"/>
              <w:rPr>
                <w:rFonts w:eastAsia="仿宋_GB2312"/>
                <w:bCs/>
                <w:sz w:val="22"/>
                <w:szCs w:val="22"/>
              </w:rPr>
            </w:pPr>
            <w:r>
              <w:rPr>
                <w:rFonts w:hint="eastAsia" w:eastAsia="仿宋_GB2312"/>
                <w:bCs/>
                <w:sz w:val="22"/>
                <w:szCs w:val="22"/>
              </w:rPr>
              <w:t>洪义;杨斌;王立忠. 一种海底含气软粘土的制作方法及装置[P].发明专利，CN106124275B.（有效）</w:t>
            </w:r>
          </w:p>
          <w:p>
            <w:pPr>
              <w:pStyle w:val="17"/>
              <w:numPr>
                <w:ilvl w:val="0"/>
                <w:numId w:val="3"/>
              </w:numPr>
              <w:snapToGrid w:val="0"/>
              <w:spacing w:line="360" w:lineRule="exact"/>
              <w:ind w:left="0" w:firstLine="440"/>
              <w:rPr>
                <w:rFonts w:eastAsia="仿宋_GB2312"/>
                <w:bCs/>
                <w:sz w:val="22"/>
                <w:szCs w:val="22"/>
              </w:rPr>
            </w:pPr>
            <w:r>
              <w:rPr>
                <w:rFonts w:hint="eastAsia" w:eastAsia="仿宋_GB2312"/>
                <w:bCs/>
                <w:sz w:val="22"/>
                <w:szCs w:val="22"/>
              </w:rPr>
              <w:t>洪义;王立忠;杨斌;孙梵. 用于原位测量海底含气土中气体含量的装置及其测量方法[P].发明专利，CN106153730B.（有效）</w:t>
            </w:r>
          </w:p>
          <w:p>
            <w:pPr>
              <w:pStyle w:val="17"/>
              <w:numPr>
                <w:ilvl w:val="0"/>
                <w:numId w:val="3"/>
              </w:numPr>
              <w:snapToGrid w:val="0"/>
              <w:spacing w:line="360" w:lineRule="exact"/>
              <w:ind w:left="0" w:firstLine="440"/>
              <w:rPr>
                <w:rFonts w:eastAsia="仿宋_GB2312"/>
                <w:bCs/>
                <w:sz w:val="22"/>
                <w:szCs w:val="22"/>
              </w:rPr>
            </w:pPr>
            <w:r>
              <w:rPr>
                <w:rFonts w:hint="eastAsia" w:eastAsia="仿宋_GB2312"/>
                <w:bCs/>
                <w:sz w:val="22"/>
                <w:szCs w:val="22"/>
              </w:rPr>
              <w:t>洪义;赖踊卿;王立忠;李玲玲. 一种模拟巨浪下含浅层气海床气力突涌及海床失稳的装置[P].发明专利，CN107966267B.（有效）</w:t>
            </w:r>
          </w:p>
          <w:p>
            <w:pPr>
              <w:pStyle w:val="17"/>
              <w:numPr>
                <w:ilvl w:val="0"/>
                <w:numId w:val="3"/>
              </w:numPr>
              <w:snapToGrid w:val="0"/>
              <w:spacing w:line="360" w:lineRule="exact"/>
              <w:ind w:left="0" w:firstLine="440"/>
              <w:rPr>
                <w:rFonts w:eastAsia="仿宋_GB2312"/>
                <w:bCs/>
                <w:szCs w:val="24"/>
              </w:rPr>
            </w:pPr>
            <w:r>
              <w:rPr>
                <w:rFonts w:hint="eastAsia" w:eastAsia="仿宋_GB2312"/>
                <w:bCs/>
                <w:sz w:val="22"/>
                <w:szCs w:val="22"/>
              </w:rPr>
              <w:t>洪义;郑艺豪;邹诗环;杨日交;王立忠. 一种模拟斜坡海床中浅层气喷发灾变对既有海洋基础影响的装置[P].发明专利，CN108776211B.（有效）</w:t>
            </w:r>
          </w:p>
          <w:p>
            <w:pPr>
              <w:pStyle w:val="17"/>
              <w:numPr>
                <w:ilvl w:val="0"/>
                <w:numId w:val="3"/>
              </w:numPr>
              <w:snapToGrid w:val="0"/>
              <w:spacing w:line="360" w:lineRule="exact"/>
              <w:ind w:left="0" w:firstLine="440"/>
              <w:rPr>
                <w:rFonts w:eastAsia="仿宋_GB2312"/>
                <w:bCs/>
                <w:szCs w:val="24"/>
              </w:rPr>
            </w:pPr>
            <w:r>
              <w:rPr>
                <w:rFonts w:hint="eastAsia" w:eastAsia="仿宋_GB2312"/>
                <w:bCs/>
                <w:sz w:val="22"/>
                <w:szCs w:val="22"/>
              </w:rPr>
              <w:t>洪义;王立忠;赵爽;朱连根;王强;茅奇辉. 一种自适应放气杆及浅层气有控放气回收系统及方法[P].发明专利，CN110578498B.（有效）</w:t>
            </w:r>
          </w:p>
        </w:tc>
      </w:tr>
      <w:tr>
        <w:trPr>
          <w:trHeight w:val="1970" w:hRule="atLeast"/>
        </w:trPr>
        <w:tc>
          <w:tcPr>
            <w:tcW w:w="2014" w:type="dxa"/>
            <w:tcBorders>
              <w:right w:val="single" w:color="auto" w:sz="4" w:space="0"/>
            </w:tcBorders>
            <w:vAlign w:val="center"/>
          </w:tcPr>
          <w:p>
            <w:pPr>
              <w:spacing w:line="440" w:lineRule="exact"/>
              <w:ind w:firstLine="0" w:firstLineChars="0"/>
              <w:jc w:val="center"/>
              <w:rPr>
                <w:rFonts w:eastAsia="仿宋_GB2312"/>
                <w:bCs/>
                <w:sz w:val="28"/>
                <w:szCs w:val="24"/>
              </w:rPr>
            </w:pPr>
            <w:r>
              <w:rPr>
                <w:rFonts w:eastAsia="仿宋_GB2312"/>
                <w:bCs/>
                <w:sz w:val="28"/>
                <w:szCs w:val="24"/>
              </w:rPr>
              <w:t>主要完成人</w:t>
            </w:r>
          </w:p>
        </w:tc>
        <w:tc>
          <w:tcPr>
            <w:tcW w:w="6662" w:type="dxa"/>
            <w:tcBorders>
              <w:left w:val="single" w:color="auto" w:sz="4" w:space="0"/>
            </w:tcBorders>
            <w:vAlign w:val="center"/>
          </w:tcPr>
          <w:p>
            <w:pPr>
              <w:spacing w:line="400" w:lineRule="exact"/>
              <w:ind w:firstLine="0" w:firstLineChars="0"/>
              <w:rPr>
                <w:rFonts w:eastAsia="仿宋_GB2312"/>
                <w:bCs/>
                <w:szCs w:val="24"/>
              </w:rPr>
            </w:pPr>
            <w:r>
              <w:rPr>
                <w:rFonts w:hint="eastAsia" w:eastAsia="仿宋_GB2312"/>
                <w:bCs/>
                <w:szCs w:val="24"/>
              </w:rPr>
              <w:t>洪义，排名1，教授，浙江大学；</w:t>
            </w:r>
          </w:p>
          <w:p>
            <w:pPr>
              <w:spacing w:line="400" w:lineRule="exact"/>
              <w:ind w:firstLine="0" w:firstLineChars="0"/>
              <w:rPr>
                <w:rFonts w:eastAsia="仿宋_GB2312"/>
                <w:bCs/>
                <w:szCs w:val="24"/>
              </w:rPr>
            </w:pPr>
            <w:r>
              <w:rPr>
                <w:rFonts w:hint="eastAsia" w:eastAsia="仿宋_GB2312"/>
                <w:bCs/>
                <w:szCs w:val="24"/>
              </w:rPr>
              <w:t>王立忠，排名2，教授，浙江大学；</w:t>
            </w:r>
          </w:p>
          <w:p>
            <w:pPr>
              <w:spacing w:line="400" w:lineRule="exact"/>
              <w:ind w:firstLine="0" w:firstLineChars="0"/>
              <w:rPr>
                <w:rFonts w:eastAsia="仿宋_GB2312"/>
                <w:bCs/>
                <w:szCs w:val="24"/>
              </w:rPr>
            </w:pPr>
            <w:r>
              <w:rPr>
                <w:rFonts w:hint="eastAsia" w:eastAsia="仿宋_GB2312"/>
                <w:bCs/>
                <w:szCs w:val="24"/>
              </w:rPr>
              <w:t>吴宏伟，排名3，教授，香港科技大学；</w:t>
            </w:r>
          </w:p>
          <w:p>
            <w:pPr>
              <w:spacing w:line="400" w:lineRule="exact"/>
              <w:ind w:firstLine="0" w:firstLineChars="0"/>
              <w:rPr>
                <w:rFonts w:eastAsia="仿宋_GB2312"/>
                <w:bCs/>
                <w:szCs w:val="24"/>
              </w:rPr>
            </w:pPr>
            <w:r>
              <w:rPr>
                <w:rFonts w:hint="eastAsia" w:eastAsia="仿宋_GB2312"/>
                <w:bCs/>
                <w:szCs w:val="24"/>
              </w:rPr>
              <w:t>冯嵩，排名4，研究员，福州大学；</w:t>
            </w:r>
          </w:p>
          <w:p>
            <w:pPr>
              <w:spacing w:line="400" w:lineRule="exact"/>
              <w:ind w:firstLine="0" w:firstLineChars="0"/>
              <w:rPr>
                <w:rFonts w:eastAsia="仿宋_GB2312"/>
                <w:bCs/>
                <w:szCs w:val="24"/>
              </w:rPr>
            </w:pPr>
            <w:r>
              <w:rPr>
                <w:rFonts w:hint="eastAsia" w:eastAsia="仿宋_GB2312"/>
                <w:bCs/>
                <w:szCs w:val="24"/>
              </w:rPr>
              <w:t>沈李东，排名5，教授，南京信息工程大学；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8" w:hRule="atLeast"/>
        </w:trPr>
        <w:tc>
          <w:tcPr>
            <w:tcW w:w="2014" w:type="dxa"/>
            <w:tcBorders>
              <w:right w:val="single" w:color="auto" w:sz="4" w:space="0"/>
            </w:tcBorders>
            <w:vAlign w:val="center"/>
          </w:tcPr>
          <w:p>
            <w:pPr>
              <w:spacing w:line="400" w:lineRule="exact"/>
              <w:ind w:firstLine="0" w:firstLineChars="0"/>
              <w:jc w:val="center"/>
              <w:rPr>
                <w:rFonts w:eastAsia="仿宋"/>
                <w:bCs/>
                <w:szCs w:val="24"/>
              </w:rPr>
            </w:pPr>
            <w:r>
              <w:rPr>
                <w:rFonts w:eastAsia="仿宋"/>
                <w:bCs/>
                <w:sz w:val="28"/>
                <w:szCs w:val="24"/>
              </w:rPr>
              <w:t>主要完成单位</w:t>
            </w:r>
          </w:p>
        </w:tc>
        <w:tc>
          <w:tcPr>
            <w:tcW w:w="6662" w:type="dxa"/>
            <w:tcBorders>
              <w:left w:val="single" w:color="auto" w:sz="4" w:space="0"/>
            </w:tcBorders>
            <w:vAlign w:val="center"/>
          </w:tcPr>
          <w:p>
            <w:pPr>
              <w:spacing w:line="400" w:lineRule="exact"/>
              <w:ind w:firstLine="0" w:firstLineChars="0"/>
              <w:jc w:val="left"/>
              <w:rPr>
                <w:rFonts w:eastAsia="仿宋_GB2312"/>
                <w:bCs/>
                <w:szCs w:val="24"/>
              </w:rPr>
            </w:pPr>
            <w:r>
              <w:rPr>
                <w:rFonts w:eastAsia="仿宋_GB2312"/>
                <w:bCs/>
                <w:szCs w:val="24"/>
              </w:rPr>
              <w:t>1.</w:t>
            </w:r>
            <w:r>
              <w:rPr>
                <w:rFonts w:hint="eastAsia" w:eastAsia="仿宋_GB2312"/>
                <w:bCs/>
                <w:szCs w:val="24"/>
              </w:rPr>
              <w:t>浙江大学</w:t>
            </w:r>
          </w:p>
          <w:p>
            <w:pPr>
              <w:spacing w:line="400" w:lineRule="exact"/>
              <w:ind w:firstLine="0" w:firstLineChars="0"/>
              <w:jc w:val="left"/>
              <w:rPr>
                <w:rFonts w:eastAsia="仿宋_GB2312"/>
                <w:bCs/>
                <w:szCs w:val="24"/>
              </w:rPr>
            </w:pPr>
            <w:r>
              <w:rPr>
                <w:rFonts w:eastAsia="仿宋_GB2312"/>
                <w:bCs/>
                <w:szCs w:val="24"/>
              </w:rPr>
              <w:t>2.</w:t>
            </w:r>
            <w:r>
              <w:rPr>
                <w:rFonts w:hint="eastAsia" w:eastAsia="仿宋_GB2312"/>
                <w:bCs/>
                <w:szCs w:val="24"/>
              </w:rPr>
              <w:t>香港科技大学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42" w:hRule="atLeast"/>
        </w:trPr>
        <w:tc>
          <w:tcPr>
            <w:tcW w:w="2014" w:type="dxa"/>
            <w:tcBorders>
              <w:top w:val="single" w:color="000000" w:sz="4" w:space="0"/>
              <w:left w:val="single" w:color="000000" w:sz="4" w:space="0"/>
              <w:bottom w:val="single" w:color="000000" w:sz="4" w:space="0"/>
              <w:right w:val="single" w:color="000000" w:sz="4" w:space="0"/>
            </w:tcBorders>
            <w:vAlign w:val="center"/>
          </w:tcPr>
          <w:p>
            <w:pPr>
              <w:spacing w:line="440" w:lineRule="exact"/>
              <w:ind w:firstLine="0" w:firstLineChars="0"/>
              <w:jc w:val="center"/>
              <w:rPr>
                <w:rStyle w:val="13"/>
                <w:rFonts w:eastAsia="仿宋"/>
                <w:b w:val="0"/>
                <w:bCs w:val="0"/>
                <w:color w:val="auto"/>
                <w:sz w:val="28"/>
              </w:rPr>
            </w:pPr>
            <w:r>
              <w:rPr>
                <w:rStyle w:val="13"/>
                <w:rFonts w:eastAsia="仿宋"/>
                <w:color w:val="auto"/>
                <w:sz w:val="28"/>
              </w:rPr>
              <w:t>提名</w:t>
            </w:r>
            <w:r>
              <w:rPr>
                <w:rStyle w:val="13"/>
                <w:rFonts w:hint="eastAsia" w:eastAsia="仿宋"/>
                <w:color w:val="auto"/>
                <w:sz w:val="28"/>
              </w:rPr>
              <w:t>单位</w:t>
            </w:r>
          </w:p>
        </w:tc>
        <w:tc>
          <w:tcPr>
            <w:tcW w:w="6662" w:type="dxa"/>
            <w:tcBorders>
              <w:top w:val="single" w:color="000000" w:sz="4" w:space="0"/>
              <w:left w:val="single" w:color="000000" w:sz="4" w:space="0"/>
              <w:bottom w:val="single" w:color="000000" w:sz="4" w:space="0"/>
              <w:right w:val="single" w:color="000000" w:sz="4" w:space="0"/>
            </w:tcBorders>
            <w:vAlign w:val="center"/>
          </w:tcPr>
          <w:p>
            <w:pPr>
              <w:ind w:firstLine="0" w:firstLineChars="0"/>
              <w:contextualSpacing/>
              <w:jc w:val="left"/>
              <w:rPr>
                <w:rStyle w:val="13"/>
                <w:b w:val="0"/>
                <w:color w:val="auto"/>
              </w:rPr>
            </w:pPr>
            <w:r>
              <w:rPr>
                <w:rFonts w:hint="eastAsia" w:eastAsia="仿宋_GB2312"/>
                <w:b/>
                <w:bCs/>
                <w:szCs w:val="32"/>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26" w:hRule="atLeast"/>
        </w:trPr>
        <w:tc>
          <w:tcPr>
            <w:tcW w:w="2014" w:type="dxa"/>
            <w:tcBorders>
              <w:top w:val="single" w:color="000000" w:sz="4" w:space="0"/>
              <w:left w:val="single" w:color="000000" w:sz="4" w:space="0"/>
              <w:bottom w:val="single" w:color="000000" w:sz="4" w:space="0"/>
              <w:right w:val="single" w:color="000000" w:sz="4" w:space="0"/>
            </w:tcBorders>
            <w:vAlign w:val="center"/>
          </w:tcPr>
          <w:p>
            <w:pPr>
              <w:spacing w:line="440" w:lineRule="exact"/>
              <w:ind w:firstLine="0" w:firstLineChars="0"/>
              <w:jc w:val="center"/>
              <w:rPr>
                <w:rStyle w:val="13"/>
                <w:rFonts w:eastAsia="仿宋"/>
                <w:b w:val="0"/>
                <w:bCs w:val="0"/>
                <w:color w:val="auto"/>
                <w:sz w:val="28"/>
              </w:rPr>
            </w:pPr>
            <w:r>
              <w:rPr>
                <w:rStyle w:val="13"/>
                <w:rFonts w:eastAsia="仿宋"/>
                <w:color w:val="auto"/>
                <w:sz w:val="28"/>
              </w:rPr>
              <w:t>提名意见</w:t>
            </w:r>
          </w:p>
        </w:tc>
        <w:tc>
          <w:tcPr>
            <w:tcW w:w="6662" w:type="dxa"/>
            <w:tcBorders>
              <w:top w:val="single" w:color="000000" w:sz="4" w:space="0"/>
              <w:left w:val="single" w:color="000000" w:sz="4" w:space="0"/>
              <w:bottom w:val="single" w:color="000000" w:sz="4" w:space="0"/>
              <w:right w:val="single" w:color="000000" w:sz="4" w:space="0"/>
            </w:tcBorders>
            <w:vAlign w:val="center"/>
          </w:tcPr>
          <w:p>
            <w:pPr>
              <w:ind w:firstLine="480"/>
              <w:contextualSpacing/>
              <w:rPr>
                <w:rStyle w:val="13"/>
                <w:rFonts w:eastAsia="仿宋_GB2312"/>
                <w:b w:val="0"/>
                <w:bCs w:val="0"/>
                <w:color w:val="auto"/>
                <w:szCs w:val="32"/>
              </w:rPr>
            </w:pPr>
            <w:r>
              <w:rPr>
                <w:rStyle w:val="13"/>
                <w:rFonts w:hint="eastAsia" w:eastAsia="仿宋_GB2312"/>
                <w:b w:val="0"/>
                <w:bCs w:val="0"/>
                <w:color w:val="auto"/>
                <w:szCs w:val="32"/>
              </w:rPr>
              <w:t>浅层气（以甲烷为主）广泛富集于我国滨海城市及近海地层中，其在工程中易触发引起喷发燃爆，或诱发大面积滑坡，已在滨海多项工程中造成重大人员伤亡或工程建设严重滞缓。揭示浅层气地层灾变孕育和演化机理并提出控制方法将为该问题的解决提供理论基础与技术支撑，具有重要科学价值与工程应用前景。项目针对上述科学问题，阐明了第四系浅层气形成-运移-氧化-富集的全过程孕灾机制，揭示了浅层气在不同压力下可‘劣化’或‘强化’地层强度的复杂力学效应，建立了考虑浅层气孕灾过程和复杂力学效应的地层灾变分析方法；揭示了工程扰动作用下浅层气地层两大灾变演化机制（喷发突涌、滑坡失稳），探明了其根源是地层中气压-有效应力比超临界值导致浅层气“劣化”地层强度，为浅层气灾变防控提供了关键准则；提出了控制浅层有效应力比和有控放气泄压的灾变控制方法，实现了工程建设期含气地层不劣化、运营期气体不回聚，突破了含气地层灾变定量控制难题。本项目在土力学基本理论方面取得了重要原创性成果，推动了含气地层灾变分析方法和防灾技术的发展，支撑了我国沿海重大工程的安全建设与服役。</w:t>
            </w:r>
          </w:p>
          <w:p>
            <w:pPr>
              <w:ind w:firstLine="480"/>
              <w:contextualSpacing/>
              <w:rPr>
                <w:rStyle w:val="13"/>
                <w:rFonts w:eastAsia="仿宋_GB2312"/>
                <w:b w:val="0"/>
                <w:bCs w:val="0"/>
                <w:color w:val="auto"/>
                <w:szCs w:val="32"/>
              </w:rPr>
            </w:pPr>
            <w:r>
              <w:rPr>
                <w:rStyle w:val="13"/>
                <w:rFonts w:hint="eastAsia" w:eastAsia="仿宋_GB2312"/>
                <w:b w:val="0"/>
                <w:bCs w:val="0"/>
                <w:color w:val="auto"/>
                <w:szCs w:val="32"/>
              </w:rPr>
              <w:t>该项目研究系统性强，成果丰硕，科研人员态度严谨，材料属实，推荐申报浙江省自然科学一等奖。</w:t>
            </w:r>
          </w:p>
        </w:tc>
      </w:tr>
    </w:tbl>
    <w:p>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方正小标宋简体">
    <w:altName w:val="汉仪书宋二KW"/>
    <w:panose1 w:val="00000000000000000000"/>
    <w:charset w:val="86"/>
    <w:family w:val="script"/>
    <w:pitch w:val="default"/>
    <w:sig w:usb0="00000000" w:usb1="00000000" w:usb2="0000001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480"/>
      </w:pPr>
      <w:r>
        <w:separator/>
      </w:r>
    </w:p>
  </w:footnote>
  <w:footnote w:type="continuationSeparator" w:id="1">
    <w:p>
      <w:pPr>
        <w:spacing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7E7FC0"/>
    <w:multiLevelType w:val="singleLevel"/>
    <w:tmpl w:val="1F7E7FC0"/>
    <w:lvl w:ilvl="0" w:tentative="0">
      <w:start w:val="1"/>
      <w:numFmt w:val="decimal"/>
      <w:lvlText w:val="%1."/>
      <w:lvlJc w:val="left"/>
      <w:pPr>
        <w:tabs>
          <w:tab w:val="left" w:pos="312"/>
        </w:tabs>
      </w:pPr>
    </w:lvl>
  </w:abstractNum>
  <w:abstractNum w:abstractNumId="1">
    <w:nsid w:val="265C5CE3"/>
    <w:multiLevelType w:val="multilevel"/>
    <w:tmpl w:val="265C5CE3"/>
    <w:lvl w:ilvl="0" w:tentative="0">
      <w:start w:val="1"/>
      <w:numFmt w:val="decimal"/>
      <w:pStyle w:val="2"/>
      <w:isLgl/>
      <w:lvlText w:val="第%1章"/>
      <w:lvlJc w:val="left"/>
      <w:pPr>
        <w:ind w:left="1134" w:hanging="1134"/>
      </w:pPr>
      <w:rPr>
        <w:rFonts w:hint="eastAsia"/>
      </w:rPr>
    </w:lvl>
    <w:lvl w:ilvl="1" w:tentative="0">
      <w:start w:val="1"/>
      <w:numFmt w:val="decimal"/>
      <w:pStyle w:val="3"/>
      <w:isLgl/>
      <w:lvlText w:val="%1.%2"/>
      <w:lvlJc w:val="left"/>
      <w:pPr>
        <w:ind w:left="510" w:hanging="510"/>
      </w:pPr>
      <w:rPr>
        <w:rFonts w:hint="eastAsia"/>
      </w:rPr>
    </w:lvl>
    <w:lvl w:ilvl="2" w:tentative="0">
      <w:start w:val="1"/>
      <w:numFmt w:val="decimal"/>
      <w:pStyle w:val="4"/>
      <w:isLgl/>
      <w:lvlText w:val="%1.%2.%3"/>
      <w:lvlJc w:val="left"/>
      <w:pPr>
        <w:ind w:left="680" w:hanging="680"/>
      </w:pPr>
      <w:rPr>
        <w:rFonts w:ascii="Times New Roman" w:hAnsi="Times New Roman"/>
        <w:i w:val="0"/>
        <w:iCs w:val="0"/>
        <w:caps w:val="0"/>
        <w:smallCaps w:val="0"/>
        <w:strike w:val="0"/>
        <w:dstrike w:val="0"/>
        <w:outline w:val="0"/>
        <w:shadow w:val="0"/>
        <w:emboss w:val="0"/>
        <w:imprint w:val="0"/>
        <w:vanish w:val="0"/>
        <w:spacing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5"/>
      <w:isLgl/>
      <w:lvlText w:val="%1.%2.%3.%4"/>
      <w:lvlJc w:val="left"/>
      <w:pPr>
        <w:ind w:left="851" w:hanging="851"/>
      </w:pPr>
      <w:rPr>
        <w:rFonts w:hint="eastAsia"/>
      </w:rPr>
    </w:lvl>
    <w:lvl w:ilvl="4" w:tentative="0">
      <w:start w:val="1"/>
      <w:numFmt w:val="decimal"/>
      <w:isLgl/>
      <w:lvlText w:val="%1.%2.%3.%4.%5"/>
      <w:lvlJc w:val="left"/>
      <w:pPr>
        <w:ind w:left="851" w:hanging="851"/>
      </w:pPr>
      <w:rPr>
        <w:rFonts w:hint="eastAsia"/>
      </w:rPr>
    </w:lvl>
    <w:lvl w:ilvl="5" w:tentative="0">
      <w:start w:val="1"/>
      <w:numFmt w:val="decimal"/>
      <w:isLgl/>
      <w:lvlText w:val="%1.%2.%3.%4.%5.%6"/>
      <w:lvlJc w:val="left"/>
      <w:pPr>
        <w:ind w:left="851" w:hanging="851"/>
      </w:pPr>
      <w:rPr>
        <w:rFonts w:hint="eastAsia"/>
      </w:rPr>
    </w:lvl>
    <w:lvl w:ilvl="6" w:tentative="0">
      <w:start w:val="1"/>
      <w:numFmt w:val="decimal"/>
      <w:isLgl/>
      <w:lvlText w:val="%1.%2.%3.%4.%5.%6.%7"/>
      <w:lvlJc w:val="left"/>
      <w:pPr>
        <w:ind w:left="851" w:hanging="851"/>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56D57D2B"/>
    <w:multiLevelType w:val="multilevel"/>
    <w:tmpl w:val="56D57D2B"/>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IxMDc0NTcwtzQ0MjVX0lEKTi0uzszPAykwrwUAEXcPDiwAAAA="/>
    <w:docVar w:name="commondata" w:val="eyJoZGlkIjoiMWI3OGIwNmU4NTc3NzFiMDRlMWM4ZmU5OGExYjNmMWIifQ=="/>
  </w:docVars>
  <w:rsids>
    <w:rsidRoot w:val="007A378A"/>
    <w:rsid w:val="000037F9"/>
    <w:rsid w:val="00015AFD"/>
    <w:rsid w:val="00022D80"/>
    <w:rsid w:val="000268B9"/>
    <w:rsid w:val="000321D2"/>
    <w:rsid w:val="000503AD"/>
    <w:rsid w:val="00055E87"/>
    <w:rsid w:val="0006143B"/>
    <w:rsid w:val="00064B50"/>
    <w:rsid w:val="00083A6A"/>
    <w:rsid w:val="000A084C"/>
    <w:rsid w:val="000B2CD8"/>
    <w:rsid w:val="000B53F1"/>
    <w:rsid w:val="000D271D"/>
    <w:rsid w:val="000F184C"/>
    <w:rsid w:val="000F2CE4"/>
    <w:rsid w:val="00104DEC"/>
    <w:rsid w:val="0010772C"/>
    <w:rsid w:val="0011030A"/>
    <w:rsid w:val="00133845"/>
    <w:rsid w:val="0013420A"/>
    <w:rsid w:val="001372E8"/>
    <w:rsid w:val="0014458C"/>
    <w:rsid w:val="001551CD"/>
    <w:rsid w:val="001653F5"/>
    <w:rsid w:val="0017206F"/>
    <w:rsid w:val="00173F39"/>
    <w:rsid w:val="00181B2A"/>
    <w:rsid w:val="001A0AED"/>
    <w:rsid w:val="001B6C70"/>
    <w:rsid w:val="001C250E"/>
    <w:rsid w:val="001D3A6B"/>
    <w:rsid w:val="001E62FE"/>
    <w:rsid w:val="001E7813"/>
    <w:rsid w:val="001F3336"/>
    <w:rsid w:val="001F6589"/>
    <w:rsid w:val="00203FCD"/>
    <w:rsid w:val="0021550E"/>
    <w:rsid w:val="002172D1"/>
    <w:rsid w:val="00256684"/>
    <w:rsid w:val="00262012"/>
    <w:rsid w:val="00272EE9"/>
    <w:rsid w:val="00277AAB"/>
    <w:rsid w:val="002805E1"/>
    <w:rsid w:val="00287BF1"/>
    <w:rsid w:val="00293EE6"/>
    <w:rsid w:val="002B32AF"/>
    <w:rsid w:val="002B783F"/>
    <w:rsid w:val="002C1515"/>
    <w:rsid w:val="002D2EF4"/>
    <w:rsid w:val="002D5CF2"/>
    <w:rsid w:val="003119AC"/>
    <w:rsid w:val="0031576C"/>
    <w:rsid w:val="0034330B"/>
    <w:rsid w:val="003530A2"/>
    <w:rsid w:val="00367E94"/>
    <w:rsid w:val="00372A78"/>
    <w:rsid w:val="00373D5B"/>
    <w:rsid w:val="00384253"/>
    <w:rsid w:val="0039710C"/>
    <w:rsid w:val="003A399E"/>
    <w:rsid w:val="003B6EAE"/>
    <w:rsid w:val="003E12BE"/>
    <w:rsid w:val="003E16F4"/>
    <w:rsid w:val="003E6ABF"/>
    <w:rsid w:val="0041620B"/>
    <w:rsid w:val="0041783E"/>
    <w:rsid w:val="00417E49"/>
    <w:rsid w:val="00422B35"/>
    <w:rsid w:val="00436258"/>
    <w:rsid w:val="00452332"/>
    <w:rsid w:val="00453268"/>
    <w:rsid w:val="004620CE"/>
    <w:rsid w:val="00465EEA"/>
    <w:rsid w:val="00494137"/>
    <w:rsid w:val="004979AB"/>
    <w:rsid w:val="004A6881"/>
    <w:rsid w:val="004B0943"/>
    <w:rsid w:val="004B2D01"/>
    <w:rsid w:val="004C0214"/>
    <w:rsid w:val="004C348C"/>
    <w:rsid w:val="004D3794"/>
    <w:rsid w:val="0050100D"/>
    <w:rsid w:val="00504C75"/>
    <w:rsid w:val="00513FE6"/>
    <w:rsid w:val="005248B5"/>
    <w:rsid w:val="0053256D"/>
    <w:rsid w:val="0055774C"/>
    <w:rsid w:val="005638F5"/>
    <w:rsid w:val="005916DD"/>
    <w:rsid w:val="005956FF"/>
    <w:rsid w:val="005A0574"/>
    <w:rsid w:val="005D18AF"/>
    <w:rsid w:val="00606FC4"/>
    <w:rsid w:val="00653BB3"/>
    <w:rsid w:val="00660A76"/>
    <w:rsid w:val="006A72CC"/>
    <w:rsid w:val="006B2567"/>
    <w:rsid w:val="006C758E"/>
    <w:rsid w:val="006C7A95"/>
    <w:rsid w:val="006D35AA"/>
    <w:rsid w:val="007008D2"/>
    <w:rsid w:val="007058AE"/>
    <w:rsid w:val="00705C88"/>
    <w:rsid w:val="00715E77"/>
    <w:rsid w:val="00716689"/>
    <w:rsid w:val="00736F8E"/>
    <w:rsid w:val="00754984"/>
    <w:rsid w:val="007913CB"/>
    <w:rsid w:val="007A378A"/>
    <w:rsid w:val="007A4658"/>
    <w:rsid w:val="007C3DDD"/>
    <w:rsid w:val="007E0AA5"/>
    <w:rsid w:val="007E61CF"/>
    <w:rsid w:val="007E723F"/>
    <w:rsid w:val="007E79BC"/>
    <w:rsid w:val="007F2988"/>
    <w:rsid w:val="00803086"/>
    <w:rsid w:val="00817E5D"/>
    <w:rsid w:val="00821DF8"/>
    <w:rsid w:val="008265FD"/>
    <w:rsid w:val="0083142D"/>
    <w:rsid w:val="008314CE"/>
    <w:rsid w:val="00833EA6"/>
    <w:rsid w:val="00841352"/>
    <w:rsid w:val="0089048F"/>
    <w:rsid w:val="00890D61"/>
    <w:rsid w:val="008A0BFE"/>
    <w:rsid w:val="008C54D8"/>
    <w:rsid w:val="008D25A4"/>
    <w:rsid w:val="009023D2"/>
    <w:rsid w:val="009137BD"/>
    <w:rsid w:val="00935486"/>
    <w:rsid w:val="00966B5B"/>
    <w:rsid w:val="009829C7"/>
    <w:rsid w:val="0099327F"/>
    <w:rsid w:val="009973D2"/>
    <w:rsid w:val="009A592B"/>
    <w:rsid w:val="009C05EF"/>
    <w:rsid w:val="009C0B47"/>
    <w:rsid w:val="009C37AF"/>
    <w:rsid w:val="009C5EA5"/>
    <w:rsid w:val="009C7538"/>
    <w:rsid w:val="00A02CFF"/>
    <w:rsid w:val="00A2366E"/>
    <w:rsid w:val="00A25063"/>
    <w:rsid w:val="00A2614B"/>
    <w:rsid w:val="00A31639"/>
    <w:rsid w:val="00A33493"/>
    <w:rsid w:val="00A4176C"/>
    <w:rsid w:val="00A50D21"/>
    <w:rsid w:val="00A53FE8"/>
    <w:rsid w:val="00A6744B"/>
    <w:rsid w:val="00A83578"/>
    <w:rsid w:val="00A85DB6"/>
    <w:rsid w:val="00A929D5"/>
    <w:rsid w:val="00A94231"/>
    <w:rsid w:val="00AA07F8"/>
    <w:rsid w:val="00AA6E5C"/>
    <w:rsid w:val="00AB789D"/>
    <w:rsid w:val="00AE4583"/>
    <w:rsid w:val="00AF17B6"/>
    <w:rsid w:val="00B0775D"/>
    <w:rsid w:val="00B208E3"/>
    <w:rsid w:val="00B231D7"/>
    <w:rsid w:val="00B272D7"/>
    <w:rsid w:val="00B302C6"/>
    <w:rsid w:val="00B562B5"/>
    <w:rsid w:val="00B803AE"/>
    <w:rsid w:val="00B81F19"/>
    <w:rsid w:val="00B86FE6"/>
    <w:rsid w:val="00B955DE"/>
    <w:rsid w:val="00BA1B52"/>
    <w:rsid w:val="00BE493E"/>
    <w:rsid w:val="00BE6E1B"/>
    <w:rsid w:val="00BF2620"/>
    <w:rsid w:val="00BF7EAE"/>
    <w:rsid w:val="00C03F73"/>
    <w:rsid w:val="00C379C3"/>
    <w:rsid w:val="00C47D84"/>
    <w:rsid w:val="00C47F9A"/>
    <w:rsid w:val="00C527E4"/>
    <w:rsid w:val="00C77B08"/>
    <w:rsid w:val="00CA0613"/>
    <w:rsid w:val="00CA47D3"/>
    <w:rsid w:val="00CA51B8"/>
    <w:rsid w:val="00CB373F"/>
    <w:rsid w:val="00CB6D3A"/>
    <w:rsid w:val="00CC00D5"/>
    <w:rsid w:val="00CC208A"/>
    <w:rsid w:val="00CC2283"/>
    <w:rsid w:val="00CC3A41"/>
    <w:rsid w:val="00CC64D3"/>
    <w:rsid w:val="00CD5898"/>
    <w:rsid w:val="00CF25A6"/>
    <w:rsid w:val="00D214A7"/>
    <w:rsid w:val="00D40FAD"/>
    <w:rsid w:val="00D43611"/>
    <w:rsid w:val="00D447D3"/>
    <w:rsid w:val="00D63FA8"/>
    <w:rsid w:val="00D70EDB"/>
    <w:rsid w:val="00D7415B"/>
    <w:rsid w:val="00D8057C"/>
    <w:rsid w:val="00D8264E"/>
    <w:rsid w:val="00D90ECC"/>
    <w:rsid w:val="00D9447D"/>
    <w:rsid w:val="00DA2FBD"/>
    <w:rsid w:val="00DB4287"/>
    <w:rsid w:val="00DB6787"/>
    <w:rsid w:val="00DD037B"/>
    <w:rsid w:val="00DD5D9F"/>
    <w:rsid w:val="00DD7363"/>
    <w:rsid w:val="00DE69FA"/>
    <w:rsid w:val="00DF13D5"/>
    <w:rsid w:val="00E04060"/>
    <w:rsid w:val="00E05773"/>
    <w:rsid w:val="00E05BE6"/>
    <w:rsid w:val="00E11AC2"/>
    <w:rsid w:val="00E13596"/>
    <w:rsid w:val="00E17F63"/>
    <w:rsid w:val="00E20F1E"/>
    <w:rsid w:val="00E24D0F"/>
    <w:rsid w:val="00E4034E"/>
    <w:rsid w:val="00E407E9"/>
    <w:rsid w:val="00E64EEA"/>
    <w:rsid w:val="00E65035"/>
    <w:rsid w:val="00E8514F"/>
    <w:rsid w:val="00E909AC"/>
    <w:rsid w:val="00E913A7"/>
    <w:rsid w:val="00E96553"/>
    <w:rsid w:val="00EC7CD9"/>
    <w:rsid w:val="00ED1707"/>
    <w:rsid w:val="00EF7E06"/>
    <w:rsid w:val="00F139AA"/>
    <w:rsid w:val="00F31A82"/>
    <w:rsid w:val="00F335EF"/>
    <w:rsid w:val="00F375B0"/>
    <w:rsid w:val="00F402D0"/>
    <w:rsid w:val="00F422AC"/>
    <w:rsid w:val="00F44FAE"/>
    <w:rsid w:val="00F52745"/>
    <w:rsid w:val="00F550D3"/>
    <w:rsid w:val="00F65857"/>
    <w:rsid w:val="00F65A11"/>
    <w:rsid w:val="00F73F5D"/>
    <w:rsid w:val="00F7464D"/>
    <w:rsid w:val="00F74FF0"/>
    <w:rsid w:val="00F75012"/>
    <w:rsid w:val="00F75FB4"/>
    <w:rsid w:val="00F94C9F"/>
    <w:rsid w:val="00FA0A48"/>
    <w:rsid w:val="00FB14BA"/>
    <w:rsid w:val="00FB239C"/>
    <w:rsid w:val="00FC4A9E"/>
    <w:rsid w:val="00FD5060"/>
    <w:rsid w:val="00FE322B"/>
    <w:rsid w:val="00FF0C66"/>
    <w:rsid w:val="0F227EB0"/>
    <w:rsid w:val="1A0564E6"/>
    <w:rsid w:val="2EAF7625"/>
    <w:rsid w:val="44F3127A"/>
    <w:rsid w:val="45F44265"/>
    <w:rsid w:val="460A2F4F"/>
    <w:rsid w:val="46205A87"/>
    <w:rsid w:val="566E5F5F"/>
    <w:rsid w:val="5F2C1F1A"/>
    <w:rsid w:val="6E0D5F63"/>
    <w:rsid w:val="721B7DE6"/>
    <w:rsid w:val="765D1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200" w:firstLineChars="200"/>
      <w:jc w:val="both"/>
    </w:pPr>
    <w:rPr>
      <w:rFonts w:ascii="Times New Roman" w:hAnsi="Times New Roman" w:eastAsia="宋体" w:cstheme="minorBidi"/>
      <w:kern w:val="2"/>
      <w:sz w:val="24"/>
      <w:szCs w:val="21"/>
      <w:lang w:val="en-US" w:eastAsia="zh-CN" w:bidi="ar-SA"/>
    </w:rPr>
  </w:style>
  <w:style w:type="paragraph" w:styleId="2">
    <w:name w:val="heading 1"/>
    <w:next w:val="1"/>
    <w:link w:val="12"/>
    <w:qFormat/>
    <w:uiPriority w:val="9"/>
    <w:pPr>
      <w:keepNext/>
      <w:keepLines/>
      <w:pageBreakBefore/>
      <w:numPr>
        <w:ilvl w:val="0"/>
        <w:numId w:val="1"/>
      </w:numPr>
      <w:spacing w:before="240" w:after="240" w:line="720" w:lineRule="auto"/>
      <w:jc w:val="center"/>
      <w:outlineLvl w:val="0"/>
    </w:pPr>
    <w:rPr>
      <w:rFonts w:ascii="Times New Roman" w:hAnsi="Times New Roman" w:eastAsia="黑体" w:cstheme="minorBidi"/>
      <w:b/>
      <w:bCs/>
      <w:kern w:val="44"/>
      <w:sz w:val="32"/>
      <w:szCs w:val="44"/>
      <w:lang w:val="en-US" w:eastAsia="zh-CN" w:bidi="ar-SA"/>
    </w:rPr>
  </w:style>
  <w:style w:type="paragraph" w:styleId="3">
    <w:name w:val="heading 2"/>
    <w:next w:val="1"/>
    <w:link w:val="18"/>
    <w:unhideWhenUsed/>
    <w:qFormat/>
    <w:uiPriority w:val="9"/>
    <w:pPr>
      <w:widowControl w:val="0"/>
      <w:numPr>
        <w:ilvl w:val="1"/>
        <w:numId w:val="1"/>
      </w:numPr>
      <w:spacing w:before="120" w:after="120" w:line="360" w:lineRule="auto"/>
      <w:outlineLvl w:val="1"/>
    </w:pPr>
    <w:rPr>
      <w:rFonts w:ascii="Times New Roman" w:hAnsi="Times New Roman" w:eastAsia="黑体" w:cstheme="majorBidi"/>
      <w:b/>
      <w:bCs/>
      <w:kern w:val="2"/>
      <w:sz w:val="28"/>
      <w:szCs w:val="32"/>
      <w:lang w:val="en-US" w:eastAsia="zh-CN" w:bidi="ar-SA"/>
    </w:rPr>
  </w:style>
  <w:style w:type="paragraph" w:styleId="4">
    <w:name w:val="heading 3"/>
    <w:next w:val="1"/>
    <w:link w:val="19"/>
    <w:unhideWhenUsed/>
    <w:qFormat/>
    <w:uiPriority w:val="9"/>
    <w:pPr>
      <w:numPr>
        <w:ilvl w:val="2"/>
        <w:numId w:val="1"/>
      </w:numPr>
      <w:spacing w:before="120" w:after="120" w:line="360" w:lineRule="auto"/>
      <w:outlineLvl w:val="2"/>
    </w:pPr>
    <w:rPr>
      <w:rFonts w:ascii="Times New Roman" w:hAnsi="Times New Roman" w:eastAsia="黑体" w:cstheme="minorBidi"/>
      <w:b/>
      <w:bCs/>
      <w:kern w:val="2"/>
      <w:sz w:val="24"/>
      <w:szCs w:val="32"/>
      <w:lang w:val="en-US" w:eastAsia="zh-CN" w:bidi="ar-SA"/>
    </w:rPr>
  </w:style>
  <w:style w:type="paragraph" w:styleId="5">
    <w:name w:val="heading 4"/>
    <w:next w:val="1"/>
    <w:link w:val="20"/>
    <w:unhideWhenUsed/>
    <w:qFormat/>
    <w:uiPriority w:val="9"/>
    <w:pPr>
      <w:keepNext/>
      <w:keepLines/>
      <w:numPr>
        <w:ilvl w:val="3"/>
        <w:numId w:val="1"/>
      </w:numPr>
      <w:spacing w:before="120" w:after="120" w:line="360" w:lineRule="auto"/>
      <w:outlineLvl w:val="3"/>
    </w:pPr>
    <w:rPr>
      <w:rFonts w:ascii="Times New Roman" w:hAnsi="Times New Roman" w:eastAsia="宋体" w:cstheme="majorBidi"/>
      <w:b/>
      <w:bCs/>
      <w:kern w:val="2"/>
      <w:sz w:val="24"/>
      <w:szCs w:val="28"/>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14"/>
    <w:unhideWhenUsed/>
    <w:qFormat/>
    <w:uiPriority w:val="99"/>
    <w:pPr>
      <w:widowControl/>
      <w:jc w:val="left"/>
    </w:p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标题 1 Char"/>
    <w:basedOn w:val="10"/>
    <w:link w:val="2"/>
    <w:qFormat/>
    <w:uiPriority w:val="9"/>
    <w:rPr>
      <w:rFonts w:ascii="Times New Roman" w:hAnsi="Times New Roman" w:eastAsia="黑体"/>
      <w:b/>
      <w:bCs/>
      <w:kern w:val="44"/>
      <w:sz w:val="32"/>
      <w:szCs w:val="44"/>
    </w:rPr>
  </w:style>
  <w:style w:type="character" w:customStyle="1" w:styleId="13">
    <w:name w:val="title1"/>
    <w:qFormat/>
    <w:uiPriority w:val="0"/>
    <w:rPr>
      <w:b/>
      <w:bCs/>
      <w:color w:val="999900"/>
      <w:sz w:val="24"/>
      <w:szCs w:val="24"/>
    </w:rPr>
  </w:style>
  <w:style w:type="character" w:customStyle="1" w:styleId="14">
    <w:name w:val="批注文字 Char"/>
    <w:basedOn w:val="10"/>
    <w:link w:val="6"/>
    <w:qFormat/>
    <w:uiPriority w:val="99"/>
    <w:rPr>
      <w:rFonts w:ascii="Times New Roman" w:hAnsi="Times New Roman" w:eastAsia="宋体" w:cs="Times New Roman"/>
      <w:szCs w:val="20"/>
    </w:rPr>
  </w:style>
  <w:style w:type="character" w:customStyle="1" w:styleId="15">
    <w:name w:val="页眉 Char"/>
    <w:basedOn w:val="10"/>
    <w:link w:val="8"/>
    <w:qFormat/>
    <w:uiPriority w:val="99"/>
    <w:rPr>
      <w:rFonts w:ascii="Times New Roman" w:hAnsi="Times New Roman" w:eastAsia="宋体" w:cs="Times New Roman"/>
      <w:sz w:val="18"/>
      <w:szCs w:val="18"/>
    </w:rPr>
  </w:style>
  <w:style w:type="character" w:customStyle="1" w:styleId="16">
    <w:name w:val="页脚 Char"/>
    <w:basedOn w:val="10"/>
    <w:link w:val="7"/>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pPr>
  </w:style>
  <w:style w:type="character" w:customStyle="1" w:styleId="18">
    <w:name w:val="标题 2 Char"/>
    <w:basedOn w:val="10"/>
    <w:link w:val="3"/>
    <w:qFormat/>
    <w:uiPriority w:val="9"/>
    <w:rPr>
      <w:rFonts w:ascii="Times New Roman" w:hAnsi="Times New Roman" w:eastAsia="黑体" w:cstheme="majorBidi"/>
      <w:b/>
      <w:bCs/>
      <w:sz w:val="28"/>
      <w:szCs w:val="32"/>
    </w:rPr>
  </w:style>
  <w:style w:type="character" w:customStyle="1" w:styleId="19">
    <w:name w:val="标题 3 Char"/>
    <w:basedOn w:val="10"/>
    <w:link w:val="4"/>
    <w:qFormat/>
    <w:uiPriority w:val="9"/>
    <w:rPr>
      <w:rFonts w:ascii="Times New Roman" w:hAnsi="Times New Roman" w:eastAsia="黑体"/>
      <w:b/>
      <w:bCs/>
      <w:sz w:val="24"/>
      <w:szCs w:val="32"/>
    </w:rPr>
  </w:style>
  <w:style w:type="character" w:customStyle="1" w:styleId="20">
    <w:name w:val="标题 4 Char"/>
    <w:basedOn w:val="10"/>
    <w:link w:val="5"/>
    <w:qFormat/>
    <w:uiPriority w:val="9"/>
    <w:rPr>
      <w:rFonts w:ascii="Times New Roman" w:hAnsi="Times New Roman" w:eastAsia="宋体" w:cstheme="majorBidi"/>
      <w:b/>
      <w:bCs/>
      <w:sz w:val="24"/>
      <w:szCs w:val="28"/>
    </w:rPr>
  </w:style>
  <w:style w:type="paragraph" w:customStyle="1" w:styleId="21">
    <w:name w:val="表格样式"/>
    <w:next w:val="1"/>
    <w:qFormat/>
    <w:uiPriority w:val="0"/>
    <w:pPr>
      <w:widowControl w:val="0"/>
      <w:autoSpaceDE w:val="0"/>
      <w:autoSpaceDN w:val="0"/>
      <w:adjustRightInd w:val="0"/>
      <w:jc w:val="center"/>
    </w:pPr>
    <w:rPr>
      <w:rFonts w:ascii="Times New Roman" w:hAnsi="Times New Roman" w:eastAsia="宋体" w:cs="宋体"/>
      <w:bCs/>
      <w:sz w:val="21"/>
      <w:szCs w:val="21"/>
      <w:lang w:val="en-US" w:eastAsia="en-US" w:bidi="ar-SA"/>
    </w:rPr>
  </w:style>
  <w:style w:type="paragraph" w:customStyle="1" w:styleId="22">
    <w:name w:val="参考文献内容"/>
    <w:basedOn w:val="23"/>
    <w:qFormat/>
    <w:uiPriority w:val="9"/>
    <w:pPr>
      <w:spacing w:line="300" w:lineRule="auto"/>
    </w:pPr>
    <w:rPr>
      <w:rFonts w:ascii="Times New Roman" w:hAnsi="Times New Roman" w:eastAsia="宋体"/>
      <w:szCs w:val="21"/>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421</Words>
  <Characters>2403</Characters>
  <Lines>20</Lines>
  <Paragraphs>5</Paragraphs>
  <TotalTime>16</TotalTime>
  <ScaleCrop>false</ScaleCrop>
  <LinksUpToDate>false</LinksUpToDate>
  <CharactersWithSpaces>2819</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2024-08-09T16:22:00Z</dcterms:created>
  <dc:creator>ZJU</dc:creator>
  <cp:lastModifiedBy>白炽</cp:lastModifiedBy>
  <dcterms:modified xsi:type="dcterms:W3CDTF">2024-08-10T21:55:23Z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FDB0EDF5A4D819454B71B7662A57B671</vt:lpwstr>
  </property>
</Properties>
</file>