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eastAsia="方正小标宋简体"/>
          <w:bCs w:val="0"/>
          <w:color w:val="000000" w:themeColor="text1"/>
          <w:sz w:val="36"/>
          <w:szCs w:val="36"/>
          <w14:textFill>
            <w14:solidFill>
              <w14:schemeClr w14:val="tx1"/>
            </w14:solidFill>
          </w14:textFill>
        </w:rPr>
      </w:pPr>
      <w:bookmarkStart w:id="0" w:name="_GoBack"/>
      <w:bookmarkEnd w:id="0"/>
      <w:r>
        <w:rPr>
          <w:rStyle w:val="13"/>
          <w:rFonts w:eastAsia="方正小标宋简体"/>
          <w:color w:val="000000" w:themeColor="text1"/>
          <w:sz w:val="36"/>
          <w:szCs w:val="36"/>
          <w14:textFill>
            <w14:solidFill>
              <w14:schemeClr w14:val="tx1"/>
            </w14:solidFill>
          </w14:textFill>
        </w:rPr>
        <w:t>浙江省科学技术奖公示信息表</w:t>
      </w:r>
      <w:r>
        <w:rPr>
          <w:rStyle w:val="13"/>
          <w:rFonts w:eastAsia="仿宋_GB2312"/>
          <w:color w:val="000000" w:themeColor="text1"/>
          <w:sz w:val="32"/>
          <w:szCs w:val="32"/>
          <w14:textFill>
            <w14:solidFill>
              <w14:schemeClr w14:val="tx1"/>
            </w14:solidFill>
          </w14:textFill>
        </w:rPr>
        <w:t>（单位提名）</w:t>
      </w:r>
    </w:p>
    <w:p>
      <w:pPr>
        <w:spacing w:line="440" w:lineRule="exact"/>
        <w:rPr>
          <w:rFonts w:ascii="仿宋" w:hAnsi="仿宋" w:eastAsia="仿宋"/>
          <w:color w:val="000000" w:themeColor="text1"/>
          <w:sz w:val="28"/>
          <w:szCs w:val="24"/>
          <w14:textFill>
            <w14:solidFill>
              <w14:schemeClr w14:val="tx1"/>
            </w14:solidFill>
          </w14:textFill>
        </w:rPr>
      </w:pPr>
      <w:r>
        <w:rPr>
          <w:rFonts w:ascii="仿宋" w:hAnsi="仿宋" w:eastAsia="仿宋"/>
          <w:color w:val="000000" w:themeColor="text1"/>
          <w:sz w:val="28"/>
          <w:szCs w:val="24"/>
          <w14:textFill>
            <w14:solidFill>
              <w14:schemeClr w14:val="tx1"/>
            </w14:solidFill>
          </w14:textFill>
        </w:rPr>
        <w:t>提名奖项：科学技术进步奖</w:t>
      </w:r>
    </w:p>
    <w:tbl>
      <w:tblPr>
        <w:tblStyle w:val="9"/>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407"/>
      </w:tblGrid>
      <w:tr>
        <w:trPr>
          <w:trHeight w:val="647" w:hRule="atLeast"/>
        </w:trPr>
        <w:tc>
          <w:tcPr>
            <w:tcW w:w="2269" w:type="dxa"/>
            <w:vAlign w:val="center"/>
          </w:tcPr>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成果名称</w:t>
            </w:r>
          </w:p>
        </w:tc>
        <w:tc>
          <w:tcPr>
            <w:tcW w:w="6407" w:type="dxa"/>
            <w:vAlign w:val="center"/>
          </w:tcPr>
          <w:p>
            <w:pPr>
              <w:jc w:val="center"/>
              <w:rPr>
                <w:rStyle w:val="13"/>
                <w:rFonts w:ascii="仿宋" w:hAnsi="仿宋" w:eastAsia="仿宋"/>
                <w:b w:val="0"/>
                <w:color w:val="000000" w:themeColor="text1"/>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医学影像智能检测-分割-分级关键技术及临床应用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提名等级</w:t>
            </w:r>
          </w:p>
        </w:tc>
        <w:tc>
          <w:tcPr>
            <w:tcW w:w="6407" w:type="dxa"/>
            <w:vAlign w:val="center"/>
          </w:tcPr>
          <w:p>
            <w:pPr>
              <w:jc w:val="center"/>
              <w:rPr>
                <w:rStyle w:val="13"/>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269" w:type="dxa"/>
            <w:vAlign w:val="center"/>
          </w:tcPr>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提名书</w:t>
            </w:r>
          </w:p>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相关内容</w:t>
            </w:r>
          </w:p>
        </w:tc>
        <w:tc>
          <w:tcPr>
            <w:tcW w:w="6407" w:type="dxa"/>
            <w:vAlign w:val="center"/>
          </w:tcPr>
          <w:p>
            <w:pPr>
              <w:spacing w:line="44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科学技术进步奖：</w:t>
            </w:r>
          </w:p>
          <w:p>
            <w:pPr>
              <w:spacing w:line="44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（1）提名书的主要知识产权和标准规范目录（附表1）</w:t>
            </w:r>
          </w:p>
          <w:p>
            <w:pPr>
              <w:spacing w:line="44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（2）代表性论文专著目录（附表2）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269" w:type="dxa"/>
            <w:tcBorders>
              <w:right w:val="single" w:color="auto" w:sz="4" w:space="0"/>
            </w:tcBorders>
            <w:vAlign w:val="center"/>
          </w:tcPr>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主要完成人</w:t>
            </w:r>
          </w:p>
        </w:tc>
        <w:tc>
          <w:tcPr>
            <w:tcW w:w="6407" w:type="dxa"/>
            <w:tcBorders>
              <w:left w:val="single" w:color="auto" w:sz="4" w:space="0"/>
            </w:tcBorders>
            <w:vAlign w:val="center"/>
          </w:tcPr>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吴健</w:t>
            </w:r>
            <w:r>
              <w:rPr>
                <w:rFonts w:ascii="仿宋" w:hAnsi="仿宋" w:eastAsia="仿宋" w:cs="Calibri"/>
                <w:bCs/>
                <w:color w:val="000000" w:themeColor="text1"/>
                <w:sz w:val="24"/>
                <w:szCs w:val="24"/>
                <w14:textFill>
                  <w14:solidFill>
                    <w14:schemeClr w14:val="tx1"/>
                  </w14:solidFill>
                </w14:textFill>
              </w:rPr>
              <w:t>，排名1，</w:t>
            </w:r>
            <w:r>
              <w:rPr>
                <w:rFonts w:hint="eastAsia" w:ascii="仿宋" w:hAnsi="仿宋" w:eastAsia="仿宋" w:cs="Calibri"/>
                <w:bCs/>
                <w:color w:val="000000" w:themeColor="text1"/>
                <w:sz w:val="24"/>
                <w:szCs w:val="24"/>
                <w14:textFill>
                  <w14:solidFill>
                    <w14:schemeClr w14:val="tx1"/>
                  </w14:solidFill>
                </w14:textFill>
              </w:rPr>
              <w:t>教授</w:t>
            </w:r>
            <w:r>
              <w:rPr>
                <w:rFonts w:ascii="仿宋" w:hAnsi="仿宋" w:eastAsia="仿宋" w:cs="Calibri"/>
                <w:bCs/>
                <w:color w:val="000000" w:themeColor="text1"/>
                <w:sz w:val="24"/>
                <w:szCs w:val="24"/>
                <w14:textFill>
                  <w14:solidFill>
                    <w14:schemeClr w14:val="tx1"/>
                  </w14:solidFill>
                </w14:textFill>
              </w:rPr>
              <w:t>，</w:t>
            </w:r>
            <w:r>
              <w:rPr>
                <w:rFonts w:hint="eastAsia" w:ascii="仿宋" w:hAnsi="仿宋" w:eastAsia="仿宋" w:cs="Calibri"/>
                <w:bCs/>
                <w:color w:val="000000" w:themeColor="text1"/>
                <w:sz w:val="24"/>
                <w:szCs w:val="24"/>
                <w14:textFill>
                  <w14:solidFill>
                    <w14:schemeClr w14:val="tx1"/>
                  </w14:solidFill>
                </w14:textFill>
              </w:rPr>
              <w:t>浙江大学</w:t>
            </w:r>
            <w:r>
              <w:rPr>
                <w:rFonts w:ascii="仿宋" w:hAnsi="仿宋" w:eastAsia="仿宋" w:cs="Calibri"/>
                <w:bCs/>
                <w:color w:val="000000" w:themeColor="text1"/>
                <w:sz w:val="24"/>
                <w:szCs w:val="24"/>
                <w14:textFill>
                  <w14:solidFill>
                    <w14:schemeClr w14:val="tx1"/>
                  </w14:solidFill>
                </w14:textFill>
              </w:rPr>
              <w:t>；</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应豪超</w:t>
            </w:r>
            <w:r>
              <w:rPr>
                <w:rFonts w:ascii="仿宋" w:hAnsi="仿宋" w:eastAsia="仿宋" w:cs="Calibri"/>
                <w:bCs/>
                <w:color w:val="000000" w:themeColor="text1"/>
                <w:sz w:val="24"/>
                <w:szCs w:val="24"/>
                <w14:textFill>
                  <w14:solidFill>
                    <w14:schemeClr w14:val="tx1"/>
                  </w14:solidFill>
                </w14:textFill>
              </w:rPr>
              <w:t>，排名2，</w:t>
            </w:r>
            <w:r>
              <w:rPr>
                <w:rFonts w:hint="eastAsia" w:ascii="仿宋" w:hAnsi="仿宋" w:eastAsia="仿宋" w:cs="微软雅黑"/>
                <w:bCs/>
                <w:color w:val="000000" w:themeColor="text1"/>
                <w:sz w:val="24"/>
                <w:szCs w:val="24"/>
                <w14:textFill>
                  <w14:solidFill>
                    <w14:schemeClr w14:val="tx1"/>
                  </w14:solidFill>
                </w14:textFill>
              </w:rPr>
              <w:t>副</w:t>
            </w:r>
            <w:r>
              <w:rPr>
                <w:rFonts w:hint="eastAsia" w:ascii="仿宋" w:hAnsi="仿宋" w:eastAsia="仿宋" w:cs="Calibri"/>
                <w:bCs/>
                <w:color w:val="000000" w:themeColor="text1"/>
                <w:sz w:val="24"/>
                <w:szCs w:val="24"/>
                <w14:textFill>
                  <w14:solidFill>
                    <w14:schemeClr w14:val="tx1"/>
                  </w14:solidFill>
                </w14:textFill>
              </w:rPr>
              <w:t>研究员</w:t>
            </w:r>
            <w:r>
              <w:rPr>
                <w:rFonts w:ascii="仿宋" w:hAnsi="仿宋" w:eastAsia="仿宋" w:cs="Calibri"/>
                <w:bCs/>
                <w:color w:val="000000" w:themeColor="text1"/>
                <w:sz w:val="24"/>
                <w:szCs w:val="24"/>
                <w14:textFill>
                  <w14:solidFill>
                    <w14:schemeClr w14:val="tx1"/>
                  </w14:solidFill>
                </w14:textFill>
              </w:rPr>
              <w:t>，</w:t>
            </w:r>
            <w:r>
              <w:rPr>
                <w:rFonts w:hint="eastAsia" w:ascii="仿宋" w:hAnsi="仿宋" w:eastAsia="仿宋" w:cs="Calibri"/>
                <w:bCs/>
                <w:color w:val="000000" w:themeColor="text1"/>
                <w:sz w:val="24"/>
                <w:szCs w:val="24"/>
                <w14:textFill>
                  <w14:solidFill>
                    <w14:schemeClr w14:val="tx1"/>
                  </w14:solidFill>
                </w14:textFill>
              </w:rPr>
              <w:t>浙江大学</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徐红霞</w:t>
            </w:r>
            <w:r>
              <w:rPr>
                <w:rFonts w:ascii="仿宋" w:hAnsi="仿宋" w:eastAsia="仿宋" w:cs="Calibri"/>
                <w:bCs/>
                <w:color w:val="000000" w:themeColor="text1"/>
                <w:sz w:val="24"/>
                <w:szCs w:val="24"/>
                <w14:textFill>
                  <w14:solidFill>
                    <w14:schemeClr w14:val="tx1"/>
                  </w14:solidFill>
                </w14:textFill>
              </w:rPr>
              <w:t>，排名3，</w:t>
            </w:r>
            <w:r>
              <w:rPr>
                <w:rFonts w:hint="eastAsia" w:ascii="仿宋" w:hAnsi="仿宋" w:eastAsia="仿宋" w:cs="微软雅黑"/>
                <w:bCs/>
                <w:color w:val="000000" w:themeColor="text1"/>
                <w:sz w:val="24"/>
                <w:szCs w:val="24"/>
                <w14:textFill>
                  <w14:solidFill>
                    <w14:schemeClr w14:val="tx1"/>
                  </w14:solidFill>
                </w14:textFill>
              </w:rPr>
              <w:t>副</w:t>
            </w:r>
            <w:r>
              <w:rPr>
                <w:rFonts w:hint="eastAsia" w:ascii="仿宋" w:hAnsi="仿宋" w:eastAsia="仿宋" w:cs="Calibri"/>
                <w:bCs/>
                <w:color w:val="000000" w:themeColor="text1"/>
                <w:sz w:val="24"/>
                <w:szCs w:val="24"/>
                <w14:textFill>
                  <w14:solidFill>
                    <w14:schemeClr w14:val="tx1"/>
                  </w14:solidFill>
                </w14:textFill>
              </w:rPr>
              <w:t>研究员</w:t>
            </w:r>
            <w:r>
              <w:rPr>
                <w:rFonts w:ascii="仿宋" w:hAnsi="仿宋" w:eastAsia="仿宋" w:cs="Calibri"/>
                <w:bCs/>
                <w:color w:val="000000" w:themeColor="text1"/>
                <w:sz w:val="24"/>
                <w:szCs w:val="24"/>
                <w14:textFill>
                  <w14:solidFill>
                    <w14:schemeClr w14:val="tx1"/>
                  </w14:solidFill>
                </w14:textFill>
              </w:rPr>
              <w:t>，</w:t>
            </w:r>
            <w:r>
              <w:rPr>
                <w:rFonts w:hint="eastAsia" w:ascii="仿宋" w:hAnsi="仿宋" w:eastAsia="仿宋" w:cs="Calibri"/>
                <w:bCs/>
                <w:color w:val="000000" w:themeColor="text1"/>
                <w:sz w:val="24"/>
                <w:szCs w:val="24"/>
                <w14:textFill>
                  <w14:solidFill>
                    <w14:schemeClr w14:val="tx1"/>
                  </w14:solidFill>
                </w14:textFill>
              </w:rPr>
              <w:t>浙江大学</w:t>
            </w:r>
            <w:r>
              <w:rPr>
                <w:rFonts w:ascii="仿宋" w:hAnsi="仿宋" w:eastAsia="仿宋" w:cs="Calibri"/>
                <w:bCs/>
                <w:color w:val="000000" w:themeColor="text1"/>
                <w:sz w:val="24"/>
                <w:szCs w:val="24"/>
                <w14:textFill>
                  <w14:solidFill>
                    <w14:schemeClr w14:val="tx1"/>
                  </w14:solidFill>
                </w14:textFill>
              </w:rPr>
              <w:t>；</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廖杰远</w:t>
            </w:r>
            <w:r>
              <w:rPr>
                <w:rFonts w:hint="eastAsia" w:ascii="仿宋" w:hAnsi="仿宋" w:eastAsia="仿宋" w:cs="微软雅黑"/>
                <w:bCs/>
                <w:color w:val="000000" w:themeColor="text1"/>
                <w:sz w:val="24"/>
                <w:szCs w:val="24"/>
                <w14:textFill>
                  <w14:solidFill>
                    <w14:schemeClr w14:val="tx1"/>
                  </w14:solidFill>
                </w14:textFill>
              </w:rPr>
              <w:t>，排名4，</w:t>
            </w:r>
            <w:r>
              <w:rPr>
                <w:rFonts w:hint="eastAsia" w:ascii="仿宋" w:hAnsi="仿宋" w:eastAsia="仿宋" w:cs="Calibri"/>
                <w:bCs/>
                <w:color w:val="000000" w:themeColor="text1"/>
                <w:sz w:val="24"/>
                <w:szCs w:val="24"/>
                <w14:textFill>
                  <w14:solidFill>
                    <w14:schemeClr w14:val="tx1"/>
                  </w14:solidFill>
                </w14:textFill>
              </w:rPr>
              <w:t>中级经济师，</w:t>
            </w:r>
            <w:r>
              <w:rPr>
                <w:rFonts w:hint="eastAsia" w:ascii="仿宋" w:hAnsi="仿宋" w:eastAsia="仿宋"/>
                <w:bCs/>
                <w:color w:val="000000" w:themeColor="text1"/>
                <w:sz w:val="24"/>
                <w:szCs w:val="24"/>
                <w14:textFill>
                  <w14:solidFill>
                    <w14:schemeClr w14:val="tx1"/>
                  </w14:solidFill>
                </w14:textFill>
              </w:rPr>
              <w:t>微医集团有限公司；</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吴瑞佳</w:t>
            </w:r>
            <w:r>
              <w:rPr>
                <w:rFonts w:hint="eastAsia" w:ascii="仿宋" w:hAnsi="仿宋" w:eastAsia="仿宋" w:cs="微软雅黑"/>
                <w:bCs/>
                <w:color w:val="000000" w:themeColor="text1"/>
                <w:sz w:val="24"/>
                <w:szCs w:val="24"/>
                <w14:textFill>
                  <w14:solidFill>
                    <w14:schemeClr w14:val="tx1"/>
                  </w14:solidFill>
                </w14:textFill>
              </w:rPr>
              <w:t>，排名5，</w:t>
            </w:r>
            <w:r>
              <w:rPr>
                <w:rFonts w:hint="eastAsia" w:ascii="仿宋" w:hAnsi="仿宋" w:eastAsia="仿宋" w:cs="Calibri"/>
                <w:bCs/>
                <w:color w:val="000000" w:themeColor="text1"/>
                <w:sz w:val="24"/>
                <w:szCs w:val="24"/>
                <w14:textFill>
                  <w14:solidFill>
                    <w14:schemeClr w14:val="tx1"/>
                  </w14:solidFill>
                </w14:textFill>
              </w:rPr>
              <w:t>助理教授/</w:t>
            </w:r>
            <w:r>
              <w:rPr>
                <w:rFonts w:hint="eastAsia" w:ascii="仿宋" w:hAnsi="仿宋" w:eastAsia="仿宋" w:cs="微软雅黑"/>
                <w:bCs/>
                <w:color w:val="000000" w:themeColor="text1"/>
                <w:sz w:val="24"/>
                <w:szCs w:val="24"/>
                <w14:textFill>
                  <w14:solidFill>
                    <w14:schemeClr w14:val="tx1"/>
                  </w14:solidFill>
                </w14:textFill>
              </w:rPr>
              <w:t>讲</w:t>
            </w:r>
            <w:r>
              <w:rPr>
                <w:rFonts w:hint="eastAsia" w:ascii="仿宋" w:hAnsi="仿宋" w:eastAsia="仿宋" w:cs="Calibri"/>
                <w:bCs/>
                <w:color w:val="000000" w:themeColor="text1"/>
                <w:sz w:val="24"/>
                <w:szCs w:val="24"/>
                <w14:textFill>
                  <w14:solidFill>
                    <w14:schemeClr w14:val="tx1"/>
                  </w14:solidFill>
                </w14:textFill>
              </w:rPr>
              <w:t>师，</w:t>
            </w:r>
            <w:r>
              <w:rPr>
                <w:rFonts w:hint="eastAsia" w:ascii="仿宋" w:hAnsi="仿宋" w:eastAsia="仿宋"/>
                <w:bCs/>
                <w:color w:val="000000" w:themeColor="text1"/>
                <w:sz w:val="24"/>
                <w:szCs w:val="24"/>
                <w14:textFill>
                  <w14:solidFill>
                    <w14:schemeClr w14:val="tx1"/>
                  </w14:solidFill>
                </w14:textFill>
              </w:rPr>
              <w:t>上海交通大学</w:t>
            </w:r>
            <w:r>
              <w:rPr>
                <w:rFonts w:hint="eastAsia" w:ascii="仿宋" w:hAnsi="仿宋" w:eastAsia="仿宋" w:cs="Calibri"/>
                <w:bCs/>
                <w:color w:val="000000" w:themeColor="text1"/>
                <w:sz w:val="24"/>
                <w:szCs w:val="24"/>
                <w14:textFill>
                  <w14:solidFill>
                    <w14:schemeClr w14:val="tx1"/>
                  </w14:solidFill>
                </w14:textFill>
              </w:rPr>
              <w:t>；</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姚克</w:t>
            </w:r>
            <w:r>
              <w:rPr>
                <w:rFonts w:hint="eastAsia" w:ascii="仿宋" w:hAnsi="仿宋" w:eastAsia="仿宋" w:cs="微软雅黑"/>
                <w:bCs/>
                <w:color w:val="000000" w:themeColor="text1"/>
                <w:sz w:val="24"/>
                <w:szCs w:val="24"/>
                <w14:textFill>
                  <w14:solidFill>
                    <w14:schemeClr w14:val="tx1"/>
                  </w14:solidFill>
                </w14:textFill>
              </w:rPr>
              <w:t>，排名6，</w:t>
            </w:r>
            <w:r>
              <w:rPr>
                <w:rFonts w:hint="eastAsia" w:ascii="仿宋" w:hAnsi="仿宋" w:eastAsia="仿宋" w:cs="Calibri"/>
                <w:bCs/>
                <w:color w:val="000000" w:themeColor="text1"/>
                <w:sz w:val="24"/>
                <w:szCs w:val="24"/>
                <w14:textFill>
                  <w14:solidFill>
                    <w14:schemeClr w14:val="tx1"/>
                  </w14:solidFill>
                </w14:textFill>
              </w:rPr>
              <w:t>教授，</w:t>
            </w:r>
            <w:r>
              <w:rPr>
                <w:rFonts w:hint="eastAsia" w:ascii="仿宋" w:hAnsi="仿宋" w:eastAsia="仿宋"/>
                <w:bCs/>
                <w:color w:val="000000" w:themeColor="text1"/>
                <w:sz w:val="24"/>
                <w:szCs w:val="24"/>
                <w14:textFill>
                  <w14:solidFill>
                    <w14:schemeClr w14:val="tx1"/>
                  </w14:solidFill>
                </w14:textFill>
              </w:rPr>
              <w:t>浙江大学医学院附属第二医院</w:t>
            </w:r>
            <w:r>
              <w:rPr>
                <w:rFonts w:hint="eastAsia" w:ascii="仿宋" w:hAnsi="仿宋" w:eastAsia="仿宋" w:cs="Calibri"/>
                <w:bCs/>
                <w:color w:val="000000" w:themeColor="text1"/>
                <w:sz w:val="24"/>
                <w:szCs w:val="24"/>
                <w14:textFill>
                  <w14:solidFill>
                    <w14:schemeClr w14:val="tx1"/>
                  </w14:solidFill>
                </w14:textFill>
              </w:rPr>
              <w:t>；</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吴育连</w:t>
            </w:r>
            <w:r>
              <w:rPr>
                <w:rFonts w:hint="eastAsia" w:ascii="仿宋" w:hAnsi="仿宋" w:eastAsia="仿宋" w:cs="微软雅黑"/>
                <w:bCs/>
                <w:color w:val="000000" w:themeColor="text1"/>
                <w:sz w:val="24"/>
                <w:szCs w:val="24"/>
                <w14:textFill>
                  <w14:solidFill>
                    <w14:schemeClr w14:val="tx1"/>
                  </w14:solidFill>
                </w14:textFill>
              </w:rPr>
              <w:t>，排名7，</w:t>
            </w:r>
            <w:r>
              <w:rPr>
                <w:rFonts w:hint="eastAsia" w:ascii="仿宋" w:hAnsi="仿宋" w:eastAsia="仿宋" w:cs="Calibri"/>
                <w:bCs/>
                <w:color w:val="000000" w:themeColor="text1"/>
                <w:sz w:val="24"/>
                <w:szCs w:val="24"/>
                <w14:textFill>
                  <w14:solidFill>
                    <w14:schemeClr w14:val="tx1"/>
                  </w14:solidFill>
                </w14:textFill>
              </w:rPr>
              <w:t>教授，</w:t>
            </w:r>
            <w:r>
              <w:rPr>
                <w:rFonts w:hint="eastAsia" w:ascii="仿宋" w:hAnsi="仿宋" w:eastAsia="仿宋"/>
                <w:bCs/>
                <w:color w:val="000000" w:themeColor="text1"/>
                <w:sz w:val="24"/>
                <w:szCs w:val="24"/>
                <w14:textFill>
                  <w14:solidFill>
                    <w14:schemeClr w14:val="tx1"/>
                  </w14:solidFill>
                </w14:textFill>
              </w:rPr>
              <w:t>浙江大学医学院附属第二医院</w:t>
            </w:r>
            <w:r>
              <w:rPr>
                <w:rFonts w:hint="eastAsia" w:ascii="仿宋" w:hAnsi="仿宋" w:eastAsia="仿宋" w:cs="Calibri"/>
                <w:bCs/>
                <w:color w:val="000000" w:themeColor="text1"/>
                <w:sz w:val="24"/>
                <w:szCs w:val="24"/>
                <w14:textFill>
                  <w14:solidFill>
                    <w14:schemeClr w14:val="tx1"/>
                  </w14:solidFill>
                </w14:textFill>
              </w:rPr>
              <w:t>；</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林兰芬</w:t>
            </w:r>
            <w:r>
              <w:rPr>
                <w:rFonts w:hint="eastAsia" w:ascii="仿宋" w:hAnsi="仿宋" w:eastAsia="仿宋" w:cs="微软雅黑"/>
                <w:bCs/>
                <w:color w:val="000000" w:themeColor="text1"/>
                <w:sz w:val="24"/>
                <w:szCs w:val="24"/>
                <w14:textFill>
                  <w14:solidFill>
                    <w14:schemeClr w14:val="tx1"/>
                  </w14:solidFill>
                </w14:textFill>
              </w:rPr>
              <w:t>，排名8，</w:t>
            </w:r>
            <w:r>
              <w:rPr>
                <w:rFonts w:hint="eastAsia" w:ascii="仿宋" w:hAnsi="仿宋" w:eastAsia="仿宋" w:cs="Calibri"/>
                <w:bCs/>
                <w:color w:val="000000" w:themeColor="text1"/>
                <w:sz w:val="24"/>
                <w:szCs w:val="24"/>
                <w14:textFill>
                  <w14:solidFill>
                    <w14:schemeClr w14:val="tx1"/>
                  </w14:solidFill>
                </w14:textFill>
              </w:rPr>
              <w:t>教授，浙江大学；</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褚如辉</w:t>
            </w:r>
            <w:r>
              <w:rPr>
                <w:rFonts w:hint="eastAsia" w:ascii="仿宋" w:hAnsi="仿宋" w:eastAsia="仿宋" w:cs="微软雅黑"/>
                <w:bCs/>
                <w:color w:val="000000" w:themeColor="text1"/>
                <w:sz w:val="24"/>
                <w:szCs w:val="24"/>
                <w14:textFill>
                  <w14:solidFill>
                    <w14:schemeClr w14:val="tx1"/>
                  </w14:solidFill>
                </w14:textFill>
              </w:rPr>
              <w:t>，排名9，</w:t>
            </w:r>
            <w:r>
              <w:rPr>
                <w:rFonts w:hint="eastAsia" w:ascii="仿宋" w:hAnsi="仿宋" w:eastAsia="仿宋" w:cs="Calibri"/>
                <w:bCs/>
                <w:color w:val="000000" w:themeColor="text1"/>
                <w:sz w:val="24"/>
                <w:szCs w:val="24"/>
                <w14:textFill>
                  <w14:solidFill>
                    <w14:schemeClr w14:val="tx1"/>
                  </w14:solidFill>
                </w14:textFill>
              </w:rPr>
              <w:t>助理研究员，</w:t>
            </w:r>
            <w:r>
              <w:rPr>
                <w:rFonts w:hint="eastAsia" w:ascii="仿宋" w:hAnsi="仿宋" w:eastAsia="仿宋"/>
                <w:bCs/>
                <w:color w:val="000000" w:themeColor="text1"/>
                <w:sz w:val="24"/>
                <w:szCs w:val="24"/>
                <w14:textFill>
                  <w14:solidFill>
                    <w14:schemeClr w14:val="tx1"/>
                  </w14:solidFill>
                </w14:textFill>
              </w:rPr>
              <w:t>浙江大学科技园发展有限公司</w:t>
            </w:r>
            <w:r>
              <w:rPr>
                <w:rFonts w:hint="eastAsia" w:ascii="仿宋" w:hAnsi="仿宋" w:eastAsia="仿宋" w:cs="Calibri"/>
                <w:bCs/>
                <w:color w:val="000000" w:themeColor="text1"/>
                <w:sz w:val="24"/>
                <w:szCs w:val="24"/>
                <w14:textFill>
                  <w14:solidFill>
                    <w14:schemeClr w14:val="tx1"/>
                  </w14:solidFill>
                </w14:textFill>
              </w:rPr>
              <w:t>；</w:t>
            </w:r>
          </w:p>
          <w:p>
            <w:pPr>
              <w:pStyle w:val="19"/>
              <w:numPr>
                <w:ilvl w:val="0"/>
                <w:numId w:val="1"/>
              </w:numPr>
              <w:spacing w:line="440" w:lineRule="exact"/>
              <w:ind w:firstLineChars="0"/>
              <w:rPr>
                <w:rFonts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Cs/>
                <w:color w:val="000000" w:themeColor="text1"/>
                <w:sz w:val="24"/>
                <w:szCs w:val="24"/>
                <w14:textFill>
                  <w14:solidFill>
                    <w14:schemeClr w14:val="tx1"/>
                  </w14:solidFill>
                </w14:textFill>
              </w:rPr>
              <w:t>陈晋泰</w:t>
            </w:r>
            <w:r>
              <w:rPr>
                <w:rFonts w:hint="eastAsia" w:ascii="仿宋" w:hAnsi="仿宋" w:eastAsia="仿宋" w:cs="微软雅黑"/>
                <w:bCs/>
                <w:color w:val="000000" w:themeColor="text1"/>
                <w:sz w:val="24"/>
                <w:szCs w:val="24"/>
                <w14:textFill>
                  <w14:solidFill>
                    <w14:schemeClr w14:val="tx1"/>
                  </w14:solidFill>
                </w14:textFill>
              </w:rPr>
              <w:t>，排名10，博士，浙江大学。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269" w:type="dxa"/>
            <w:tcBorders>
              <w:right w:val="single" w:color="auto" w:sz="4" w:space="0"/>
            </w:tcBorders>
            <w:vAlign w:val="center"/>
          </w:tcPr>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主要完成单位</w:t>
            </w:r>
          </w:p>
        </w:tc>
        <w:tc>
          <w:tcPr>
            <w:tcW w:w="6407" w:type="dxa"/>
            <w:tcBorders>
              <w:left w:val="single" w:color="auto" w:sz="4" w:space="0"/>
            </w:tcBorders>
            <w:vAlign w:val="center"/>
          </w:tcPr>
          <w:p>
            <w:pPr>
              <w:pStyle w:val="19"/>
              <w:numPr>
                <w:ilvl w:val="0"/>
                <w:numId w:val="2"/>
              </w:numPr>
              <w:spacing w:line="440" w:lineRule="exact"/>
              <w:ind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浙江大学                </w:t>
            </w:r>
          </w:p>
          <w:p>
            <w:pPr>
              <w:pStyle w:val="19"/>
              <w:numPr>
                <w:ilvl w:val="0"/>
                <w:numId w:val="2"/>
              </w:numPr>
              <w:spacing w:line="440" w:lineRule="exact"/>
              <w:ind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微医集团有限公司       </w:t>
            </w:r>
          </w:p>
          <w:p>
            <w:pPr>
              <w:pStyle w:val="19"/>
              <w:numPr>
                <w:ilvl w:val="0"/>
                <w:numId w:val="2"/>
              </w:numPr>
              <w:spacing w:line="440" w:lineRule="exact"/>
              <w:ind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浙江大学医学院附属第二医院 </w:t>
            </w:r>
          </w:p>
          <w:p>
            <w:pPr>
              <w:pStyle w:val="19"/>
              <w:numPr>
                <w:ilvl w:val="0"/>
                <w:numId w:val="2"/>
              </w:numPr>
              <w:spacing w:line="440" w:lineRule="exact"/>
              <w:ind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浙江大学科技园发展有限公司</w:t>
            </w:r>
          </w:p>
          <w:p>
            <w:pPr>
              <w:pStyle w:val="19"/>
              <w:numPr>
                <w:ilvl w:val="0"/>
                <w:numId w:val="2"/>
              </w:numPr>
              <w:spacing w:line="440" w:lineRule="exact"/>
              <w:ind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上海交通大学             </w:t>
            </w:r>
          </w:p>
          <w:p>
            <w:pPr>
              <w:pStyle w:val="19"/>
              <w:numPr>
                <w:ilvl w:val="0"/>
                <w:numId w:val="2"/>
              </w:numPr>
              <w:spacing w:line="440" w:lineRule="exact"/>
              <w:ind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浙江大学温州研究院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pPr>
              <w:jc w:val="center"/>
              <w:rPr>
                <w:rStyle w:val="13"/>
                <w:rFonts w:ascii="仿宋" w:hAnsi="仿宋" w:eastAsia="仿宋"/>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提名单位</w:t>
            </w:r>
          </w:p>
        </w:tc>
        <w:tc>
          <w:tcPr>
            <w:tcW w:w="6407" w:type="dxa"/>
            <w:vAlign w:val="center"/>
          </w:tcPr>
          <w:p>
            <w:pPr>
              <w:contextualSpacing/>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pPr>
              <w:jc w:val="center"/>
              <w:rPr>
                <w:rStyle w:val="13"/>
                <w:rFonts w:ascii="仿宋" w:hAnsi="仿宋" w:eastAsia="仿宋"/>
                <w:b w:val="0"/>
                <w:color w:val="000000" w:themeColor="text1"/>
                <w14:textFill>
                  <w14:solidFill>
                    <w14:schemeClr w14:val="tx1"/>
                  </w14:solidFill>
                </w14:textFill>
              </w:rPr>
            </w:pPr>
            <w:r>
              <w:rPr>
                <w:rStyle w:val="13"/>
                <w:rFonts w:ascii="仿宋" w:hAnsi="仿宋" w:eastAsia="仿宋"/>
                <w:color w:val="000000" w:themeColor="text1"/>
                <w14:textFill>
                  <w14:solidFill>
                    <w14:schemeClr w14:val="tx1"/>
                  </w14:solidFill>
                </w14:textFill>
              </w:rPr>
              <w:t>提名意见</w:t>
            </w:r>
          </w:p>
        </w:tc>
        <w:tc>
          <w:tcPr>
            <w:tcW w:w="6407" w:type="dxa"/>
            <w:vAlign w:val="center"/>
          </w:tcPr>
          <w:p>
            <w:pPr>
              <w:spacing w:line="276" w:lineRule="auto"/>
              <w:ind w:firstLine="480" w:firstLineChars="200"/>
              <w:contextualSpacing/>
              <w:rPr>
                <w:rStyle w:val="13"/>
                <w:rFonts w:ascii="仿宋" w:hAnsi="仿宋" w:eastAsia="仿宋"/>
                <w:b w:val="0"/>
                <w:color w:val="000000" w:themeColor="text1"/>
                <w14:textFill>
                  <w14:solidFill>
                    <w14:schemeClr w14:val="tx1"/>
                  </w14:solidFill>
                </w14:textFill>
              </w:rPr>
            </w:pPr>
            <w:r>
              <w:rPr>
                <w:rStyle w:val="13"/>
                <w:rFonts w:hint="eastAsia" w:ascii="仿宋" w:hAnsi="仿宋" w:eastAsia="仿宋"/>
                <w:b w:val="0"/>
                <w:color w:val="000000" w:themeColor="text1"/>
                <w14:textFill>
                  <w14:solidFill>
                    <w14:schemeClr w14:val="tx1"/>
                  </w14:solidFill>
                </w14:textFill>
              </w:rPr>
              <w:t>基于医学影像的智能辅助判读，既涉及到器官形态分析、病灶分割定位等细粒度判断，也涉及到疾病分级分期、疗效预后评估等宏观决策，主要目的是让海量的医学影像数据转化为可度量的定量指标,挖掘出人眼难以察觉的微妙变化。项目团队自2017年起一直从事医学影像智能检测-分割-分级关键技术及临床应用，依托国家自然科学基金、科技部重点研发计划、教育部重大项目、浙江省重点研发计划等国家和省市级科技项目支持，从实际医学影像数据大规模智能化临床应用出发，围绕影像诊断临床面临的“目标形态多变、病灶边缘复杂、疾病评估不一”三大问题，突破了医学影像数据“检测-分割-分级”三大最基础常见任务的智能处理技术，从而满足“疾病有没有、疾病在哪里、疾病重不重”的临床需求。</w:t>
            </w:r>
          </w:p>
          <w:p>
            <w:pPr>
              <w:spacing w:line="276" w:lineRule="auto"/>
              <w:ind w:firstLine="480" w:firstLineChars="200"/>
              <w:contextualSpacing/>
              <w:rPr>
                <w:rStyle w:val="13"/>
                <w:rFonts w:ascii="仿宋" w:hAnsi="仿宋" w:eastAsia="仿宋"/>
                <w:b w:val="0"/>
                <w:color w:val="000000" w:themeColor="text1"/>
                <w14:textFill>
                  <w14:solidFill>
                    <w14:schemeClr w14:val="tx1"/>
                  </w14:solidFill>
                </w14:textFill>
              </w:rPr>
            </w:pPr>
            <w:r>
              <w:rPr>
                <w:rStyle w:val="13"/>
                <w:rFonts w:hint="eastAsia" w:ascii="仿宋" w:hAnsi="仿宋" w:eastAsia="仿宋"/>
                <w:b w:val="0"/>
                <w:color w:val="000000" w:themeColor="text1"/>
                <w14:textFill>
                  <w14:solidFill>
                    <w14:schemeClr w14:val="tx1"/>
                  </w14:solidFill>
                </w14:textFill>
              </w:rPr>
              <w:t>技术研发了眼底、宫颈、心电等20余个辅助诊断系统，转化获批了国家三类医疗器械注册证1项、二类医疗器械注册证4项，应用于浙大二院、浙大妇院等7900余家医院和基层医疗机构，服务于微医集团的云诊包、云诊车、两癌筛查车等多种“流动医院”，取得了显著社会经济效益，获得了国务院颁发的2019年全国脱贫攻坚奖，创建了人工智能+医疗服务的新模式新业态。</w:t>
            </w:r>
          </w:p>
          <w:p>
            <w:pPr>
              <w:ind w:firstLine="480" w:firstLineChars="200"/>
              <w:contextualSpacing/>
              <w:rPr>
                <w:rStyle w:val="13"/>
                <w:rFonts w:ascii="仿宋" w:hAnsi="仿宋" w:eastAsia="仿宋"/>
                <w:b w:val="0"/>
                <w:color w:val="000000" w:themeColor="text1"/>
                <w14:textFill>
                  <w14:solidFill>
                    <w14:schemeClr w14:val="tx1"/>
                  </w14:solidFill>
                </w14:textFill>
              </w:rPr>
            </w:pPr>
            <w:r>
              <w:rPr>
                <w:rStyle w:val="13"/>
                <w:rFonts w:hint="eastAsia" w:ascii="仿宋" w:hAnsi="仿宋" w:eastAsia="仿宋"/>
                <w:b w:val="0"/>
                <w:color w:val="000000" w:themeColor="text1"/>
                <w14:textFill>
                  <w14:solidFill>
                    <w14:schemeClr w14:val="tx1"/>
                  </w14:solidFill>
                </w14:textFill>
              </w:rPr>
              <w:t>申报内容真实，提名2023年度浙江省科学技术进步奖一等奖。</w:t>
            </w:r>
          </w:p>
        </w:tc>
      </w:tr>
    </w:tbl>
    <w:p>
      <w:pPr>
        <w:adjustRightInd w:val="0"/>
        <w:snapToGrid w:val="0"/>
        <w:spacing w:line="560" w:lineRule="exac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jc w:val="left"/>
        <w:rPr>
          <w:color w:val="000000" w:themeColor="text1"/>
          <w14:textFill>
            <w14:solidFill>
              <w14:schemeClr w14:val="tx1"/>
            </w14:solidFill>
          </w14:textFill>
        </w:rPr>
      </w:pPr>
    </w:p>
    <w:p>
      <w:pPr>
        <w:pStyle w:val="6"/>
        <w:jc w:val="center"/>
        <w:rPr>
          <w:rFonts w:eastAsia="方正黑体简体"/>
          <w:color w:val="000000" w:themeColor="text1"/>
          <w:sz w:val="32"/>
          <w:szCs w:val="22"/>
          <w14:textFill>
            <w14:solidFill>
              <w14:schemeClr w14:val="tx1"/>
            </w14:solidFill>
          </w14:textFill>
        </w:rPr>
      </w:pPr>
      <w:r>
        <w:rPr>
          <w:rFonts w:hint="eastAsia" w:hAnsi="方正黑体简体" w:eastAsia="方正黑体简体" w:cs="方正黑体简体"/>
          <w:color w:val="000000" w:themeColor="text1"/>
          <w:sz w:val="32"/>
          <w:szCs w:val="22"/>
          <w14:textFill>
            <w14:solidFill>
              <w14:schemeClr w14:val="tx1"/>
            </w14:solidFill>
          </w14:textFill>
        </w:rPr>
        <w:t>附表1：主要知识产权和标准规范目录</w:t>
      </w:r>
    </w:p>
    <w:tbl>
      <w:tblPr>
        <w:tblStyle w:val="9"/>
        <w:tblW w:w="14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576"/>
        <w:gridCol w:w="935"/>
        <w:gridCol w:w="1843"/>
        <w:gridCol w:w="1275"/>
        <w:gridCol w:w="1418"/>
        <w:gridCol w:w="1276"/>
        <w:gridCol w:w="226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知识产权</w:t>
            </w:r>
          </w:p>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（标准规范）类别</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知识产权（标准规范）具体名称</w:t>
            </w:r>
          </w:p>
        </w:tc>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国家</w:t>
            </w:r>
          </w:p>
          <w:p>
            <w:pPr>
              <w:jc w:val="center"/>
              <w:rPr>
                <w:rFonts w:eastAsia="仿宋_GB2312"/>
                <w:bCs/>
                <w:snapToGrid w:val="0"/>
                <w:color w:val="000000" w:themeColor="text1"/>
                <w:kern w:val="0"/>
                <w:sz w:val="24"/>
                <w:szCs w:val="21"/>
                <w14:textFill>
                  <w14:solidFill>
                    <w14:schemeClr w14:val="tx1"/>
                  </w14:solidFill>
                </w14:textFill>
              </w:rPr>
            </w:pPr>
            <w:r>
              <w:rPr>
                <w:rFonts w:hint="eastAsia" w:eastAsia="仿宋_GB2312" w:cs="仿宋_GB2312"/>
                <w:bCs/>
                <w:snapToGrid w:val="0"/>
                <w:color w:val="000000" w:themeColor="text1"/>
                <w:kern w:val="0"/>
                <w:sz w:val="24"/>
                <w:szCs w:val="21"/>
                <w:lang w:bidi="ar"/>
                <w14:textFill>
                  <w14:solidFill>
                    <w14:schemeClr w14:val="tx1"/>
                  </w14:solidFill>
                </w14:textFill>
              </w:rPr>
              <w:t>（地区）</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授权号</w:t>
            </w:r>
          </w:p>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（标准规范编号）</w:t>
            </w:r>
          </w:p>
        </w:tc>
        <w:tc>
          <w:tcPr>
            <w:tcW w:w="1275" w:type="dxa"/>
            <w:tcBorders>
              <w:top w:val="single" w:color="auto" w:sz="4" w:space="0"/>
              <w:left w:val="single" w:color="auto" w:sz="4" w:space="0"/>
              <w:bottom w:val="single" w:color="auto" w:sz="4" w:space="0"/>
              <w:right w:val="single" w:color="auto" w:sz="4" w:space="0"/>
            </w:tcBorders>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授权</w:t>
            </w:r>
          </w:p>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（标准发布）</w:t>
            </w:r>
          </w:p>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日期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证书编号（标准规范批准发布部门）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权利人（标准规范起草单位）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发明人（标准规范起草人）</w:t>
            </w: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发明专利</w:t>
            </w:r>
          </w:p>
        </w:tc>
        <w:tc>
          <w:tcPr>
            <w:tcW w:w="2576"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基于多模态检测网络的宫颈活检区域辅助识别方法及装置</w:t>
            </w:r>
          </w:p>
        </w:tc>
        <w:tc>
          <w:tcPr>
            <w:tcW w:w="93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中国</w:t>
            </w: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eastAsia="仿宋_GB2312"/>
                <w:color w:val="000000" w:themeColor="text1"/>
                <w:sz w:val="24"/>
                <w:szCs w:val="21"/>
                <w14:textFill>
                  <w14:solidFill>
                    <w14:schemeClr w14:val="tx1"/>
                  </w14:solidFill>
                </w14:textFill>
              </w:rPr>
              <w:t>201810092480.7</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olor w:val="000000" w:themeColor="text1"/>
                <w:sz w:val="24"/>
                <w:szCs w:val="21"/>
                <w14:textFill>
                  <w14:solidFill>
                    <w14:schemeClr w14:val="tx1"/>
                  </w14:solidFill>
                </w14:textFill>
              </w:rPr>
              <w:t>2020年</w:t>
            </w:r>
          </w:p>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12月29日</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证书号第4177553号</w:t>
            </w:r>
          </w:p>
        </w:tc>
        <w:tc>
          <w:tcPr>
            <w:tcW w:w="1276"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浙江大学</w:t>
            </w:r>
          </w:p>
        </w:tc>
        <w:tc>
          <w:tcPr>
            <w:tcW w:w="2268"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吴健；应兴德；陈婷婷；马鑫军；吕卫国；袁春女；姚晔俪；王新宇；吴边；陈为；吴福理；吴朝晖</w:t>
            </w:r>
          </w:p>
        </w:tc>
        <w:tc>
          <w:tcPr>
            <w:tcW w:w="169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发明专利</w:t>
            </w:r>
          </w:p>
        </w:tc>
        <w:tc>
          <w:tcPr>
            <w:tcW w:w="2576"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一种基于多模态的慢性阻塞性肺病急性加重的预测装置</w:t>
            </w:r>
          </w:p>
        </w:tc>
        <w:tc>
          <w:tcPr>
            <w:tcW w:w="935"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中国</w:t>
            </w:r>
          </w:p>
        </w:tc>
        <w:tc>
          <w:tcPr>
            <w:tcW w:w="1843"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202310461068.9</w:t>
            </w:r>
          </w:p>
        </w:tc>
        <w:tc>
          <w:tcPr>
            <w:tcW w:w="1275" w:type="dxa"/>
            <w:tcBorders>
              <w:top w:val="single" w:color="auto" w:sz="4" w:space="0"/>
              <w:left w:val="single" w:color="auto" w:sz="4" w:space="0"/>
              <w:bottom w:val="single" w:color="auto" w:sz="4" w:space="0"/>
              <w:right w:val="single" w:color="auto" w:sz="4" w:space="0"/>
            </w:tcBorders>
          </w:tcPr>
          <w:p>
            <w:pPr>
              <w:jc w:val="center"/>
              <w:rPr>
                <w:rFonts w:eastAsia="仿宋_GB2312"/>
                <w:sz w:val="24"/>
                <w:szCs w:val="24"/>
              </w:rPr>
            </w:pPr>
            <w:r>
              <w:rPr>
                <w:rFonts w:eastAsia="仿宋_GB2312"/>
                <w:sz w:val="24"/>
                <w:szCs w:val="24"/>
              </w:rPr>
              <w:t>2024年</w:t>
            </w:r>
          </w:p>
          <w:p>
            <w:pPr>
              <w:jc w:val="center"/>
              <w:rPr>
                <w:rFonts w:eastAsia="仿宋_GB2312"/>
                <w:color w:val="000000" w:themeColor="text1"/>
                <w:sz w:val="24"/>
                <w:szCs w:val="21"/>
                <w14:textFill>
                  <w14:solidFill>
                    <w14:schemeClr w14:val="tx1"/>
                  </w14:solidFill>
                </w14:textFill>
              </w:rPr>
            </w:pPr>
            <w:r>
              <w:rPr>
                <w:rFonts w:eastAsia="仿宋_GB2312"/>
                <w:sz w:val="24"/>
                <w:szCs w:val="24"/>
              </w:rPr>
              <w:t>3月22日</w:t>
            </w:r>
          </w:p>
        </w:tc>
        <w:tc>
          <w:tcPr>
            <w:tcW w:w="1418"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证书号第6813594号</w:t>
            </w:r>
          </w:p>
        </w:tc>
        <w:tc>
          <w:tcPr>
            <w:tcW w:w="1276"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浙江大学</w:t>
            </w:r>
          </w:p>
        </w:tc>
        <w:tc>
          <w:tcPr>
            <w:tcW w:w="2268"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应豪超;杜邦;徐红霞;吴健</w:t>
            </w:r>
          </w:p>
        </w:tc>
        <w:tc>
          <w:tcPr>
            <w:tcW w:w="1694" w:type="dxa"/>
            <w:tcBorders>
              <w:top w:val="single" w:color="auto" w:sz="4" w:space="0"/>
              <w:left w:val="single" w:color="auto" w:sz="4" w:space="0"/>
              <w:bottom w:val="single" w:color="auto" w:sz="4" w:space="0"/>
              <w:right w:val="single" w:color="auto" w:sz="4" w:space="0"/>
            </w:tcBorders>
          </w:tcPr>
          <w:p>
            <w:pPr>
              <w:rPr>
                <w:rFonts w:eastAsia="仿宋_GB2312"/>
                <w:color w:val="000000" w:themeColor="text1"/>
                <w:sz w:val="24"/>
                <w:szCs w:val="21"/>
                <w14:textFill>
                  <w14:solidFill>
                    <w14:schemeClr w14:val="tx1"/>
                  </w14:solidFill>
                </w14:textFill>
              </w:rPr>
            </w:pPr>
            <w:r>
              <w:rPr>
                <w:rFonts w:eastAsia="仿宋_GB2312"/>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发明专利</w:t>
            </w:r>
          </w:p>
        </w:tc>
        <w:tc>
          <w:tcPr>
            <w:tcW w:w="2576"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一种基于注意力机制及特征融合的眼底图中糖网特征分级装置</w:t>
            </w:r>
          </w:p>
        </w:tc>
        <w:tc>
          <w:tcPr>
            <w:tcW w:w="93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中国</w:t>
            </w: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eastAsia="仿宋_GB2312"/>
                <w:color w:val="000000" w:themeColor="text1"/>
                <w:sz w:val="24"/>
                <w:szCs w:val="21"/>
                <w14:textFill>
                  <w14:solidFill>
                    <w14:schemeClr w14:val="tx1"/>
                  </w14:solidFill>
                </w14:textFill>
              </w:rPr>
              <w:t>201810078655.9</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1"/>
                <w14:textFill>
                  <w14:solidFill>
                    <w14:schemeClr w14:val="tx1"/>
                  </w14:solidFill>
                </w14:textFill>
              </w:rPr>
            </w:pPr>
            <w:r>
              <w:rPr>
                <w:rFonts w:hint="eastAsia" w:eastAsia="仿宋_GB2312"/>
                <w:color w:val="000000" w:themeColor="text1"/>
                <w:sz w:val="24"/>
                <w:szCs w:val="21"/>
                <w14:textFill>
                  <w14:solidFill>
                    <w14:schemeClr w14:val="tx1"/>
                  </w14:solidFill>
                </w14:textFill>
              </w:rPr>
              <w:t>2020年</w:t>
            </w:r>
          </w:p>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12月11日</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证书号第4147510号</w:t>
            </w:r>
          </w:p>
        </w:tc>
        <w:tc>
          <w:tcPr>
            <w:tcW w:w="1276"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浙江大学</w:t>
            </w:r>
          </w:p>
        </w:tc>
        <w:tc>
          <w:tcPr>
            <w:tcW w:w="2268"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吴健；林志文；郭若乾；吴边；陈为；吴福理；吴朝晖</w:t>
            </w:r>
          </w:p>
        </w:tc>
        <w:tc>
          <w:tcPr>
            <w:tcW w:w="169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rPr>
                <w:color w:val="000000" w:themeColor="text1"/>
                <w:sz w:val="28"/>
                <w:szCs w:val="28"/>
                <w14:textFill>
                  <w14:solidFill>
                    <w14:schemeClr w14:val="tx1"/>
                  </w14:solidFill>
                </w14:textFill>
              </w:rPr>
            </w:pPr>
          </w:p>
        </w:tc>
      </w:tr>
    </w:tbl>
    <w:p>
      <w:pPr>
        <w:rPr>
          <w:rFonts w:eastAsia="黑体"/>
          <w:color w:val="000000" w:themeColor="text1"/>
          <w:sz w:val="32"/>
          <w:szCs w:val="32"/>
          <w14:textFill>
            <w14:solidFill>
              <w14:schemeClr w14:val="tx1"/>
            </w14:solidFill>
          </w14:textFill>
        </w:rPr>
      </w:pPr>
    </w:p>
    <w:p>
      <w:pPr>
        <w:rPr>
          <w:rFonts w:eastAsia="黑体"/>
          <w:color w:val="000000" w:themeColor="text1"/>
          <w:sz w:val="32"/>
          <w:szCs w:val="32"/>
          <w:lang w:bidi="ar"/>
          <w14:textFill>
            <w14:solidFill>
              <w14:schemeClr w14:val="tx1"/>
            </w14:solidFill>
          </w14:textFill>
        </w:rPr>
        <w:sectPr>
          <w:pgSz w:w="15842" w:h="12242" w:orient="landscape"/>
          <w:pgMar w:top="1418" w:right="1247" w:bottom="1135" w:left="1247" w:header="851" w:footer="794" w:gutter="0"/>
          <w:cols w:space="720" w:num="1"/>
          <w:docGrid w:type="lines" w:linePitch="312" w:charSpace="0"/>
        </w:sectPr>
      </w:pPr>
    </w:p>
    <w:p>
      <w:pPr>
        <w:pStyle w:val="6"/>
        <w:jc w:val="center"/>
        <w:rPr>
          <w:rFonts w:eastAsia="方正黑体简体"/>
          <w:color w:val="000000" w:themeColor="text1"/>
          <w:sz w:val="32"/>
          <w:szCs w:val="22"/>
          <w14:textFill>
            <w14:solidFill>
              <w14:schemeClr w14:val="tx1"/>
            </w14:solidFill>
          </w14:textFill>
        </w:rPr>
      </w:pPr>
      <w:r>
        <w:rPr>
          <w:rFonts w:hint="eastAsia" w:hAnsi="方正黑体简体" w:eastAsia="方正黑体简体" w:cs="方正黑体简体"/>
          <w:color w:val="000000" w:themeColor="text1"/>
          <w:sz w:val="32"/>
          <w:szCs w:val="22"/>
          <w14:textFill>
            <w14:solidFill>
              <w14:schemeClr w14:val="tx1"/>
            </w14:solidFill>
          </w14:textFill>
        </w:rPr>
        <w:t>附表2：代表性论文专著目录</w:t>
      </w:r>
    </w:p>
    <w:tbl>
      <w:tblPr>
        <w:tblStyle w:val="9"/>
        <w:tblW w:w="83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41"/>
        <w:gridCol w:w="2551"/>
        <w:gridCol w:w="1134"/>
        <w:gridCol w:w="709"/>
        <w:gridCol w:w="814"/>
      </w:tblGrid>
      <w:tr>
        <w:trPr>
          <w:trHeight w:val="691" w:hRule="exact"/>
          <w:jc w:val="center"/>
        </w:trPr>
        <w:tc>
          <w:tcPr>
            <w:tcW w:w="3141"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作</w:t>
            </w:r>
            <w:r>
              <w:rPr>
                <w:rFonts w:eastAsia="仿宋_GB2312"/>
                <w:color w:val="000000" w:themeColor="text1"/>
                <w:sz w:val="24"/>
                <w:lang w:bidi="ar"/>
                <w14:textFill>
                  <w14:solidFill>
                    <w14:schemeClr w14:val="tx1"/>
                  </w14:solidFill>
                </w14:textFill>
              </w:rPr>
              <w:t xml:space="preserve"> </w:t>
            </w:r>
            <w:r>
              <w:rPr>
                <w:rFonts w:hint="eastAsia" w:eastAsia="仿宋_GB2312" w:cs="仿宋_GB2312"/>
                <w:color w:val="000000" w:themeColor="text1"/>
                <w:sz w:val="24"/>
                <w:lang w:bidi="ar"/>
                <w14:textFill>
                  <w14:solidFill>
                    <w14:schemeClr w14:val="tx1"/>
                  </w14:solidFill>
                </w14:textFill>
              </w:rPr>
              <w:t>者</w:t>
            </w:r>
          </w:p>
        </w:tc>
        <w:tc>
          <w:tcPr>
            <w:tcW w:w="2551" w:type="dxa"/>
            <w:tcBorders>
              <w:top w:val="single" w:color="auto" w:sz="12" w:space="0"/>
              <w:left w:val="single" w:color="auto" w:sz="6" w:space="0"/>
              <w:bottom w:val="single" w:color="auto" w:sz="6" w:space="0"/>
              <w:right w:val="single" w:color="auto" w:sz="6" w:space="0"/>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论文专著名称</w:t>
            </w:r>
            <w:r>
              <w:rPr>
                <w:rFonts w:eastAsia="仿宋_GB2312"/>
                <w:color w:val="000000" w:themeColor="text1"/>
                <w:sz w:val="24"/>
                <w:lang w:bidi="ar"/>
                <w14:textFill>
                  <w14:solidFill>
                    <w14:schemeClr w14:val="tx1"/>
                  </w14:solidFill>
                </w14:textFill>
              </w:rPr>
              <w:t>/</w:t>
            </w:r>
            <w:r>
              <w:rPr>
                <w:rFonts w:hint="eastAsia" w:eastAsia="仿宋_GB2312" w:cs="仿宋_GB2312"/>
                <w:color w:val="000000" w:themeColor="text1"/>
                <w:sz w:val="24"/>
                <w:lang w:bidi="ar"/>
                <w14:textFill>
                  <w14:solidFill>
                    <w14:schemeClr w14:val="tx1"/>
                  </w14:solidFill>
                </w14:textFill>
              </w:rPr>
              <w:t>刊物</w:t>
            </w:r>
          </w:p>
        </w:tc>
        <w:tc>
          <w:tcPr>
            <w:tcW w:w="1134"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年卷</w:t>
            </w:r>
          </w:p>
          <w:p>
            <w:pPr>
              <w:jc w:val="center"/>
              <w:rPr>
                <w:rFonts w:eastAsia="仿宋_GB2312"/>
                <w:color w:val="000000" w:themeColor="text1"/>
                <w:szCs w:val="21"/>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页码</w:t>
            </w:r>
          </w:p>
        </w:tc>
        <w:tc>
          <w:tcPr>
            <w:tcW w:w="709"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发表</w:t>
            </w:r>
          </w:p>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时间</w:t>
            </w:r>
          </w:p>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（年、月）</w:t>
            </w:r>
          </w:p>
        </w:tc>
        <w:tc>
          <w:tcPr>
            <w:tcW w:w="814"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他引</w:t>
            </w:r>
          </w:p>
          <w:p>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总次数</w:t>
            </w: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Jintai Chen, Shuai Huang, Ying Zhang, Qing Chang, Yixiao Zhang, Dantong Li, Jia Qiu, Lianting Hu, Xiaoting Peng, Yunmei Du, Yunfei Gao, Danny Z. Chen, Abdelouahab Bellou, Jian Wu, Huiying Liang</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Congenital heart disease detection by pediatric electrocardiogram based deep learning integrated with human concepts</w:t>
            </w:r>
            <w:r>
              <w:rPr>
                <w:rFonts w:hint="eastAsia" w:eastAsia="仿宋_GB2312"/>
                <w:color w:val="000000" w:themeColor="text1"/>
                <w:szCs w:val="21"/>
                <w:lang w:bidi="ar"/>
                <w14:textFill>
                  <w14:solidFill>
                    <w14:schemeClr w14:val="tx1"/>
                  </w14:solidFill>
                </w14:textFill>
              </w:rPr>
              <w:t>/Nature Communication</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2024：15:976</w:t>
            </w: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2024</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Tingting Chen, Wenhao Zheng, Haochao Ying, Xiangyu Tan, Kexin Li,</w:t>
            </w:r>
          </w:p>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Xiaoping Li, Danny Z. 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Jian Wu</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A Task Decomposing and Cell Comparin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Method for Cervical</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Lesion Cell Detection</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IEEE Transactions on Medical Imaging</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2022：</w:t>
            </w:r>
          </w:p>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2432-2442</w:t>
            </w: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2022</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lang w:bidi="ar"/>
                <w14:textFill>
                  <w14:solidFill>
                    <w14:schemeClr w14:val="tx1"/>
                  </w14:solidFill>
                </w14:textFill>
              </w:rPr>
              <w:t>Huimin Huang, Lanfen Lin, Ruofeng Tong, Hongjie Hu, Qiaowei Zhang, Yutaro Iwamoto,</w:t>
            </w:r>
            <w:r>
              <w:rPr>
                <w:rFonts w:hint="eastAsia" w:eastAsia="仿宋_GB2312"/>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Xianhua Han</w:t>
            </w:r>
            <w:r>
              <w:rPr>
                <w:rFonts w:hint="eastAsia" w:eastAsia="仿宋_GB2312"/>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Yen-Wei Chen</w:t>
            </w:r>
            <w:r>
              <w:rPr>
                <w:rFonts w:hint="eastAsia" w:eastAsia="仿宋_GB2312"/>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Jian Wu</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UNET 3+: A F</w:t>
            </w:r>
            <w:r>
              <w:rPr>
                <w:rFonts w:hint="eastAsia" w:eastAsia="仿宋_GB2312"/>
                <w:color w:val="000000" w:themeColor="text1"/>
                <w:szCs w:val="21"/>
                <w:lang w:bidi="ar"/>
                <w14:textFill>
                  <w14:solidFill>
                    <w14:schemeClr w14:val="tx1"/>
                  </w14:solidFill>
                </w14:textFill>
              </w:rPr>
              <w:t>ull</w:t>
            </w:r>
            <w:r>
              <w:rPr>
                <w:rFonts w:eastAsia="仿宋_GB2312"/>
                <w:color w:val="000000" w:themeColor="text1"/>
                <w:szCs w:val="21"/>
                <w:lang w:bidi="ar"/>
                <w14:textFill>
                  <w14:solidFill>
                    <w14:schemeClr w14:val="tx1"/>
                  </w14:solidFill>
                </w14:textFill>
              </w:rPr>
              <w:t>-S</w:t>
            </w:r>
            <w:r>
              <w:rPr>
                <w:rFonts w:hint="eastAsia" w:eastAsia="仿宋_GB2312"/>
                <w:color w:val="000000" w:themeColor="text1"/>
                <w:szCs w:val="21"/>
                <w:lang w:bidi="ar"/>
                <w14:textFill>
                  <w14:solidFill>
                    <w14:schemeClr w14:val="tx1"/>
                  </w14:solidFill>
                </w14:textFill>
              </w:rPr>
              <w:t>cale</w:t>
            </w:r>
            <w:r>
              <w:rPr>
                <w:rFonts w:eastAsia="仿宋_GB2312"/>
                <w:color w:val="000000" w:themeColor="text1"/>
                <w:szCs w:val="21"/>
                <w:lang w:bidi="ar"/>
                <w14:textFill>
                  <w14:solidFill>
                    <w14:schemeClr w14:val="tx1"/>
                  </w14:solidFill>
                </w14:textFill>
              </w:rPr>
              <w:t xml:space="preserve"> C</w:t>
            </w:r>
            <w:r>
              <w:rPr>
                <w:rFonts w:hint="eastAsia" w:eastAsia="仿宋_GB2312"/>
                <w:color w:val="000000" w:themeColor="text1"/>
                <w:szCs w:val="21"/>
                <w:lang w:bidi="ar"/>
                <w14:textFill>
                  <w14:solidFill>
                    <w14:schemeClr w14:val="tx1"/>
                  </w14:solidFill>
                </w14:textFill>
              </w:rPr>
              <w:t>onnected</w:t>
            </w:r>
            <w:r>
              <w:rPr>
                <w:rFonts w:eastAsia="仿宋_GB2312"/>
                <w:color w:val="000000" w:themeColor="text1"/>
                <w:szCs w:val="21"/>
                <w:lang w:bidi="ar"/>
                <w14:textFill>
                  <w14:solidFill>
                    <w14:schemeClr w14:val="tx1"/>
                  </w14:solidFill>
                </w14:textFill>
              </w:rPr>
              <w:t xml:space="preserve"> UNET F</w:t>
            </w:r>
            <w:r>
              <w:rPr>
                <w:rFonts w:hint="eastAsia" w:eastAsia="仿宋_GB2312"/>
                <w:color w:val="000000" w:themeColor="text1"/>
                <w:szCs w:val="21"/>
                <w:lang w:bidi="ar"/>
                <w14:textFill>
                  <w14:solidFill>
                    <w14:schemeClr w14:val="tx1"/>
                  </w14:solidFill>
                </w14:textFill>
              </w:rPr>
              <w:t>or</w:t>
            </w:r>
            <w:r>
              <w:rPr>
                <w:rFonts w:eastAsia="仿宋_GB2312"/>
                <w:color w:val="000000" w:themeColor="text1"/>
                <w:szCs w:val="21"/>
                <w:lang w:bidi="ar"/>
                <w14:textFill>
                  <w14:solidFill>
                    <w14:schemeClr w14:val="tx1"/>
                  </w14:solidFill>
                </w14:textFill>
              </w:rPr>
              <w:t xml:space="preserve"> M</w:t>
            </w:r>
            <w:r>
              <w:rPr>
                <w:rFonts w:hint="eastAsia" w:eastAsia="仿宋_GB2312"/>
                <w:color w:val="000000" w:themeColor="text1"/>
                <w:szCs w:val="21"/>
                <w:lang w:bidi="ar"/>
                <w14:textFill>
                  <w14:solidFill>
                    <w14:schemeClr w14:val="tx1"/>
                  </w14:solidFill>
                </w14:textFill>
              </w:rPr>
              <w:t>edical</w:t>
            </w:r>
            <w:r>
              <w:rPr>
                <w:rFonts w:eastAsia="仿宋_GB2312"/>
                <w:color w:val="000000" w:themeColor="text1"/>
                <w:szCs w:val="21"/>
                <w:lang w:bidi="ar"/>
                <w14:textFill>
                  <w14:solidFill>
                    <w14:schemeClr w14:val="tx1"/>
                  </w14:solidFill>
                </w14:textFill>
              </w:rPr>
              <w:t xml:space="preserve"> I</w:t>
            </w:r>
            <w:r>
              <w:rPr>
                <w:rFonts w:hint="eastAsia" w:eastAsia="仿宋_GB2312"/>
                <w:color w:val="000000" w:themeColor="text1"/>
                <w:szCs w:val="21"/>
                <w:lang w:bidi="ar"/>
                <w14:textFill>
                  <w14:solidFill>
                    <w14:schemeClr w14:val="tx1"/>
                  </w14:solidFill>
                </w14:textFill>
              </w:rPr>
              <w:t>mage</w:t>
            </w:r>
            <w:r>
              <w:rPr>
                <w:rFonts w:eastAsia="仿宋_GB2312"/>
                <w:color w:val="000000" w:themeColor="text1"/>
                <w:szCs w:val="21"/>
                <w:lang w:bidi="ar"/>
                <w14:textFill>
                  <w14:solidFill>
                    <w14:schemeClr w14:val="tx1"/>
                  </w14:solidFill>
                </w14:textFill>
              </w:rPr>
              <w:t xml:space="preserve"> S</w:t>
            </w:r>
            <w:r>
              <w:rPr>
                <w:rFonts w:hint="eastAsia" w:eastAsia="仿宋_GB2312"/>
                <w:color w:val="000000" w:themeColor="text1"/>
                <w:szCs w:val="21"/>
                <w:lang w:bidi="ar"/>
                <w14:textFill>
                  <w14:solidFill>
                    <w14:schemeClr w14:val="tx1"/>
                  </w14:solidFill>
                </w14:textFill>
              </w:rPr>
              <w:t>egmentation/</w:t>
            </w:r>
            <w:r>
              <w:t xml:space="preserve"> </w:t>
            </w:r>
            <w:r>
              <w:rPr>
                <w:rFonts w:eastAsia="仿宋_GB2312"/>
                <w:color w:val="000000" w:themeColor="text1"/>
                <w:szCs w:val="21"/>
                <w:lang w:bidi="ar"/>
                <w14:textFill>
                  <w14:solidFill>
                    <w14:schemeClr w14:val="tx1"/>
                  </w14:solidFill>
                </w14:textFill>
              </w:rPr>
              <w:t>IEEE International Conference on Acoustics, Speech and Signal Processing</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202</w:t>
            </w:r>
            <w:r>
              <w:rPr>
                <w:rFonts w:hint="eastAsia" w:eastAsia="仿宋_GB2312"/>
                <w:color w:val="000000" w:themeColor="text1"/>
                <w:szCs w:val="21"/>
                <w:lang w:bidi="ar"/>
                <w14:textFill>
                  <w14:solidFill>
                    <w14:schemeClr w14:val="tx1"/>
                  </w14:solidFill>
                </w14:textFill>
              </w:rPr>
              <w:t>0</w:t>
            </w:r>
            <w:r>
              <w:rPr>
                <w:rFonts w:eastAsia="仿宋_GB2312"/>
                <w:color w:val="000000" w:themeColor="text1"/>
                <w:szCs w:val="21"/>
                <w:lang w:bidi="ar"/>
                <w14:textFill>
                  <w14:solidFill>
                    <w14:schemeClr w14:val="tx1"/>
                  </w14:solidFill>
                </w14:textFill>
              </w:rPr>
              <w:t>:</w:t>
            </w:r>
          </w:p>
          <w:p>
            <w:pPr>
              <w:jc w:val="left"/>
              <w:rPr>
                <w:rFonts w:eastAsia="仿宋_GB2312"/>
                <w:color w:val="000000" w:themeColor="text1"/>
                <w:szCs w:val="21"/>
                <w14:textFill>
                  <w14:solidFill>
                    <w14:schemeClr w14:val="tx1"/>
                  </w14:solidFill>
                </w14:textFill>
              </w:rPr>
            </w:pPr>
            <w:r>
              <w:rPr>
                <w:rFonts w:eastAsia="仿宋_GB2312"/>
                <w:color w:val="000000" w:themeColor="text1"/>
                <w:szCs w:val="21"/>
                <w:lang w:bidi="ar"/>
                <w14:textFill>
                  <w14:solidFill>
                    <w14:schemeClr w14:val="tx1"/>
                  </w14:solidFill>
                </w14:textFill>
              </w:rPr>
              <w:t>1056-1059</w:t>
            </w:r>
          </w:p>
          <w:p>
            <w:pPr>
              <w:jc w:val="left"/>
              <w:rPr>
                <w:rFonts w:eastAsia="仿宋_GB2312"/>
                <w:color w:val="000000" w:themeColor="text1"/>
                <w:szCs w:val="21"/>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lang w:bidi="ar"/>
                <w14:textFill>
                  <w14:solidFill>
                    <w14:schemeClr w14:val="tx1"/>
                  </w14:solidFill>
                </w14:textFill>
              </w:rPr>
              <w:t>202</w:t>
            </w:r>
            <w:r>
              <w:rPr>
                <w:rFonts w:hint="eastAsia" w:eastAsia="仿宋_GB2312"/>
                <w:color w:val="000000" w:themeColor="text1"/>
                <w:szCs w:val="21"/>
                <w:lang w:bidi="ar"/>
                <w14:textFill>
                  <w14:solidFill>
                    <w14:schemeClr w14:val="tx1"/>
                  </w14:solidFill>
                </w14:textFill>
              </w:rPr>
              <w:t>0</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Ruiwei Feng, Xiangshang Zheng, Tianxiang Gao, Jintai 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Wenzhe Wang</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Danny Z. 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Jian Wu</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Interactive Few-Shot Learning: LimitedSupervision, Better Medical</w:t>
            </w:r>
          </w:p>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Image Segmentation</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IEEE Transactions on Medical Imaging</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2021：</w:t>
            </w:r>
          </w:p>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2575-2588</w:t>
            </w: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2021</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Tingting 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Xinjun Ma</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Xuechen Liu</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Wenzhe Wang</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Ruiwei Feng</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Jintai 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Chunnv Yuan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Weiguo Lu</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Danny Z.</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Jian Wu</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Multi-view Learning with Feature Leve</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Fusion for Cervical Dysplasia Diagnosis</w:t>
            </w:r>
            <w:r>
              <w:rPr>
                <w:rFonts w:hint="eastAsia" w:eastAsia="仿宋_GB2312"/>
                <w:color w:val="000000" w:themeColor="text1"/>
                <w:szCs w:val="21"/>
                <w14:textFill>
                  <w14:solidFill>
                    <w14:schemeClr w14:val="tx1"/>
                  </w14:solidFill>
                </w14:textFill>
              </w:rPr>
              <w:t>/</w:t>
            </w:r>
            <w:r>
              <w:t xml:space="preserve"> </w:t>
            </w:r>
            <w:r>
              <w:rPr>
                <w:rFonts w:eastAsia="仿宋_GB2312"/>
                <w:color w:val="000000" w:themeColor="text1"/>
                <w:szCs w:val="21"/>
                <w14:textFill>
                  <w14:solidFill>
                    <w14:schemeClr w14:val="tx1"/>
                  </w14:solidFill>
                </w14:textFill>
              </w:rPr>
              <w:t>International Conference on Medical Image Computing and Computer-Assisted Intervention</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2019：329-338</w:t>
            </w: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2019</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Jinhong Wang, Yi Cheng, Jintai Chen, TingTing Chen, Danny Chen, Jian Wu</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Ord2Seq: Regarding Ordinal Regression as Label Sequence Prediction</w:t>
            </w:r>
            <w:r>
              <w:rPr>
                <w:rFonts w:hint="eastAsia" w:eastAsia="仿宋_GB2312"/>
                <w:color w:val="000000" w:themeColor="text1"/>
                <w:szCs w:val="21"/>
                <w14:textFill>
                  <w14:solidFill>
                    <w14:schemeClr w14:val="tx1"/>
                  </w14:solidFill>
                </w14:textFill>
              </w:rPr>
              <w:t>/</w:t>
            </w:r>
            <w:r>
              <w:t xml:space="preserve"> </w:t>
            </w:r>
            <w:r>
              <w:rPr>
                <w:rFonts w:eastAsia="仿宋_GB2312"/>
                <w:color w:val="000000" w:themeColor="text1"/>
                <w:szCs w:val="21"/>
                <w14:textFill>
                  <w14:solidFill>
                    <w14:schemeClr w14:val="tx1"/>
                  </w14:solidFill>
                </w14:textFill>
              </w:rPr>
              <w:t>EEE/CVF International Conference on Computer Vision</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2023：5865-5875</w:t>
            </w: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2023</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Yi Cheng, Haochao Ying, Renjun Hu, Jinhong Wang, Wenhao Zheng,</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Xiao Zhang, Danny Chen</w:t>
            </w:r>
            <w:r>
              <w:rPr>
                <w:rFonts w:hint="eastAsia" w:eastAsia="仿宋_GB2312"/>
                <w:color w:val="000000" w:themeColor="text1"/>
                <w:szCs w:val="21"/>
                <w14:textFill>
                  <w14:solidFill>
                    <w14:schemeClr w14:val="tx1"/>
                  </w14:solidFill>
                </w14:textFill>
              </w:rPr>
              <w:t xml:space="preserve">, </w:t>
            </w:r>
            <w:r>
              <w:rPr>
                <w:rFonts w:eastAsia="仿宋_GB2312"/>
                <w:color w:val="000000" w:themeColor="text1"/>
                <w:szCs w:val="21"/>
                <w14:textFill>
                  <w14:solidFill>
                    <w14:schemeClr w14:val="tx1"/>
                  </w14:solidFill>
                </w14:textFill>
              </w:rPr>
              <w:t>Jian Wu</w:t>
            </w:r>
          </w:p>
        </w:tc>
        <w:tc>
          <w:tcPr>
            <w:tcW w:w="2551"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Robust Image Ordinal Regression with Controllable Image Generation</w:t>
            </w:r>
            <w:r>
              <w:rPr>
                <w:rFonts w:hint="eastAsia" w:eastAsia="仿宋_GB2312"/>
                <w:color w:val="000000" w:themeColor="text1"/>
                <w:szCs w:val="21"/>
                <w14:textFill>
                  <w14:solidFill>
                    <w14:schemeClr w14:val="tx1"/>
                  </w14:solidFill>
                </w14:textFill>
              </w:rPr>
              <w:t>/</w:t>
            </w:r>
            <w:r>
              <w:t xml:space="preserve"> </w:t>
            </w:r>
            <w:r>
              <w:rPr>
                <w:rFonts w:eastAsia="仿宋_GB2312"/>
                <w:color w:val="000000" w:themeColor="text1"/>
                <w:szCs w:val="21"/>
                <w14:textFill>
                  <w14:solidFill>
                    <w14:schemeClr w14:val="tx1"/>
                  </w14:solidFill>
                </w14:textFill>
              </w:rPr>
              <w:t>International Joint Conferences on Artificial Intelligence</w:t>
            </w:r>
          </w:p>
        </w:tc>
        <w:tc>
          <w:tcPr>
            <w:tcW w:w="1134"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2023：</w:t>
            </w:r>
          </w:p>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627-635</w:t>
            </w:r>
          </w:p>
        </w:tc>
        <w:tc>
          <w:tcPr>
            <w:tcW w:w="709" w:type="dxa"/>
            <w:tcBorders>
              <w:top w:val="single" w:color="auto" w:sz="6" w:space="0"/>
              <w:left w:val="single" w:color="auto" w:sz="6" w:space="0"/>
              <w:bottom w:val="single" w:color="auto" w:sz="6" w:space="0"/>
              <w:right w:val="single" w:color="auto" w:sz="6" w:space="0"/>
            </w:tcBorders>
            <w:vAlign w:val="center"/>
          </w:tcPr>
          <w:p>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14:textFill>
                  <w14:solidFill>
                    <w14:schemeClr w14:val="tx1"/>
                  </w14:solidFill>
                </w14:textFill>
              </w:rPr>
              <w:t>2023</w:t>
            </w:r>
          </w:p>
        </w:tc>
        <w:tc>
          <w:tcPr>
            <w:tcW w:w="81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000000" w:themeColor="text1"/>
                <w:szCs w:val="21"/>
                <w14:textFill>
                  <w14:solidFill>
                    <w14:schemeClr w14:val="tx1"/>
                  </w14:solidFill>
                </w14:textFill>
              </w:rPr>
            </w:pPr>
          </w:p>
        </w:tc>
      </w:tr>
      <w:tr>
        <w:trPr>
          <w:trHeight w:val="553" w:hRule="exact"/>
          <w:jc w:val="center"/>
        </w:trPr>
        <w:tc>
          <w:tcPr>
            <w:tcW w:w="7535" w:type="dxa"/>
            <w:gridSpan w:val="4"/>
            <w:tcBorders>
              <w:top w:val="single" w:color="auto" w:sz="6" w:space="0"/>
              <w:left w:val="single" w:color="auto" w:sz="12" w:space="0"/>
              <w:bottom w:val="single" w:color="auto" w:sz="12" w:space="0"/>
              <w:right w:val="single" w:color="auto" w:sz="6" w:space="0"/>
            </w:tcBorders>
            <w:vAlign w:val="center"/>
          </w:tcPr>
          <w:p>
            <w:pPr>
              <w:jc w:val="center"/>
              <w:rPr>
                <w:b/>
                <w:bCs/>
                <w:color w:val="000000" w:themeColor="text1"/>
                <w:szCs w:val="21"/>
                <w14:textFill>
                  <w14:solidFill>
                    <w14:schemeClr w14:val="tx1"/>
                  </w14:solidFill>
                </w14:textFill>
              </w:rPr>
            </w:pPr>
            <w:r>
              <w:rPr>
                <w:rFonts w:hint="eastAsia" w:cs="宋体"/>
                <w:b/>
                <w:bCs/>
                <w:color w:val="000000" w:themeColor="text1"/>
                <w:szCs w:val="21"/>
                <w:lang w:bidi="ar"/>
                <w14:textFill>
                  <w14:solidFill>
                    <w14:schemeClr w14:val="tx1"/>
                  </w14:solidFill>
                </w14:textFill>
              </w:rPr>
              <w:t>合</w:t>
            </w:r>
            <w:r>
              <w:rPr>
                <w:b/>
                <w:bCs/>
                <w:color w:val="000000" w:themeColor="text1"/>
                <w:szCs w:val="21"/>
                <w:lang w:bidi="ar"/>
                <w14:textFill>
                  <w14:solidFill>
                    <w14:schemeClr w14:val="tx1"/>
                  </w14:solidFill>
                </w14:textFill>
              </w:rPr>
              <w:t xml:space="preserve">  </w:t>
            </w:r>
            <w:r>
              <w:rPr>
                <w:rFonts w:hint="eastAsia" w:cs="宋体"/>
                <w:b/>
                <w:bCs/>
                <w:color w:val="000000" w:themeColor="text1"/>
                <w:szCs w:val="21"/>
                <w:lang w:bidi="ar"/>
                <w14:textFill>
                  <w14:solidFill>
                    <w14:schemeClr w14:val="tx1"/>
                  </w14:solidFill>
                </w14:textFill>
              </w:rPr>
              <w:t>计</w:t>
            </w:r>
          </w:p>
        </w:tc>
        <w:tc>
          <w:tcPr>
            <w:tcW w:w="814" w:type="dxa"/>
            <w:tcBorders>
              <w:top w:val="single" w:color="auto" w:sz="6" w:space="0"/>
              <w:left w:val="single" w:color="auto" w:sz="6" w:space="0"/>
              <w:bottom w:val="single" w:color="auto" w:sz="12" w:space="0"/>
              <w:right w:val="single" w:color="auto" w:sz="6" w:space="0"/>
            </w:tcBorders>
            <w:vAlign w:val="center"/>
          </w:tcPr>
          <w:p>
            <w:pPr>
              <w:jc w:val="center"/>
              <w:rPr>
                <w:b/>
                <w:bCs/>
                <w:color w:val="000000" w:themeColor="text1"/>
                <w:szCs w:val="21"/>
                <w14:textFill>
                  <w14:solidFill>
                    <w14:schemeClr w14:val="tx1"/>
                  </w14:solidFill>
                </w14:textFill>
              </w:rPr>
            </w:pPr>
          </w:p>
        </w:tc>
      </w:tr>
    </w:tbl>
    <w:p>
      <w:pPr>
        <w:widowControl/>
        <w:jc w:val="left"/>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971BA"/>
    <w:multiLevelType w:val="multilevel"/>
    <w:tmpl w:val="479971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54B3C7F"/>
    <w:multiLevelType w:val="multilevel"/>
    <w:tmpl w:val="654B3C7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8A"/>
    <w:rsid w:val="0004061C"/>
    <w:rsid w:val="000675D2"/>
    <w:rsid w:val="00076236"/>
    <w:rsid w:val="000B722A"/>
    <w:rsid w:val="000E237E"/>
    <w:rsid w:val="00102307"/>
    <w:rsid w:val="00140E97"/>
    <w:rsid w:val="0014476A"/>
    <w:rsid w:val="00154C9F"/>
    <w:rsid w:val="001D1C19"/>
    <w:rsid w:val="001D418E"/>
    <w:rsid w:val="001F73F0"/>
    <w:rsid w:val="001F7B58"/>
    <w:rsid w:val="00201C83"/>
    <w:rsid w:val="002C2726"/>
    <w:rsid w:val="002E1DD9"/>
    <w:rsid w:val="003040F7"/>
    <w:rsid w:val="003236F4"/>
    <w:rsid w:val="00327E92"/>
    <w:rsid w:val="0034507D"/>
    <w:rsid w:val="003614CD"/>
    <w:rsid w:val="00364492"/>
    <w:rsid w:val="00366F55"/>
    <w:rsid w:val="00372A53"/>
    <w:rsid w:val="003C0A79"/>
    <w:rsid w:val="003D174C"/>
    <w:rsid w:val="003E177A"/>
    <w:rsid w:val="004150A4"/>
    <w:rsid w:val="0042559E"/>
    <w:rsid w:val="00456866"/>
    <w:rsid w:val="00462C66"/>
    <w:rsid w:val="00492547"/>
    <w:rsid w:val="004A234A"/>
    <w:rsid w:val="004E7B1E"/>
    <w:rsid w:val="00507046"/>
    <w:rsid w:val="00516C68"/>
    <w:rsid w:val="00567BDA"/>
    <w:rsid w:val="00582172"/>
    <w:rsid w:val="00586ED9"/>
    <w:rsid w:val="005956FF"/>
    <w:rsid w:val="005A4188"/>
    <w:rsid w:val="005B4E91"/>
    <w:rsid w:val="005B4FDB"/>
    <w:rsid w:val="005E3849"/>
    <w:rsid w:val="006153A7"/>
    <w:rsid w:val="00632542"/>
    <w:rsid w:val="00644227"/>
    <w:rsid w:val="00655705"/>
    <w:rsid w:val="00655DB9"/>
    <w:rsid w:val="0067726F"/>
    <w:rsid w:val="006F00B2"/>
    <w:rsid w:val="00706BB2"/>
    <w:rsid w:val="00711F94"/>
    <w:rsid w:val="00732563"/>
    <w:rsid w:val="007348A4"/>
    <w:rsid w:val="00746DF0"/>
    <w:rsid w:val="00756EED"/>
    <w:rsid w:val="007707BA"/>
    <w:rsid w:val="00771A5B"/>
    <w:rsid w:val="007A378A"/>
    <w:rsid w:val="007D58C2"/>
    <w:rsid w:val="00813A48"/>
    <w:rsid w:val="00840EEB"/>
    <w:rsid w:val="00842C2C"/>
    <w:rsid w:val="00845454"/>
    <w:rsid w:val="00852AE3"/>
    <w:rsid w:val="00852BED"/>
    <w:rsid w:val="008D4F45"/>
    <w:rsid w:val="008E3253"/>
    <w:rsid w:val="008F2D8E"/>
    <w:rsid w:val="009005E1"/>
    <w:rsid w:val="00997642"/>
    <w:rsid w:val="009A296D"/>
    <w:rsid w:val="009B5727"/>
    <w:rsid w:val="009F3660"/>
    <w:rsid w:val="00A06119"/>
    <w:rsid w:val="00A333D1"/>
    <w:rsid w:val="00A84602"/>
    <w:rsid w:val="00A850C5"/>
    <w:rsid w:val="00AC5616"/>
    <w:rsid w:val="00AE03C6"/>
    <w:rsid w:val="00B272D7"/>
    <w:rsid w:val="00B43D08"/>
    <w:rsid w:val="00B547F1"/>
    <w:rsid w:val="00B67FB2"/>
    <w:rsid w:val="00B93029"/>
    <w:rsid w:val="00B96225"/>
    <w:rsid w:val="00B96647"/>
    <w:rsid w:val="00BB5E0E"/>
    <w:rsid w:val="00C03F73"/>
    <w:rsid w:val="00C26E17"/>
    <w:rsid w:val="00C63BA2"/>
    <w:rsid w:val="00C6609C"/>
    <w:rsid w:val="00C7163D"/>
    <w:rsid w:val="00C8798B"/>
    <w:rsid w:val="00C95686"/>
    <w:rsid w:val="00CA007C"/>
    <w:rsid w:val="00CA14D5"/>
    <w:rsid w:val="00CA22A2"/>
    <w:rsid w:val="00CB215E"/>
    <w:rsid w:val="00CC5CA2"/>
    <w:rsid w:val="00CE3A47"/>
    <w:rsid w:val="00D062DC"/>
    <w:rsid w:val="00D85605"/>
    <w:rsid w:val="00D96E5E"/>
    <w:rsid w:val="00DB682E"/>
    <w:rsid w:val="00DD5B1F"/>
    <w:rsid w:val="00DF0AE0"/>
    <w:rsid w:val="00E12B12"/>
    <w:rsid w:val="00E1792E"/>
    <w:rsid w:val="00E4107A"/>
    <w:rsid w:val="00E424A9"/>
    <w:rsid w:val="00E741EB"/>
    <w:rsid w:val="00E97F27"/>
    <w:rsid w:val="00ED0D37"/>
    <w:rsid w:val="00ED163F"/>
    <w:rsid w:val="00F1152F"/>
    <w:rsid w:val="00F323E2"/>
    <w:rsid w:val="00F32BB8"/>
    <w:rsid w:val="00F42843"/>
    <w:rsid w:val="00F47B94"/>
    <w:rsid w:val="00F67FC5"/>
    <w:rsid w:val="00FB0EDE"/>
    <w:rsid w:val="00FF3ADE"/>
    <w:rsid w:val="EDFD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2"/>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15"/>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4"/>
    <w:qFormat/>
    <w:uiPriority w:val="0"/>
    <w:pPr>
      <w:widowControl/>
      <w:jc w:val="left"/>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9"/>
    <w:rPr>
      <w:rFonts w:ascii="Times New Roman" w:hAnsi="Times New Roman" w:eastAsia="宋体" w:cs="Times New Roman"/>
      <w:b/>
      <w:bCs/>
      <w:kern w:val="44"/>
      <w:sz w:val="44"/>
      <w:szCs w:val="44"/>
    </w:rPr>
  </w:style>
  <w:style w:type="character" w:customStyle="1" w:styleId="13">
    <w:name w:val="title1"/>
    <w:qFormat/>
    <w:uiPriority w:val="0"/>
    <w:rPr>
      <w:b/>
      <w:bCs/>
      <w:color w:val="999900"/>
      <w:sz w:val="24"/>
      <w:szCs w:val="24"/>
    </w:rPr>
  </w:style>
  <w:style w:type="character" w:customStyle="1" w:styleId="14">
    <w:name w:val="批注文字 字符"/>
    <w:basedOn w:val="10"/>
    <w:link w:val="6"/>
    <w:qFormat/>
    <w:uiPriority w:val="0"/>
    <w:rPr>
      <w:rFonts w:ascii="Times New Roman" w:hAnsi="Times New Roman" w:eastAsia="宋体" w:cs="Times New Roman"/>
      <w:szCs w:val="20"/>
    </w:rPr>
  </w:style>
  <w:style w:type="character" w:customStyle="1" w:styleId="15">
    <w:name w:val="标题 5 字符"/>
    <w:basedOn w:val="10"/>
    <w:link w:val="5"/>
    <w:qFormat/>
    <w:uiPriority w:val="9"/>
    <w:rPr>
      <w:rFonts w:ascii="Times New Roman" w:hAnsi="Times New Roman" w:eastAsia="宋体" w:cs="Times New Roman"/>
      <w:b/>
      <w:bCs/>
      <w:sz w:val="28"/>
      <w:szCs w:val="28"/>
    </w:rPr>
  </w:style>
  <w:style w:type="character" w:customStyle="1" w:styleId="16">
    <w:name w:val="标题 3 字符"/>
    <w:basedOn w:val="10"/>
    <w:link w:val="4"/>
    <w:semiHidden/>
    <w:qFormat/>
    <w:uiPriority w:val="9"/>
    <w:rPr>
      <w:rFonts w:ascii="Times New Roman" w:hAnsi="Times New Roman" w:eastAsia="宋体" w:cs="Times New Roman"/>
      <w:b/>
      <w:bCs/>
      <w:sz w:val="32"/>
      <w:szCs w:val="32"/>
    </w:rPr>
  </w:style>
  <w:style w:type="character" w:customStyle="1" w:styleId="17">
    <w:name w:val="页眉 字符"/>
    <w:basedOn w:val="10"/>
    <w:link w:val="8"/>
    <w:qFormat/>
    <w:uiPriority w:val="99"/>
    <w:rPr>
      <w:rFonts w:ascii="Times New Roman" w:hAnsi="Times New Roman" w:eastAsia="宋体" w:cs="Times New Roman"/>
      <w:sz w:val="18"/>
      <w:szCs w:val="18"/>
    </w:rPr>
  </w:style>
  <w:style w:type="character" w:customStyle="1" w:styleId="18">
    <w:name w:val="页脚 字符"/>
    <w:basedOn w:val="10"/>
    <w:link w:val="7"/>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仿宋_GB2312" w:eastAsia="仿宋_GB2312"/>
      <w:spacing w:val="-4"/>
      <w:sz w:val="32"/>
    </w:rPr>
  </w:style>
  <w:style w:type="character" w:customStyle="1" w:styleId="20">
    <w:name w:val="标题 2 字符"/>
    <w:basedOn w:val="10"/>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517</Words>
  <Characters>2952</Characters>
  <Lines>24</Lines>
  <Paragraphs>6</Paragraphs>
  <TotalTime>185</TotalTime>
  <ScaleCrop>false</ScaleCrop>
  <LinksUpToDate>false</LinksUpToDate>
  <CharactersWithSpaces>3463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2022-01-27T16:58:00Z</dcterms:created>
  <dc:creator>ZJU</dc:creator>
  <cp:lastModifiedBy>白炽</cp:lastModifiedBy>
  <dcterms:modified xsi:type="dcterms:W3CDTF">2024-08-12T18:36:01Z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553C9D1458D92F8791E5B966089252AF</vt:lpwstr>
  </property>
</Properties>
</file>