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A06E" w14:textId="77777777" w:rsidR="00D85A87" w:rsidRDefault="005016F3">
      <w:pPr>
        <w:jc w:val="center"/>
        <w:rPr>
          <w:rStyle w:val="title1"/>
          <w:rFonts w:ascii="仿宋" w:eastAsia="仿宋" w:hAnsi="仿宋"/>
          <w:bCs w:val="0"/>
          <w:color w:val="auto"/>
          <w:sz w:val="36"/>
          <w:szCs w:val="36"/>
        </w:rPr>
      </w:pPr>
      <w:r>
        <w:rPr>
          <w:rStyle w:val="title1"/>
          <w:rFonts w:ascii="仿宋" w:eastAsia="仿宋" w:hAnsi="仿宋"/>
          <w:color w:val="auto"/>
          <w:sz w:val="36"/>
          <w:szCs w:val="36"/>
        </w:rPr>
        <w:t>浙江省科学技术奖公示信息表</w:t>
      </w:r>
      <w:r>
        <w:rPr>
          <w:rStyle w:val="title1"/>
          <w:rFonts w:ascii="仿宋" w:eastAsia="仿宋" w:hAnsi="仿宋"/>
          <w:color w:val="auto"/>
          <w:sz w:val="32"/>
          <w:szCs w:val="32"/>
        </w:rPr>
        <w:t>（单位提名）</w:t>
      </w:r>
    </w:p>
    <w:p w14:paraId="104D6C70" w14:textId="77777777" w:rsidR="00D85A87" w:rsidRDefault="005016F3">
      <w:pPr>
        <w:spacing w:line="440" w:lineRule="exact"/>
        <w:rPr>
          <w:rFonts w:ascii="仿宋" w:eastAsia="仿宋" w:hAnsi="仿宋"/>
          <w:sz w:val="28"/>
          <w:szCs w:val="24"/>
        </w:rPr>
      </w:pPr>
      <w:r>
        <w:rPr>
          <w:rFonts w:ascii="仿宋" w:eastAsia="仿宋" w:hAnsi="仿宋"/>
          <w:sz w:val="28"/>
          <w:szCs w:val="24"/>
        </w:rPr>
        <w:t>提名奖项：（自然科学奖）</w:t>
      </w:r>
    </w:p>
    <w:tbl>
      <w:tblPr>
        <w:tblW w:w="87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6945"/>
      </w:tblGrid>
      <w:tr w:rsidR="00D85A87" w14:paraId="436C8742" w14:textId="77777777">
        <w:trPr>
          <w:trHeight w:val="647"/>
        </w:trPr>
        <w:tc>
          <w:tcPr>
            <w:tcW w:w="1844" w:type="dxa"/>
            <w:vAlign w:val="center"/>
          </w:tcPr>
          <w:p w14:paraId="0545BB50" w14:textId="77777777" w:rsidR="00D85A87" w:rsidRDefault="005016F3">
            <w:pPr>
              <w:jc w:val="center"/>
              <w:rPr>
                <w:rStyle w:val="title1"/>
                <w:rFonts w:ascii="仿宋" w:eastAsia="仿宋" w:hAnsi="仿宋"/>
                <w:b w:val="0"/>
                <w:color w:val="auto"/>
                <w:sz w:val="28"/>
              </w:rPr>
            </w:pPr>
            <w:r>
              <w:rPr>
                <w:rStyle w:val="title1"/>
                <w:rFonts w:ascii="仿宋" w:eastAsia="仿宋" w:hAnsi="仿宋"/>
                <w:color w:val="auto"/>
                <w:sz w:val="28"/>
              </w:rPr>
              <w:t>成果名称</w:t>
            </w:r>
          </w:p>
        </w:tc>
        <w:tc>
          <w:tcPr>
            <w:tcW w:w="6945" w:type="dxa"/>
            <w:vAlign w:val="center"/>
          </w:tcPr>
          <w:p w14:paraId="5F2FAF7F" w14:textId="77777777" w:rsidR="00D85A87" w:rsidRDefault="005016F3">
            <w:pPr>
              <w:jc w:val="center"/>
              <w:rPr>
                <w:rStyle w:val="title1"/>
                <w:rFonts w:ascii="仿宋" w:eastAsia="仿宋" w:hAnsi="仿宋"/>
                <w:b w:val="0"/>
                <w:color w:val="auto"/>
                <w:sz w:val="28"/>
              </w:rPr>
            </w:pPr>
            <w:r>
              <w:rPr>
                <w:rStyle w:val="title1"/>
                <w:rFonts w:ascii="仿宋" w:eastAsia="仿宋" w:hAnsi="仿宋" w:hint="eastAsia"/>
                <w:color w:val="auto"/>
                <w:sz w:val="28"/>
              </w:rPr>
              <w:t>药物转运体和代谢酶介导的耐药机制研究和临床转化</w:t>
            </w:r>
          </w:p>
        </w:tc>
      </w:tr>
      <w:tr w:rsidR="00D85A87" w14:paraId="297945F6" w14:textId="77777777">
        <w:trPr>
          <w:trHeight w:val="561"/>
        </w:trPr>
        <w:tc>
          <w:tcPr>
            <w:tcW w:w="1844" w:type="dxa"/>
            <w:vAlign w:val="center"/>
          </w:tcPr>
          <w:p w14:paraId="358DCCF0" w14:textId="77777777" w:rsidR="00D85A87" w:rsidRDefault="005016F3">
            <w:pPr>
              <w:jc w:val="center"/>
              <w:rPr>
                <w:rStyle w:val="title1"/>
                <w:rFonts w:ascii="仿宋" w:eastAsia="仿宋" w:hAnsi="仿宋"/>
                <w:b w:val="0"/>
                <w:color w:val="auto"/>
                <w:sz w:val="28"/>
              </w:rPr>
            </w:pPr>
            <w:r>
              <w:rPr>
                <w:rStyle w:val="title1"/>
                <w:rFonts w:ascii="仿宋" w:eastAsia="仿宋" w:hAnsi="仿宋"/>
                <w:color w:val="auto"/>
                <w:sz w:val="28"/>
              </w:rPr>
              <w:t>提名等级</w:t>
            </w:r>
          </w:p>
        </w:tc>
        <w:tc>
          <w:tcPr>
            <w:tcW w:w="6945" w:type="dxa"/>
            <w:vAlign w:val="center"/>
          </w:tcPr>
          <w:p w14:paraId="1BFBE47D" w14:textId="77777777" w:rsidR="00D85A87" w:rsidRDefault="005016F3">
            <w:pPr>
              <w:jc w:val="center"/>
              <w:rPr>
                <w:rStyle w:val="title1"/>
                <w:rFonts w:ascii="仿宋" w:eastAsia="仿宋" w:hAnsi="仿宋"/>
                <w:bCs w:val="0"/>
                <w:color w:val="auto"/>
                <w:sz w:val="28"/>
              </w:rPr>
            </w:pPr>
            <w:r>
              <w:rPr>
                <w:rStyle w:val="title1"/>
                <w:rFonts w:ascii="仿宋" w:eastAsia="仿宋" w:hAnsi="仿宋" w:hint="eastAsia"/>
                <w:bCs w:val="0"/>
                <w:color w:val="auto"/>
                <w:sz w:val="28"/>
              </w:rPr>
              <w:t>一等奖</w:t>
            </w:r>
          </w:p>
        </w:tc>
      </w:tr>
      <w:tr w:rsidR="00D85A87" w14:paraId="01D5B915" w14:textId="77777777">
        <w:trPr>
          <w:trHeight w:val="2461"/>
        </w:trPr>
        <w:tc>
          <w:tcPr>
            <w:tcW w:w="1844" w:type="dxa"/>
            <w:vAlign w:val="center"/>
          </w:tcPr>
          <w:p w14:paraId="2C7DAAD6" w14:textId="77777777" w:rsidR="00D85A87" w:rsidRDefault="005016F3">
            <w:pPr>
              <w:spacing w:line="440" w:lineRule="exact"/>
              <w:jc w:val="center"/>
              <w:rPr>
                <w:rFonts w:ascii="仿宋" w:eastAsia="仿宋" w:hAnsi="仿宋"/>
                <w:bCs/>
                <w:sz w:val="28"/>
                <w:szCs w:val="24"/>
              </w:rPr>
            </w:pPr>
            <w:r>
              <w:rPr>
                <w:rFonts w:ascii="仿宋" w:eastAsia="仿宋" w:hAnsi="仿宋"/>
                <w:bCs/>
                <w:sz w:val="28"/>
                <w:szCs w:val="24"/>
              </w:rPr>
              <w:t>提名书</w:t>
            </w:r>
          </w:p>
          <w:p w14:paraId="6C0F9D9E" w14:textId="77777777" w:rsidR="00D85A87" w:rsidRDefault="005016F3">
            <w:pPr>
              <w:spacing w:line="440" w:lineRule="exact"/>
              <w:jc w:val="center"/>
              <w:rPr>
                <w:rFonts w:ascii="仿宋" w:eastAsia="仿宋" w:hAnsi="仿宋"/>
                <w:bCs/>
                <w:sz w:val="28"/>
                <w:szCs w:val="24"/>
              </w:rPr>
            </w:pPr>
            <w:r>
              <w:rPr>
                <w:rFonts w:ascii="仿宋" w:eastAsia="仿宋" w:hAnsi="仿宋"/>
                <w:bCs/>
                <w:sz w:val="28"/>
                <w:szCs w:val="24"/>
              </w:rPr>
              <w:t>相关内容</w:t>
            </w:r>
          </w:p>
          <w:p w14:paraId="2E1EBA59" w14:textId="77777777" w:rsidR="00D85A87" w:rsidRDefault="005016F3">
            <w:pPr>
              <w:spacing w:line="440" w:lineRule="exact"/>
              <w:jc w:val="center"/>
              <w:rPr>
                <w:rFonts w:ascii="仿宋" w:eastAsia="仿宋" w:hAnsi="仿宋"/>
                <w:bCs/>
                <w:sz w:val="28"/>
                <w:szCs w:val="24"/>
              </w:rPr>
            </w:pPr>
            <w:r>
              <w:rPr>
                <w:rFonts w:ascii="仿宋" w:eastAsia="仿宋" w:hAnsi="仿宋" w:hint="eastAsia"/>
                <w:bCs/>
                <w:sz w:val="28"/>
                <w:szCs w:val="24"/>
              </w:rPr>
              <w:t>（附表）</w:t>
            </w:r>
          </w:p>
        </w:tc>
        <w:tc>
          <w:tcPr>
            <w:tcW w:w="6945" w:type="dxa"/>
            <w:vAlign w:val="center"/>
          </w:tcPr>
          <w:p w14:paraId="078B30A4" w14:textId="77777777" w:rsidR="00D85A87" w:rsidRDefault="005016F3">
            <w:pPr>
              <w:spacing w:line="440" w:lineRule="exact"/>
              <w:jc w:val="left"/>
              <w:rPr>
                <w:rFonts w:ascii="仿宋" w:eastAsia="仿宋" w:hAnsi="仿宋"/>
                <w:sz w:val="32"/>
                <w:szCs w:val="22"/>
              </w:rPr>
            </w:pPr>
            <w:r>
              <w:rPr>
                <w:rFonts w:ascii="仿宋" w:eastAsia="仿宋" w:hAnsi="仿宋" w:hint="eastAsia"/>
                <w:bCs/>
                <w:sz w:val="24"/>
                <w:szCs w:val="24"/>
              </w:rPr>
              <w:t>见附件。</w:t>
            </w:r>
          </w:p>
        </w:tc>
      </w:tr>
      <w:tr w:rsidR="00D85A87" w14:paraId="5EAB5179" w14:textId="77777777">
        <w:trPr>
          <w:trHeight w:val="1958"/>
        </w:trPr>
        <w:tc>
          <w:tcPr>
            <w:tcW w:w="1844" w:type="dxa"/>
            <w:tcBorders>
              <w:right w:val="single" w:sz="4" w:space="0" w:color="auto"/>
            </w:tcBorders>
            <w:vAlign w:val="center"/>
          </w:tcPr>
          <w:p w14:paraId="7F2A0DC4" w14:textId="77777777" w:rsidR="00D85A87" w:rsidRDefault="005016F3">
            <w:pPr>
              <w:spacing w:line="440" w:lineRule="exact"/>
              <w:jc w:val="center"/>
              <w:rPr>
                <w:rFonts w:ascii="仿宋" w:eastAsia="仿宋" w:hAnsi="仿宋"/>
                <w:bCs/>
                <w:sz w:val="28"/>
                <w:szCs w:val="24"/>
              </w:rPr>
            </w:pPr>
            <w:r>
              <w:rPr>
                <w:rFonts w:ascii="仿宋" w:eastAsia="仿宋" w:hAnsi="仿宋"/>
                <w:bCs/>
                <w:sz w:val="28"/>
                <w:szCs w:val="24"/>
              </w:rPr>
              <w:t>主要完成人</w:t>
            </w:r>
          </w:p>
        </w:tc>
        <w:tc>
          <w:tcPr>
            <w:tcW w:w="6945" w:type="dxa"/>
            <w:tcBorders>
              <w:left w:val="single" w:sz="4" w:space="0" w:color="auto"/>
            </w:tcBorders>
            <w:vAlign w:val="center"/>
          </w:tcPr>
          <w:p w14:paraId="0B5F0411" w14:textId="77777777" w:rsidR="00D85A87" w:rsidRDefault="005016F3">
            <w:pPr>
              <w:spacing w:line="440" w:lineRule="exact"/>
              <w:rPr>
                <w:rFonts w:ascii="仿宋" w:eastAsia="仿宋" w:hAnsi="仿宋"/>
                <w:bCs/>
                <w:sz w:val="24"/>
                <w:szCs w:val="24"/>
              </w:rPr>
            </w:pPr>
            <w:r>
              <w:rPr>
                <w:rFonts w:ascii="仿宋" w:eastAsia="仿宋" w:hAnsi="仿宋" w:hint="eastAsia"/>
                <w:bCs/>
                <w:sz w:val="24"/>
                <w:szCs w:val="24"/>
              </w:rPr>
              <w:t>余露山</w:t>
            </w:r>
            <w:r>
              <w:rPr>
                <w:rFonts w:ascii="仿宋" w:eastAsia="仿宋" w:hAnsi="仿宋"/>
                <w:bCs/>
                <w:sz w:val="24"/>
                <w:szCs w:val="24"/>
              </w:rPr>
              <w:t>，排名</w:t>
            </w:r>
            <w:r>
              <w:rPr>
                <w:rFonts w:ascii="仿宋" w:eastAsia="仿宋" w:hAnsi="仿宋"/>
                <w:bCs/>
                <w:sz w:val="24"/>
                <w:szCs w:val="24"/>
              </w:rPr>
              <w:t>1</w:t>
            </w:r>
            <w:r>
              <w:rPr>
                <w:rFonts w:ascii="仿宋" w:eastAsia="仿宋" w:hAnsi="仿宋"/>
                <w:bCs/>
                <w:sz w:val="24"/>
                <w:szCs w:val="24"/>
              </w:rPr>
              <w:t>，</w:t>
            </w:r>
            <w:r>
              <w:rPr>
                <w:rFonts w:ascii="仿宋" w:eastAsia="仿宋" w:hAnsi="仿宋" w:hint="eastAsia"/>
                <w:bCs/>
                <w:sz w:val="24"/>
                <w:szCs w:val="24"/>
              </w:rPr>
              <w:t>教授</w:t>
            </w:r>
            <w:r>
              <w:rPr>
                <w:rFonts w:ascii="仿宋" w:eastAsia="仿宋" w:hAnsi="仿宋"/>
                <w:bCs/>
                <w:sz w:val="24"/>
                <w:szCs w:val="24"/>
              </w:rPr>
              <w:t>，</w:t>
            </w:r>
            <w:r>
              <w:rPr>
                <w:rFonts w:ascii="仿宋" w:eastAsia="仿宋" w:hAnsi="仿宋" w:hint="eastAsia"/>
                <w:bCs/>
                <w:sz w:val="24"/>
                <w:szCs w:val="24"/>
              </w:rPr>
              <w:t>浙江大学、浙江大学金华研究院</w:t>
            </w:r>
            <w:r>
              <w:rPr>
                <w:rFonts w:ascii="仿宋" w:eastAsia="仿宋" w:hAnsi="仿宋"/>
                <w:bCs/>
                <w:sz w:val="24"/>
                <w:szCs w:val="24"/>
              </w:rPr>
              <w:t>；</w:t>
            </w:r>
          </w:p>
          <w:p w14:paraId="572BC9AE" w14:textId="77777777" w:rsidR="00D85A87" w:rsidRDefault="005016F3">
            <w:pPr>
              <w:spacing w:line="440" w:lineRule="exact"/>
              <w:rPr>
                <w:rFonts w:ascii="仿宋" w:eastAsia="仿宋" w:hAnsi="仿宋"/>
                <w:bCs/>
                <w:sz w:val="24"/>
                <w:szCs w:val="24"/>
              </w:rPr>
            </w:pPr>
            <w:r>
              <w:rPr>
                <w:rFonts w:ascii="仿宋" w:eastAsia="仿宋" w:hAnsi="仿宋" w:hint="eastAsia"/>
                <w:bCs/>
                <w:sz w:val="24"/>
                <w:szCs w:val="24"/>
              </w:rPr>
              <w:t>曾苏</w:t>
            </w:r>
            <w:r>
              <w:rPr>
                <w:rFonts w:ascii="仿宋" w:eastAsia="仿宋" w:hAnsi="仿宋"/>
                <w:bCs/>
                <w:sz w:val="24"/>
                <w:szCs w:val="24"/>
              </w:rPr>
              <w:t>，排名</w:t>
            </w:r>
            <w:r>
              <w:rPr>
                <w:rFonts w:ascii="仿宋" w:eastAsia="仿宋" w:hAnsi="仿宋"/>
                <w:bCs/>
                <w:sz w:val="24"/>
                <w:szCs w:val="24"/>
              </w:rPr>
              <w:t>2</w:t>
            </w:r>
            <w:r>
              <w:rPr>
                <w:rFonts w:ascii="仿宋" w:eastAsia="仿宋" w:hAnsi="仿宋"/>
                <w:bCs/>
                <w:sz w:val="24"/>
                <w:szCs w:val="24"/>
              </w:rPr>
              <w:t>，</w:t>
            </w:r>
            <w:r>
              <w:rPr>
                <w:rFonts w:ascii="仿宋" w:eastAsia="仿宋" w:hAnsi="仿宋" w:hint="eastAsia"/>
                <w:bCs/>
                <w:sz w:val="24"/>
                <w:szCs w:val="24"/>
              </w:rPr>
              <w:t>教授</w:t>
            </w:r>
            <w:r>
              <w:rPr>
                <w:rFonts w:ascii="仿宋" w:eastAsia="仿宋" w:hAnsi="仿宋"/>
                <w:bCs/>
                <w:sz w:val="24"/>
                <w:szCs w:val="24"/>
              </w:rPr>
              <w:t>，</w:t>
            </w:r>
            <w:r>
              <w:rPr>
                <w:rFonts w:ascii="仿宋" w:eastAsia="仿宋" w:hAnsi="仿宋" w:hint="eastAsia"/>
                <w:bCs/>
                <w:sz w:val="24"/>
                <w:szCs w:val="24"/>
              </w:rPr>
              <w:t>浙江大学</w:t>
            </w:r>
            <w:r>
              <w:rPr>
                <w:rFonts w:ascii="仿宋" w:eastAsia="仿宋" w:hAnsi="仿宋"/>
                <w:bCs/>
                <w:sz w:val="24"/>
                <w:szCs w:val="24"/>
              </w:rPr>
              <w:t>；</w:t>
            </w:r>
          </w:p>
          <w:p w14:paraId="45E4F951" w14:textId="77777777" w:rsidR="00D85A87" w:rsidRDefault="005016F3">
            <w:pPr>
              <w:spacing w:line="440" w:lineRule="exact"/>
              <w:rPr>
                <w:rFonts w:ascii="仿宋" w:eastAsia="仿宋" w:hAnsi="仿宋"/>
                <w:bCs/>
                <w:sz w:val="24"/>
                <w:szCs w:val="24"/>
              </w:rPr>
            </w:pPr>
            <w:r>
              <w:rPr>
                <w:rFonts w:ascii="仿宋" w:eastAsia="仿宋" w:hAnsi="仿宋" w:hint="eastAsia"/>
                <w:bCs/>
                <w:sz w:val="24"/>
                <w:szCs w:val="24"/>
              </w:rPr>
              <w:t>朱峰</w:t>
            </w:r>
            <w:r>
              <w:rPr>
                <w:rFonts w:ascii="仿宋" w:eastAsia="仿宋" w:hAnsi="仿宋"/>
                <w:bCs/>
                <w:sz w:val="24"/>
                <w:szCs w:val="24"/>
              </w:rPr>
              <w:t>，排名</w:t>
            </w:r>
            <w:r>
              <w:rPr>
                <w:rFonts w:ascii="仿宋" w:eastAsia="仿宋" w:hAnsi="仿宋"/>
                <w:bCs/>
                <w:sz w:val="24"/>
                <w:szCs w:val="24"/>
              </w:rPr>
              <w:t>3</w:t>
            </w:r>
            <w:r>
              <w:rPr>
                <w:rFonts w:ascii="仿宋" w:eastAsia="仿宋" w:hAnsi="仿宋"/>
                <w:bCs/>
                <w:sz w:val="24"/>
                <w:szCs w:val="24"/>
              </w:rPr>
              <w:t>，</w:t>
            </w:r>
            <w:r>
              <w:rPr>
                <w:rFonts w:ascii="仿宋" w:eastAsia="仿宋" w:hAnsi="仿宋" w:hint="eastAsia"/>
                <w:bCs/>
                <w:sz w:val="24"/>
                <w:szCs w:val="24"/>
              </w:rPr>
              <w:t>教授</w:t>
            </w:r>
            <w:r>
              <w:rPr>
                <w:rFonts w:ascii="仿宋" w:eastAsia="仿宋" w:hAnsi="仿宋"/>
                <w:bCs/>
                <w:sz w:val="24"/>
                <w:szCs w:val="24"/>
              </w:rPr>
              <w:t>，</w:t>
            </w:r>
            <w:r>
              <w:rPr>
                <w:rFonts w:ascii="仿宋" w:eastAsia="仿宋" w:hAnsi="仿宋" w:hint="eastAsia"/>
                <w:bCs/>
                <w:sz w:val="24"/>
                <w:szCs w:val="24"/>
              </w:rPr>
              <w:t>浙江大学</w:t>
            </w:r>
            <w:r>
              <w:rPr>
                <w:rFonts w:ascii="仿宋" w:eastAsia="仿宋" w:hAnsi="仿宋"/>
                <w:bCs/>
                <w:sz w:val="24"/>
                <w:szCs w:val="24"/>
              </w:rPr>
              <w:t>；</w:t>
            </w:r>
          </w:p>
          <w:p w14:paraId="3814913B" w14:textId="77777777" w:rsidR="00D85A87" w:rsidRDefault="005016F3">
            <w:pPr>
              <w:spacing w:line="440" w:lineRule="exact"/>
              <w:rPr>
                <w:rFonts w:ascii="仿宋" w:eastAsia="仿宋" w:hAnsi="仿宋"/>
                <w:bCs/>
                <w:sz w:val="24"/>
                <w:szCs w:val="24"/>
              </w:rPr>
            </w:pPr>
            <w:r>
              <w:rPr>
                <w:rFonts w:ascii="仿宋" w:eastAsia="仿宋" w:hAnsi="仿宋" w:hint="eastAsia"/>
                <w:bCs/>
                <w:sz w:val="24"/>
                <w:szCs w:val="24"/>
              </w:rPr>
              <w:t>胡海红，</w:t>
            </w:r>
            <w:r>
              <w:rPr>
                <w:rFonts w:ascii="仿宋" w:eastAsia="仿宋" w:hAnsi="仿宋"/>
                <w:bCs/>
                <w:sz w:val="24"/>
                <w:szCs w:val="24"/>
              </w:rPr>
              <w:t>排名</w:t>
            </w:r>
            <w:r>
              <w:rPr>
                <w:rFonts w:ascii="仿宋" w:eastAsia="仿宋" w:hAnsi="仿宋" w:hint="eastAsia"/>
                <w:bCs/>
                <w:sz w:val="24"/>
                <w:szCs w:val="24"/>
              </w:rPr>
              <w:t>4</w:t>
            </w:r>
            <w:r>
              <w:rPr>
                <w:rFonts w:ascii="仿宋" w:eastAsia="仿宋" w:hAnsi="仿宋"/>
                <w:bCs/>
                <w:sz w:val="24"/>
                <w:szCs w:val="24"/>
              </w:rPr>
              <w:t>，</w:t>
            </w:r>
            <w:r>
              <w:rPr>
                <w:rFonts w:ascii="仿宋" w:eastAsia="仿宋" w:hAnsi="仿宋" w:hint="eastAsia"/>
                <w:bCs/>
                <w:sz w:val="24"/>
                <w:szCs w:val="24"/>
              </w:rPr>
              <w:t>实验师</w:t>
            </w:r>
            <w:r>
              <w:rPr>
                <w:rFonts w:ascii="仿宋" w:eastAsia="仿宋" w:hAnsi="仿宋"/>
                <w:bCs/>
                <w:sz w:val="24"/>
                <w:szCs w:val="24"/>
              </w:rPr>
              <w:t>，</w:t>
            </w:r>
            <w:r>
              <w:rPr>
                <w:rFonts w:ascii="仿宋" w:eastAsia="仿宋" w:hAnsi="仿宋" w:hint="eastAsia"/>
                <w:bCs/>
                <w:sz w:val="24"/>
                <w:szCs w:val="24"/>
              </w:rPr>
              <w:t>浙江大学、浙江大学金华研究院</w:t>
            </w:r>
            <w:r>
              <w:rPr>
                <w:rFonts w:ascii="仿宋" w:eastAsia="仿宋" w:hAnsi="仿宋"/>
                <w:bCs/>
                <w:sz w:val="24"/>
                <w:szCs w:val="24"/>
              </w:rPr>
              <w:t>；</w:t>
            </w:r>
          </w:p>
          <w:p w14:paraId="10887412" w14:textId="77777777" w:rsidR="00D85A87" w:rsidRDefault="005016F3">
            <w:pPr>
              <w:spacing w:line="440" w:lineRule="exact"/>
              <w:rPr>
                <w:rFonts w:ascii="仿宋" w:eastAsia="仿宋" w:hAnsi="仿宋"/>
                <w:bCs/>
                <w:sz w:val="24"/>
                <w:szCs w:val="24"/>
              </w:rPr>
            </w:pPr>
            <w:r>
              <w:rPr>
                <w:rFonts w:ascii="仿宋" w:eastAsia="仿宋" w:hAnsi="仿宋" w:hint="eastAsia"/>
                <w:bCs/>
                <w:sz w:val="24"/>
                <w:szCs w:val="24"/>
              </w:rPr>
              <w:t>蔡圣</w:t>
            </w:r>
            <w:r>
              <w:rPr>
                <w:rFonts w:ascii="仿宋" w:eastAsia="仿宋" w:hAnsi="仿宋"/>
                <w:bCs/>
                <w:sz w:val="24"/>
                <w:szCs w:val="24"/>
              </w:rPr>
              <w:t>，排名</w:t>
            </w:r>
            <w:r>
              <w:rPr>
                <w:rFonts w:ascii="仿宋" w:eastAsia="仿宋" w:hAnsi="仿宋" w:hint="eastAsia"/>
                <w:bCs/>
                <w:sz w:val="24"/>
                <w:szCs w:val="24"/>
              </w:rPr>
              <w:t>5</w:t>
            </w:r>
            <w:r>
              <w:rPr>
                <w:rFonts w:ascii="仿宋" w:eastAsia="仿宋" w:hAnsi="仿宋"/>
                <w:bCs/>
                <w:sz w:val="24"/>
                <w:szCs w:val="24"/>
              </w:rPr>
              <w:t>，</w:t>
            </w:r>
            <w:r>
              <w:rPr>
                <w:rFonts w:ascii="仿宋" w:eastAsia="仿宋" w:hAnsi="仿宋" w:hint="eastAsia"/>
                <w:bCs/>
                <w:sz w:val="24"/>
                <w:szCs w:val="24"/>
              </w:rPr>
              <w:t>副教授</w:t>
            </w:r>
            <w:r>
              <w:rPr>
                <w:rFonts w:ascii="仿宋" w:eastAsia="仿宋" w:hAnsi="仿宋"/>
                <w:bCs/>
                <w:sz w:val="24"/>
                <w:szCs w:val="24"/>
              </w:rPr>
              <w:t>，</w:t>
            </w:r>
            <w:r>
              <w:rPr>
                <w:rFonts w:ascii="仿宋" w:eastAsia="仿宋" w:hAnsi="仿宋" w:hint="eastAsia"/>
                <w:bCs/>
                <w:sz w:val="24"/>
                <w:szCs w:val="24"/>
              </w:rPr>
              <w:t>浙江大学。</w:t>
            </w:r>
          </w:p>
          <w:p w14:paraId="7C3D81D9" w14:textId="77777777" w:rsidR="00D85A87" w:rsidRDefault="00D85A87">
            <w:pPr>
              <w:spacing w:line="440" w:lineRule="exact"/>
              <w:rPr>
                <w:rFonts w:ascii="仿宋" w:eastAsia="仿宋" w:hAnsi="仿宋"/>
                <w:bCs/>
                <w:sz w:val="24"/>
                <w:szCs w:val="24"/>
              </w:rPr>
            </w:pPr>
          </w:p>
        </w:tc>
      </w:tr>
      <w:tr w:rsidR="00D85A87" w14:paraId="1B5F2F36" w14:textId="77777777">
        <w:trPr>
          <w:trHeight w:val="1301"/>
        </w:trPr>
        <w:tc>
          <w:tcPr>
            <w:tcW w:w="1844" w:type="dxa"/>
            <w:tcBorders>
              <w:right w:val="single" w:sz="4" w:space="0" w:color="auto"/>
            </w:tcBorders>
            <w:vAlign w:val="center"/>
          </w:tcPr>
          <w:p w14:paraId="6D6181AB" w14:textId="77777777" w:rsidR="00D85A87" w:rsidRDefault="005016F3">
            <w:pPr>
              <w:spacing w:line="440" w:lineRule="exact"/>
              <w:jc w:val="center"/>
              <w:rPr>
                <w:rFonts w:ascii="仿宋" w:eastAsia="仿宋" w:hAnsi="仿宋"/>
                <w:bCs/>
                <w:sz w:val="24"/>
                <w:szCs w:val="24"/>
              </w:rPr>
            </w:pPr>
            <w:r>
              <w:rPr>
                <w:rFonts w:ascii="仿宋" w:eastAsia="仿宋" w:hAnsi="仿宋"/>
                <w:bCs/>
                <w:sz w:val="28"/>
                <w:szCs w:val="24"/>
              </w:rPr>
              <w:t>主要完成单位</w:t>
            </w:r>
          </w:p>
        </w:tc>
        <w:tc>
          <w:tcPr>
            <w:tcW w:w="6945" w:type="dxa"/>
            <w:tcBorders>
              <w:left w:val="single" w:sz="4" w:space="0" w:color="auto"/>
            </w:tcBorders>
            <w:vAlign w:val="center"/>
          </w:tcPr>
          <w:p w14:paraId="50B880D8" w14:textId="77777777" w:rsidR="00D85A87" w:rsidRDefault="005016F3">
            <w:pPr>
              <w:spacing w:line="440" w:lineRule="exact"/>
              <w:jc w:val="left"/>
              <w:rPr>
                <w:rFonts w:ascii="仿宋" w:eastAsia="仿宋" w:hAnsi="仿宋"/>
                <w:bCs/>
                <w:sz w:val="24"/>
                <w:szCs w:val="24"/>
              </w:rPr>
            </w:pPr>
            <w:r>
              <w:rPr>
                <w:rFonts w:ascii="仿宋" w:eastAsia="仿宋" w:hAnsi="仿宋"/>
                <w:bCs/>
                <w:sz w:val="24"/>
                <w:szCs w:val="24"/>
              </w:rPr>
              <w:t>1.</w:t>
            </w:r>
            <w:r>
              <w:rPr>
                <w:rFonts w:ascii="仿宋" w:eastAsia="仿宋" w:hAnsi="仿宋"/>
                <w:bCs/>
                <w:sz w:val="24"/>
                <w:szCs w:val="24"/>
              </w:rPr>
              <w:t>单位名称：</w:t>
            </w:r>
            <w:r>
              <w:rPr>
                <w:rFonts w:ascii="仿宋" w:eastAsia="仿宋" w:hAnsi="仿宋" w:hint="eastAsia"/>
                <w:bCs/>
                <w:sz w:val="24"/>
                <w:szCs w:val="24"/>
              </w:rPr>
              <w:t>浙江大学</w:t>
            </w:r>
          </w:p>
          <w:p w14:paraId="32A91389" w14:textId="77777777" w:rsidR="00D85A87" w:rsidRDefault="005016F3">
            <w:pPr>
              <w:spacing w:line="440" w:lineRule="exact"/>
              <w:jc w:val="left"/>
              <w:rPr>
                <w:rFonts w:ascii="仿宋" w:eastAsia="仿宋" w:hAnsi="仿宋"/>
                <w:bCs/>
                <w:sz w:val="24"/>
                <w:szCs w:val="24"/>
              </w:rPr>
            </w:pPr>
            <w:r>
              <w:rPr>
                <w:rFonts w:ascii="仿宋" w:eastAsia="仿宋" w:hAnsi="仿宋"/>
                <w:bCs/>
                <w:sz w:val="24"/>
                <w:szCs w:val="24"/>
              </w:rPr>
              <w:t>2.</w:t>
            </w:r>
            <w:r>
              <w:rPr>
                <w:rFonts w:ascii="仿宋" w:eastAsia="仿宋" w:hAnsi="仿宋"/>
                <w:bCs/>
                <w:sz w:val="24"/>
                <w:szCs w:val="24"/>
              </w:rPr>
              <w:t>单位名称：</w:t>
            </w:r>
            <w:r>
              <w:rPr>
                <w:rFonts w:ascii="仿宋" w:eastAsia="仿宋" w:hAnsi="仿宋" w:hint="eastAsia"/>
                <w:bCs/>
                <w:sz w:val="24"/>
                <w:szCs w:val="24"/>
              </w:rPr>
              <w:t>浙江大学金华研究院</w:t>
            </w:r>
          </w:p>
        </w:tc>
      </w:tr>
      <w:tr w:rsidR="00D85A87" w14:paraId="1A4951E9" w14:textId="77777777">
        <w:trPr>
          <w:trHeight w:val="692"/>
        </w:trPr>
        <w:tc>
          <w:tcPr>
            <w:tcW w:w="1844" w:type="dxa"/>
            <w:vAlign w:val="center"/>
          </w:tcPr>
          <w:p w14:paraId="2DA2E630" w14:textId="77777777" w:rsidR="00D85A87" w:rsidRDefault="005016F3">
            <w:pPr>
              <w:jc w:val="center"/>
              <w:rPr>
                <w:rStyle w:val="title1"/>
                <w:rFonts w:ascii="仿宋" w:eastAsia="仿宋" w:hAnsi="仿宋"/>
                <w:b w:val="0"/>
                <w:bCs w:val="0"/>
                <w:color w:val="auto"/>
                <w:sz w:val="28"/>
                <w:szCs w:val="28"/>
              </w:rPr>
            </w:pPr>
            <w:r>
              <w:rPr>
                <w:rStyle w:val="title1"/>
                <w:rFonts w:ascii="仿宋" w:eastAsia="仿宋" w:hAnsi="仿宋"/>
                <w:b w:val="0"/>
                <w:bCs w:val="0"/>
                <w:color w:val="auto"/>
                <w:sz w:val="28"/>
                <w:szCs w:val="28"/>
              </w:rPr>
              <w:t>提名单位</w:t>
            </w:r>
          </w:p>
        </w:tc>
        <w:tc>
          <w:tcPr>
            <w:tcW w:w="6945" w:type="dxa"/>
            <w:vAlign w:val="center"/>
          </w:tcPr>
          <w:p w14:paraId="5D65826C" w14:textId="77777777" w:rsidR="00D85A87" w:rsidRDefault="005016F3">
            <w:pPr>
              <w:contextualSpacing/>
              <w:jc w:val="center"/>
              <w:rPr>
                <w:rStyle w:val="title1"/>
                <w:rFonts w:ascii="仿宋" w:eastAsia="仿宋" w:hAnsi="仿宋"/>
                <w:b w:val="0"/>
                <w:color w:val="auto"/>
              </w:rPr>
            </w:pPr>
            <w:r>
              <w:rPr>
                <w:rStyle w:val="title1"/>
                <w:rFonts w:ascii="仿宋" w:eastAsia="仿宋" w:hAnsi="仿宋" w:hint="eastAsia"/>
                <w:b w:val="0"/>
                <w:color w:val="auto"/>
              </w:rPr>
              <w:t>浙江大学</w:t>
            </w:r>
          </w:p>
        </w:tc>
      </w:tr>
      <w:tr w:rsidR="00D85A87" w14:paraId="4FB16B1E" w14:textId="77777777">
        <w:trPr>
          <w:trHeight w:val="3683"/>
        </w:trPr>
        <w:tc>
          <w:tcPr>
            <w:tcW w:w="1844" w:type="dxa"/>
            <w:vAlign w:val="center"/>
          </w:tcPr>
          <w:p w14:paraId="09D827F9" w14:textId="77777777" w:rsidR="00D85A87" w:rsidRDefault="005016F3">
            <w:pPr>
              <w:jc w:val="center"/>
              <w:rPr>
                <w:rStyle w:val="title1"/>
                <w:rFonts w:ascii="仿宋" w:eastAsia="仿宋" w:hAnsi="仿宋"/>
                <w:b w:val="0"/>
                <w:bCs w:val="0"/>
                <w:color w:val="auto"/>
                <w:sz w:val="28"/>
                <w:szCs w:val="28"/>
              </w:rPr>
            </w:pPr>
            <w:r>
              <w:rPr>
                <w:rStyle w:val="title1"/>
                <w:rFonts w:ascii="仿宋" w:eastAsia="仿宋" w:hAnsi="仿宋"/>
                <w:b w:val="0"/>
                <w:bCs w:val="0"/>
                <w:color w:val="auto"/>
                <w:sz w:val="28"/>
                <w:szCs w:val="28"/>
              </w:rPr>
              <w:t>提名意见</w:t>
            </w:r>
          </w:p>
        </w:tc>
        <w:tc>
          <w:tcPr>
            <w:tcW w:w="6945" w:type="dxa"/>
            <w:vAlign w:val="center"/>
          </w:tcPr>
          <w:p w14:paraId="6CA89061" w14:textId="77777777" w:rsidR="00D85A87" w:rsidRDefault="005016F3">
            <w:pPr>
              <w:spacing w:line="440" w:lineRule="exact"/>
              <w:ind w:firstLineChars="200" w:firstLine="480"/>
              <w:jc w:val="left"/>
              <w:rPr>
                <w:rFonts w:ascii="仿宋" w:eastAsia="仿宋" w:hAnsi="仿宋"/>
                <w:sz w:val="24"/>
                <w:szCs w:val="24"/>
              </w:rPr>
            </w:pPr>
            <w:r>
              <w:rPr>
                <w:rFonts w:ascii="仿宋" w:eastAsia="仿宋" w:hAnsi="仿宋"/>
                <w:sz w:val="24"/>
                <w:szCs w:val="24"/>
              </w:rPr>
              <w:t>该成果率先提出利用表观遗传机制调控疾病状态下药物转运体和药物代谢酶的功能进而精准逆转耐药的学术思想，阐明了肾细胞癌、结直肠癌、肝癌等原发</w:t>
            </w:r>
            <w:r>
              <w:rPr>
                <w:rFonts w:ascii="仿宋" w:eastAsia="仿宋" w:hAnsi="仿宋" w:hint="eastAsia"/>
                <w:sz w:val="24"/>
                <w:szCs w:val="24"/>
              </w:rPr>
              <w:t>耐药的机制并设计联合用药方案逆转耐药，临床疗效显著。同时，构建了大型药物转运体和药物代谢酶数据库，</w:t>
            </w:r>
            <w:r>
              <w:rPr>
                <w:rFonts w:ascii="仿宋" w:eastAsia="仿宋" w:hAnsi="仿宋"/>
                <w:sz w:val="24"/>
                <w:szCs w:val="24"/>
              </w:rPr>
              <w:t>使其成为实现临床精准医疗进程</w:t>
            </w:r>
            <w:r>
              <w:rPr>
                <w:rFonts w:ascii="仿宋" w:eastAsia="仿宋" w:hAnsi="仿宋" w:hint="eastAsia"/>
                <w:sz w:val="24"/>
                <w:szCs w:val="24"/>
              </w:rPr>
              <w:t>和新药创制研究</w:t>
            </w:r>
            <w:r>
              <w:rPr>
                <w:rFonts w:ascii="仿宋" w:eastAsia="仿宋" w:hAnsi="仿宋"/>
                <w:sz w:val="24"/>
                <w:szCs w:val="24"/>
              </w:rPr>
              <w:t>不可或缺的部分，对于提高临床用药疗效、降低不良反应以及促进新药研发都具有积极意义</w:t>
            </w:r>
            <w:r>
              <w:rPr>
                <w:rFonts w:ascii="仿宋" w:eastAsia="仿宋" w:hAnsi="仿宋" w:hint="eastAsia"/>
                <w:sz w:val="24"/>
                <w:szCs w:val="24"/>
              </w:rPr>
              <w:t>。</w:t>
            </w:r>
          </w:p>
          <w:p w14:paraId="44822425" w14:textId="77777777" w:rsidR="00D85A87" w:rsidRDefault="005016F3">
            <w:pPr>
              <w:spacing w:line="440" w:lineRule="exact"/>
              <w:ind w:firstLineChars="200" w:firstLine="480"/>
              <w:jc w:val="left"/>
              <w:rPr>
                <w:rStyle w:val="title1"/>
                <w:rFonts w:ascii="仿宋" w:eastAsia="仿宋" w:hAnsi="仿宋"/>
                <w:b w:val="0"/>
                <w:color w:val="auto"/>
              </w:rPr>
            </w:pPr>
            <w:r>
              <w:rPr>
                <w:rFonts w:ascii="仿宋" w:eastAsia="仿宋" w:hAnsi="仿宋" w:hint="eastAsia"/>
                <w:sz w:val="24"/>
                <w:szCs w:val="24"/>
              </w:rPr>
              <w:t>综上，浙江大学提名该成果申报浙江省自然科学奖，提名等级一等奖。</w:t>
            </w:r>
          </w:p>
        </w:tc>
      </w:tr>
    </w:tbl>
    <w:p w14:paraId="682005BD" w14:textId="77777777" w:rsidR="00D85A87" w:rsidRDefault="005016F3">
      <w:pPr>
        <w:adjustRightInd w:val="0"/>
        <w:snapToGrid w:val="0"/>
        <w:spacing w:line="560" w:lineRule="exact"/>
        <w:rPr>
          <w:rFonts w:ascii="仿宋" w:eastAsia="仿宋" w:hAnsi="仿宋"/>
          <w:sz w:val="28"/>
          <w:szCs w:val="28"/>
        </w:rPr>
      </w:pPr>
      <w:r>
        <w:rPr>
          <w:rFonts w:ascii="仿宋" w:eastAsia="仿宋" w:hAnsi="仿宋" w:hint="eastAsia"/>
          <w:sz w:val="28"/>
          <w:szCs w:val="28"/>
        </w:rPr>
        <w:lastRenderedPageBreak/>
        <w:t>附件：</w:t>
      </w:r>
    </w:p>
    <w:p w14:paraId="79FD267F" w14:textId="77777777" w:rsidR="00D85A87" w:rsidRDefault="005016F3">
      <w:pPr>
        <w:pStyle w:val="ab"/>
        <w:numPr>
          <w:ilvl w:val="0"/>
          <w:numId w:val="1"/>
        </w:numPr>
        <w:adjustRightInd w:val="0"/>
        <w:snapToGrid w:val="0"/>
        <w:spacing w:line="560" w:lineRule="exact"/>
        <w:ind w:firstLineChars="0"/>
        <w:rPr>
          <w:rFonts w:ascii="仿宋" w:eastAsia="仿宋" w:hAnsi="仿宋"/>
          <w:bCs/>
          <w:sz w:val="28"/>
          <w:szCs w:val="28"/>
        </w:rPr>
      </w:pPr>
      <w:r>
        <w:rPr>
          <w:rFonts w:ascii="仿宋" w:eastAsia="仿宋" w:hAnsi="仿宋" w:hint="eastAsia"/>
          <w:sz w:val="28"/>
          <w:szCs w:val="28"/>
        </w:rPr>
        <w:t>代表</w:t>
      </w:r>
      <w:r>
        <w:rPr>
          <w:rFonts w:ascii="仿宋" w:eastAsia="仿宋" w:hAnsi="仿宋"/>
          <w:sz w:val="28"/>
          <w:szCs w:val="28"/>
        </w:rPr>
        <w:t>性论文专著目录</w:t>
      </w:r>
    </w:p>
    <w:p w14:paraId="678989B8" w14:textId="77777777" w:rsidR="00D85A87" w:rsidRDefault="005016F3">
      <w:pPr>
        <w:numPr>
          <w:ilvl w:val="0"/>
          <w:numId w:val="2"/>
        </w:numPr>
        <w:spacing w:line="360" w:lineRule="auto"/>
        <w:ind w:left="425" w:hangingChars="177" w:hanging="425"/>
        <w:rPr>
          <w:sz w:val="24"/>
          <w:szCs w:val="24"/>
        </w:rPr>
      </w:pPr>
      <w:r>
        <w:rPr>
          <w:sz w:val="24"/>
          <w:szCs w:val="24"/>
        </w:rPr>
        <w:t xml:space="preserve">Liu YQ, Zheng XL, Yu QQ, Wang H, Tan FQ, Zhu QY, Yuan LM, Jiang HD, Yu LS, Zeng S. Epigenetic activation of the drug transporter OCT2 sensitizes renal cell carcinoma to oxaliplatin. Sci </w:t>
      </w:r>
      <w:proofErr w:type="spellStart"/>
      <w:r>
        <w:rPr>
          <w:sz w:val="24"/>
          <w:szCs w:val="24"/>
        </w:rPr>
        <w:t>Transl</w:t>
      </w:r>
      <w:proofErr w:type="spellEnd"/>
      <w:r>
        <w:rPr>
          <w:sz w:val="24"/>
          <w:szCs w:val="24"/>
        </w:rPr>
        <w:t xml:space="preserve"> Med, 2016 Jul 20;8(348):348ra97. </w:t>
      </w:r>
      <w:proofErr w:type="spellStart"/>
      <w:r>
        <w:rPr>
          <w:sz w:val="24"/>
          <w:szCs w:val="24"/>
        </w:rPr>
        <w:t>doi</w:t>
      </w:r>
      <w:proofErr w:type="spellEnd"/>
      <w:r>
        <w:rPr>
          <w:sz w:val="24"/>
          <w:szCs w:val="24"/>
        </w:rPr>
        <w:t>: 10.1126/</w:t>
      </w:r>
      <w:proofErr w:type="gramStart"/>
      <w:r>
        <w:rPr>
          <w:sz w:val="24"/>
          <w:szCs w:val="24"/>
        </w:rPr>
        <w:t>scitranslmed.aaf</w:t>
      </w:r>
      <w:proofErr w:type="gramEnd"/>
      <w:r>
        <w:rPr>
          <w:sz w:val="24"/>
          <w:szCs w:val="24"/>
        </w:rPr>
        <w:t>3</w:t>
      </w:r>
      <w:r>
        <w:rPr>
          <w:sz w:val="24"/>
          <w:szCs w:val="24"/>
        </w:rPr>
        <w:t xml:space="preserve">124. </w:t>
      </w:r>
    </w:p>
    <w:p w14:paraId="2945E75F" w14:textId="77777777" w:rsidR="00D85A87" w:rsidRDefault="005016F3">
      <w:pPr>
        <w:numPr>
          <w:ilvl w:val="0"/>
          <w:numId w:val="2"/>
        </w:numPr>
        <w:spacing w:line="360" w:lineRule="auto"/>
        <w:rPr>
          <w:sz w:val="24"/>
          <w:szCs w:val="24"/>
        </w:rPr>
      </w:pPr>
      <w:r>
        <w:rPr>
          <w:sz w:val="24"/>
          <w:szCs w:val="24"/>
        </w:rPr>
        <w:t>Yin JY, Li FC, Zhou Y, </w:t>
      </w:r>
      <w:proofErr w:type="spellStart"/>
      <w:r>
        <w:rPr>
          <w:sz w:val="24"/>
          <w:szCs w:val="24"/>
        </w:rPr>
        <w:t>Mou</w:t>
      </w:r>
      <w:proofErr w:type="spellEnd"/>
      <w:r>
        <w:rPr>
          <w:sz w:val="24"/>
          <w:szCs w:val="24"/>
        </w:rPr>
        <w:t xml:space="preserve"> MJ, Lu YJ, Chen KL, </w:t>
      </w:r>
      <w:proofErr w:type="spellStart"/>
      <w:r>
        <w:rPr>
          <w:sz w:val="24"/>
          <w:szCs w:val="24"/>
        </w:rPr>
        <w:t>Xue</w:t>
      </w:r>
      <w:proofErr w:type="spellEnd"/>
      <w:r>
        <w:rPr>
          <w:sz w:val="24"/>
          <w:szCs w:val="24"/>
        </w:rPr>
        <w:t xml:space="preserve"> J, Luo YC, Fu JB, He X, Gao JQ, Zeng S, Yu LS, Zhu F</w:t>
      </w:r>
      <w:r>
        <w:rPr>
          <w:rFonts w:hint="eastAsia"/>
          <w:sz w:val="24"/>
          <w:szCs w:val="24"/>
        </w:rPr>
        <w:t>.</w:t>
      </w:r>
      <w:r>
        <w:rPr>
          <w:sz w:val="24"/>
          <w:szCs w:val="24"/>
        </w:rPr>
        <w:t xml:space="preserve"> INTEDE: interactome of drug-metabolizing enzymes. Nucleic Acids Res. 2021 Jan 8;49(D1</w:t>
      </w:r>
      <w:proofErr w:type="gramStart"/>
      <w:r>
        <w:rPr>
          <w:sz w:val="24"/>
          <w:szCs w:val="24"/>
        </w:rPr>
        <w:t>):D</w:t>
      </w:r>
      <w:proofErr w:type="gramEnd"/>
      <w:r>
        <w:rPr>
          <w:sz w:val="24"/>
          <w:szCs w:val="24"/>
        </w:rPr>
        <w:t>1233-D1243.  </w:t>
      </w:r>
      <w:proofErr w:type="spellStart"/>
      <w:r>
        <w:rPr>
          <w:sz w:val="24"/>
          <w:szCs w:val="24"/>
        </w:rPr>
        <w:t>doi</w:t>
      </w:r>
      <w:proofErr w:type="spellEnd"/>
      <w:r>
        <w:rPr>
          <w:sz w:val="24"/>
          <w:szCs w:val="24"/>
        </w:rPr>
        <w:t>: 10.1093/</w:t>
      </w:r>
      <w:proofErr w:type="spellStart"/>
      <w:r>
        <w:rPr>
          <w:sz w:val="24"/>
          <w:szCs w:val="24"/>
        </w:rPr>
        <w:t>nar</w:t>
      </w:r>
      <w:proofErr w:type="spellEnd"/>
      <w:r>
        <w:rPr>
          <w:sz w:val="24"/>
          <w:szCs w:val="24"/>
        </w:rPr>
        <w:t xml:space="preserve">/gkaa755. </w:t>
      </w:r>
    </w:p>
    <w:p w14:paraId="78A33C1C" w14:textId="77777777" w:rsidR="00D85A87" w:rsidRDefault="005016F3">
      <w:pPr>
        <w:numPr>
          <w:ilvl w:val="0"/>
          <w:numId w:val="2"/>
        </w:numPr>
        <w:spacing w:line="360" w:lineRule="auto"/>
        <w:ind w:left="425" w:hangingChars="177" w:hanging="425"/>
        <w:rPr>
          <w:sz w:val="24"/>
          <w:szCs w:val="24"/>
        </w:rPr>
      </w:pPr>
      <w:r>
        <w:rPr>
          <w:sz w:val="24"/>
          <w:szCs w:val="24"/>
        </w:rPr>
        <w:t xml:space="preserve">Yin </w:t>
      </w:r>
      <w:r>
        <w:rPr>
          <w:sz w:val="24"/>
          <w:szCs w:val="24"/>
        </w:rPr>
        <w:t>JY, Sun W, Li FC, Hong JJ, Li XX, Zhou Y, Lu YJ, Liu MZ, Zhang X, Chen N, </w:t>
      </w:r>
      <w:proofErr w:type="spellStart"/>
      <w:r>
        <w:rPr>
          <w:sz w:val="24"/>
          <w:szCs w:val="24"/>
        </w:rPr>
        <w:t>Jin</w:t>
      </w:r>
      <w:proofErr w:type="spellEnd"/>
      <w:r>
        <w:rPr>
          <w:sz w:val="24"/>
          <w:szCs w:val="24"/>
        </w:rPr>
        <w:t xml:space="preserve"> XP, </w:t>
      </w:r>
      <w:proofErr w:type="spellStart"/>
      <w:r>
        <w:rPr>
          <w:sz w:val="24"/>
          <w:szCs w:val="24"/>
        </w:rPr>
        <w:t>Xue</w:t>
      </w:r>
      <w:proofErr w:type="spellEnd"/>
      <w:r>
        <w:rPr>
          <w:sz w:val="24"/>
          <w:szCs w:val="24"/>
        </w:rPr>
        <w:t xml:space="preserve"> J, Zeng S, Yu LS, Zhu F</w:t>
      </w:r>
      <w:r>
        <w:rPr>
          <w:rFonts w:hint="eastAsia"/>
          <w:sz w:val="24"/>
          <w:szCs w:val="24"/>
        </w:rPr>
        <w:t>.</w:t>
      </w:r>
      <w:r>
        <w:rPr>
          <w:sz w:val="24"/>
          <w:szCs w:val="24"/>
        </w:rPr>
        <w:t xml:space="preserve"> VARIDT 1.0: variability of drug transporter database. Nucleic Acids Res. 2020 Jan 8;48(D1</w:t>
      </w:r>
      <w:proofErr w:type="gramStart"/>
      <w:r>
        <w:rPr>
          <w:sz w:val="24"/>
          <w:szCs w:val="24"/>
        </w:rPr>
        <w:t>):D</w:t>
      </w:r>
      <w:proofErr w:type="gramEnd"/>
      <w:r>
        <w:rPr>
          <w:sz w:val="24"/>
          <w:szCs w:val="24"/>
        </w:rPr>
        <w:t xml:space="preserve">1042-D1050. </w:t>
      </w:r>
      <w:proofErr w:type="spellStart"/>
      <w:r>
        <w:rPr>
          <w:sz w:val="24"/>
          <w:szCs w:val="24"/>
        </w:rPr>
        <w:t>doi</w:t>
      </w:r>
      <w:proofErr w:type="spellEnd"/>
      <w:r>
        <w:rPr>
          <w:sz w:val="24"/>
          <w:szCs w:val="24"/>
        </w:rPr>
        <w:t>: 10.1093/</w:t>
      </w:r>
      <w:proofErr w:type="spellStart"/>
      <w:r>
        <w:rPr>
          <w:sz w:val="24"/>
          <w:szCs w:val="24"/>
        </w:rPr>
        <w:t>nar</w:t>
      </w:r>
      <w:proofErr w:type="spellEnd"/>
      <w:r>
        <w:rPr>
          <w:sz w:val="24"/>
          <w:szCs w:val="24"/>
        </w:rPr>
        <w:t xml:space="preserve">/gkz779   </w:t>
      </w:r>
    </w:p>
    <w:p w14:paraId="22755068" w14:textId="77777777" w:rsidR="00D85A87" w:rsidRDefault="005016F3">
      <w:pPr>
        <w:numPr>
          <w:ilvl w:val="0"/>
          <w:numId w:val="2"/>
        </w:numPr>
        <w:spacing w:line="360" w:lineRule="auto"/>
        <w:ind w:left="425" w:hangingChars="177" w:hanging="425"/>
        <w:rPr>
          <w:sz w:val="24"/>
          <w:szCs w:val="24"/>
        </w:rPr>
      </w:pPr>
      <w:bookmarkStart w:id="0" w:name="_Hlk126311139"/>
      <w:r>
        <w:rPr>
          <w:sz w:val="24"/>
          <w:szCs w:val="24"/>
        </w:rPr>
        <w:t xml:space="preserve">Wang YH, Wang </w:t>
      </w:r>
      <w:r>
        <w:rPr>
          <w:sz w:val="24"/>
          <w:szCs w:val="24"/>
        </w:rPr>
        <w:t xml:space="preserve">JQ, Yang LR, </w:t>
      </w:r>
      <w:proofErr w:type="spellStart"/>
      <w:r>
        <w:rPr>
          <w:sz w:val="24"/>
          <w:szCs w:val="24"/>
        </w:rPr>
        <w:t>Qiu</w:t>
      </w:r>
      <w:proofErr w:type="spellEnd"/>
      <w:r>
        <w:rPr>
          <w:sz w:val="24"/>
          <w:szCs w:val="24"/>
        </w:rPr>
        <w:t xml:space="preserve"> LQ, Hua YH, Wu SX, Zeng S, Yu LS, Zheng XL. Epigenetic regulation of intestinal peptide transporter PEPT1 as a potential strategy for colorectal cancer sensitization. Cell Death Dis, 2021 May 24;12(6):532. </w:t>
      </w:r>
      <w:proofErr w:type="spellStart"/>
      <w:r>
        <w:rPr>
          <w:sz w:val="24"/>
          <w:szCs w:val="24"/>
        </w:rPr>
        <w:t>doi</w:t>
      </w:r>
      <w:proofErr w:type="spellEnd"/>
      <w:r>
        <w:rPr>
          <w:sz w:val="24"/>
          <w:szCs w:val="24"/>
        </w:rPr>
        <w:t>: 10.1038/s41419-021-03814-5.</w:t>
      </w:r>
      <w:bookmarkEnd w:id="0"/>
      <w:r>
        <w:rPr>
          <w:sz w:val="24"/>
          <w:szCs w:val="24"/>
        </w:rPr>
        <w:t xml:space="preserve"> </w:t>
      </w:r>
      <w:r>
        <w:rPr>
          <w:sz w:val="24"/>
          <w:szCs w:val="24"/>
        </w:rPr>
        <w:t xml:space="preserve"> </w:t>
      </w:r>
    </w:p>
    <w:p w14:paraId="099A633A" w14:textId="77777777" w:rsidR="00D85A87" w:rsidRDefault="005016F3">
      <w:pPr>
        <w:numPr>
          <w:ilvl w:val="0"/>
          <w:numId w:val="2"/>
        </w:numPr>
        <w:spacing w:line="360" w:lineRule="auto"/>
        <w:ind w:left="425" w:hangingChars="177" w:hanging="425"/>
        <w:rPr>
          <w:sz w:val="24"/>
          <w:szCs w:val="24"/>
        </w:rPr>
      </w:pPr>
      <w:r>
        <w:rPr>
          <w:sz w:val="24"/>
          <w:szCs w:val="24"/>
        </w:rPr>
        <w:t>Chen L, Wang ZY, Xu QW, Liu YX, Chen L, Guo SH, Wang H, Zeng K, Liu JQ, Zeng S, Yu LS. The failure of DAC to induce OCT2 expression and its remission by hemoglobin-based nanocarriers under hypoxia in renal cell carcinoma. </w:t>
      </w:r>
      <w:proofErr w:type="spellStart"/>
      <w:r>
        <w:rPr>
          <w:sz w:val="24"/>
          <w:szCs w:val="24"/>
        </w:rPr>
        <w:t>Theranostics</w:t>
      </w:r>
      <w:proofErr w:type="spellEnd"/>
      <w:r>
        <w:rPr>
          <w:sz w:val="24"/>
          <w:szCs w:val="24"/>
        </w:rPr>
        <w:t>, 2020; 10(8):3562-3</w:t>
      </w:r>
      <w:r>
        <w:rPr>
          <w:sz w:val="24"/>
          <w:szCs w:val="24"/>
        </w:rPr>
        <w:t xml:space="preserve">578. doi:10.7150/thno.39944.   </w:t>
      </w:r>
    </w:p>
    <w:p w14:paraId="00BD5F28" w14:textId="77777777" w:rsidR="00D85A87" w:rsidRDefault="005016F3">
      <w:pPr>
        <w:numPr>
          <w:ilvl w:val="0"/>
          <w:numId w:val="2"/>
        </w:numPr>
        <w:spacing w:line="360" w:lineRule="auto"/>
        <w:ind w:left="485" w:hangingChars="202" w:hanging="485"/>
        <w:rPr>
          <w:sz w:val="24"/>
          <w:szCs w:val="24"/>
        </w:rPr>
      </w:pPr>
      <w:r>
        <w:rPr>
          <w:sz w:val="24"/>
          <w:szCs w:val="24"/>
          <w:shd w:val="clear" w:color="auto" w:fill="FFFFFF"/>
        </w:rPr>
        <w:t>Chen L, Chen L, Qin ZY, Lei JX, Ye S, Zeng K, Wang H, Ying MD, Gao JQ, Zeng S</w:t>
      </w:r>
      <w:r>
        <w:rPr>
          <w:b/>
          <w:bCs/>
          <w:sz w:val="24"/>
          <w:szCs w:val="24"/>
          <w:shd w:val="clear" w:color="auto" w:fill="FFFFFF"/>
        </w:rPr>
        <w:t>, </w:t>
      </w:r>
      <w:r>
        <w:rPr>
          <w:rStyle w:val="a9"/>
          <w:b w:val="0"/>
          <w:bCs w:val="0"/>
          <w:sz w:val="24"/>
          <w:szCs w:val="24"/>
          <w:shd w:val="clear" w:color="auto" w:fill="FFFFFF"/>
        </w:rPr>
        <w:t>Yu LS</w:t>
      </w:r>
      <w:r>
        <w:rPr>
          <w:b/>
          <w:bCs/>
          <w:sz w:val="24"/>
          <w:szCs w:val="24"/>
          <w:shd w:val="clear" w:color="auto" w:fill="FFFFFF"/>
        </w:rPr>
        <w:t>. </w:t>
      </w:r>
      <w:r>
        <w:rPr>
          <w:sz w:val="24"/>
          <w:szCs w:val="24"/>
          <w:shd w:val="clear" w:color="auto" w:fill="FFFFFF"/>
        </w:rPr>
        <w:t>Upregulation of miR-489-3p and miR-630 inhibits oxaliplatin uptake in renal cell carcinoma by targeting OCT2. Acta Pharma Sin B, 2019</w:t>
      </w:r>
      <w:r>
        <w:rPr>
          <w:rFonts w:hint="eastAsia"/>
          <w:sz w:val="24"/>
          <w:szCs w:val="24"/>
          <w:shd w:val="clear" w:color="auto" w:fill="FFFFFF"/>
        </w:rPr>
        <w:t>,</w:t>
      </w:r>
      <w:r>
        <w:rPr>
          <w:sz w:val="24"/>
          <w:szCs w:val="24"/>
          <w:shd w:val="clear" w:color="auto" w:fill="FFFFFF"/>
        </w:rPr>
        <w:t xml:space="preserve"> 9(5</w:t>
      </w:r>
      <w:r>
        <w:rPr>
          <w:sz w:val="24"/>
          <w:szCs w:val="24"/>
          <w:shd w:val="clear" w:color="auto" w:fill="FFFFFF"/>
        </w:rPr>
        <w:t xml:space="preserve">): 1008-1020. </w:t>
      </w:r>
      <w:proofErr w:type="spellStart"/>
      <w:r>
        <w:rPr>
          <w:sz w:val="24"/>
          <w:szCs w:val="24"/>
          <w:shd w:val="clear" w:color="auto" w:fill="FFFFFF"/>
        </w:rPr>
        <w:t>doi</w:t>
      </w:r>
      <w:proofErr w:type="spellEnd"/>
      <w:r>
        <w:rPr>
          <w:sz w:val="24"/>
          <w:szCs w:val="24"/>
          <w:shd w:val="clear" w:color="auto" w:fill="FFFFFF"/>
        </w:rPr>
        <w:t xml:space="preserve">: 10.1016/j.apsb.2019.01.002.   </w:t>
      </w:r>
    </w:p>
    <w:p w14:paraId="07E9DA11" w14:textId="77777777" w:rsidR="00D85A87" w:rsidRDefault="005016F3">
      <w:pPr>
        <w:pStyle w:val="Style16"/>
        <w:numPr>
          <w:ilvl w:val="0"/>
          <w:numId w:val="2"/>
        </w:numPr>
        <w:spacing w:line="360" w:lineRule="auto"/>
        <w:ind w:left="425" w:hangingChars="177" w:hanging="425"/>
        <w:rPr>
          <w:rFonts w:ascii="Times New Roman" w:hAnsi="Times New Roman"/>
          <w:sz w:val="24"/>
          <w:szCs w:val="24"/>
        </w:rPr>
      </w:pPr>
      <w:bookmarkStart w:id="1" w:name="_Hlk126311005"/>
      <w:r>
        <w:rPr>
          <w:rFonts w:ascii="Times New Roman" w:hAnsi="Times New Roman"/>
          <w:sz w:val="24"/>
          <w:szCs w:val="24"/>
        </w:rPr>
        <w:t xml:space="preserve"> Wang YY, Zhu QY, Hu HH, Zhu H, Yang B, He QJ, Yu LS, Zeng S. Upregulation of histone acetylation reverses organic anion transporter 2 repression and enhances 5-fluorouracil sensitivity in hepatocellular ca</w:t>
      </w:r>
      <w:r>
        <w:rPr>
          <w:rFonts w:ascii="Times New Roman" w:hAnsi="Times New Roman"/>
          <w:sz w:val="24"/>
          <w:szCs w:val="24"/>
        </w:rPr>
        <w:t xml:space="preserve">rcinoma. </w:t>
      </w:r>
      <w:proofErr w:type="spellStart"/>
      <w:r>
        <w:rPr>
          <w:rFonts w:ascii="Times New Roman" w:hAnsi="Times New Roman"/>
          <w:sz w:val="24"/>
          <w:szCs w:val="24"/>
        </w:rPr>
        <w:t>Biochem</w:t>
      </w:r>
      <w:proofErr w:type="spellEnd"/>
      <w:r>
        <w:rPr>
          <w:rFonts w:ascii="Times New Roman" w:hAnsi="Times New Roman"/>
          <w:sz w:val="24"/>
          <w:szCs w:val="24"/>
        </w:rPr>
        <w:t xml:space="preserve"> </w:t>
      </w:r>
      <w:proofErr w:type="spellStart"/>
      <w:r>
        <w:rPr>
          <w:rFonts w:ascii="Times New Roman" w:hAnsi="Times New Roman"/>
          <w:sz w:val="24"/>
          <w:szCs w:val="24"/>
        </w:rPr>
        <w:t>Pharmacol</w:t>
      </w:r>
      <w:proofErr w:type="spellEnd"/>
      <w:r>
        <w:rPr>
          <w:rFonts w:ascii="Times New Roman" w:hAnsi="Times New Roman"/>
          <w:sz w:val="24"/>
          <w:szCs w:val="24"/>
        </w:rPr>
        <w:t xml:space="preserve">, 2021 </w:t>
      </w:r>
      <w:r>
        <w:rPr>
          <w:rFonts w:ascii="Times New Roman" w:hAnsi="Times New Roman"/>
          <w:sz w:val="24"/>
          <w:szCs w:val="24"/>
        </w:rPr>
        <w:lastRenderedPageBreak/>
        <w:t>Jun;188:114546.  </w:t>
      </w:r>
      <w:proofErr w:type="spellStart"/>
      <w:r>
        <w:rPr>
          <w:rFonts w:ascii="Times New Roman" w:hAnsi="Times New Roman"/>
          <w:sz w:val="24"/>
          <w:szCs w:val="24"/>
        </w:rPr>
        <w:t>doi</w:t>
      </w:r>
      <w:proofErr w:type="spellEnd"/>
      <w:r>
        <w:rPr>
          <w:rFonts w:ascii="Times New Roman" w:hAnsi="Times New Roman"/>
          <w:sz w:val="24"/>
          <w:szCs w:val="24"/>
        </w:rPr>
        <w:t>: 10.1016/j.bcp.2021.114546.  6.1</w:t>
      </w:r>
    </w:p>
    <w:p w14:paraId="7BF834DB" w14:textId="77777777" w:rsidR="00D85A87" w:rsidRDefault="005016F3">
      <w:pPr>
        <w:pStyle w:val="Style15"/>
        <w:numPr>
          <w:ilvl w:val="0"/>
          <w:numId w:val="2"/>
        </w:numPr>
        <w:spacing w:line="360" w:lineRule="auto"/>
        <w:ind w:firstLineChars="0"/>
        <w:rPr>
          <w:rFonts w:ascii="Times New Roman" w:hAnsi="Times New Roman"/>
          <w:sz w:val="24"/>
          <w:szCs w:val="24"/>
        </w:rPr>
      </w:pPr>
      <w:r>
        <w:rPr>
          <w:rFonts w:ascii="Times New Roman" w:hAnsi="Times New Roman" w:hint="eastAsia"/>
          <w:sz w:val="24"/>
          <w:szCs w:val="24"/>
        </w:rPr>
        <w:t xml:space="preserve">Cai S, Jung C, Bhadra S, Ellington AD. </w:t>
      </w:r>
      <w:proofErr w:type="spellStart"/>
      <w:r>
        <w:rPr>
          <w:rFonts w:ascii="Times New Roman" w:hAnsi="Times New Roman" w:hint="eastAsia"/>
          <w:sz w:val="24"/>
          <w:szCs w:val="24"/>
        </w:rPr>
        <w:t>Phosphorothioated</w:t>
      </w:r>
      <w:proofErr w:type="spellEnd"/>
      <w:r>
        <w:rPr>
          <w:rFonts w:ascii="Times New Roman" w:hAnsi="Times New Roman" w:hint="eastAsia"/>
          <w:sz w:val="24"/>
          <w:szCs w:val="24"/>
        </w:rPr>
        <w:t xml:space="preserve"> Primers Lead to Loop-Mediated Isothermal Amplification at Low Temperatures. Analytical Chemistry, 2018 JUL; 90: </w:t>
      </w:r>
      <w:r>
        <w:rPr>
          <w:rFonts w:ascii="Times New Roman" w:hAnsi="Times New Roman" w:hint="eastAsia"/>
          <w:sz w:val="24"/>
          <w:szCs w:val="24"/>
        </w:rPr>
        <w:t xml:space="preserve">8290-8294. </w:t>
      </w:r>
      <w:proofErr w:type="spellStart"/>
      <w:r>
        <w:rPr>
          <w:rFonts w:ascii="Times New Roman" w:hAnsi="Times New Roman" w:hint="eastAsia"/>
          <w:sz w:val="24"/>
          <w:szCs w:val="24"/>
        </w:rPr>
        <w:t>doi</w:t>
      </w:r>
      <w:proofErr w:type="spellEnd"/>
      <w:r>
        <w:rPr>
          <w:rFonts w:ascii="Times New Roman" w:hAnsi="Times New Roman" w:hint="eastAsia"/>
          <w:sz w:val="24"/>
          <w:szCs w:val="24"/>
        </w:rPr>
        <w:t>: 10.1021/acs.analchem.8b02062.</w:t>
      </w:r>
    </w:p>
    <w:bookmarkEnd w:id="1"/>
    <w:p w14:paraId="543AA91A" w14:textId="77777777" w:rsidR="00D85A87" w:rsidRDefault="00D85A87">
      <w:pPr>
        <w:adjustRightInd w:val="0"/>
        <w:snapToGrid w:val="0"/>
        <w:spacing w:line="560" w:lineRule="exact"/>
        <w:rPr>
          <w:rFonts w:ascii="仿宋" w:eastAsia="仿宋" w:hAnsi="仿宋"/>
          <w:sz w:val="32"/>
          <w:szCs w:val="32"/>
        </w:rPr>
      </w:pPr>
    </w:p>
    <w:p w14:paraId="3A73EF7E" w14:textId="77777777" w:rsidR="00D85A87" w:rsidRDefault="005016F3">
      <w:pPr>
        <w:adjustRightInd w:val="0"/>
        <w:snapToGrid w:val="0"/>
        <w:spacing w:line="560" w:lineRule="exact"/>
        <w:rPr>
          <w:rFonts w:ascii="仿宋" w:eastAsia="仿宋" w:hAnsi="仿宋"/>
          <w:sz w:val="28"/>
          <w:szCs w:val="28"/>
        </w:rPr>
      </w:pPr>
      <w:r>
        <w:rPr>
          <w:rFonts w:ascii="仿宋" w:eastAsia="仿宋" w:hAnsi="仿宋" w:hint="eastAsia"/>
          <w:bCs/>
          <w:sz w:val="28"/>
          <w:szCs w:val="28"/>
        </w:rPr>
        <w:t>二、</w:t>
      </w:r>
      <w:r>
        <w:rPr>
          <w:rFonts w:ascii="仿宋" w:eastAsia="仿宋" w:hAnsi="仿宋"/>
          <w:bCs/>
          <w:sz w:val="28"/>
          <w:szCs w:val="28"/>
        </w:rPr>
        <w:t>主要知识产权目录</w:t>
      </w:r>
    </w:p>
    <w:p w14:paraId="6FF0E75D" w14:textId="77777777" w:rsidR="00D85A87" w:rsidRDefault="005016F3">
      <w:pPr>
        <w:numPr>
          <w:ilvl w:val="0"/>
          <w:numId w:val="3"/>
        </w:numPr>
        <w:spacing w:line="360" w:lineRule="auto"/>
        <w:rPr>
          <w:rFonts w:ascii="仿宋" w:eastAsia="仿宋" w:hAnsi="仿宋"/>
          <w:kern w:val="0"/>
        </w:rPr>
      </w:pPr>
      <w:r>
        <w:rPr>
          <w:rFonts w:ascii="仿宋" w:eastAsia="仿宋" w:hAnsi="仿宋" w:cs="Arial" w:hint="eastAsia"/>
          <w:kern w:val="0"/>
          <w:sz w:val="24"/>
        </w:rPr>
        <w:t>蔡圣，徐鸣成，余露山，曾苏</w:t>
      </w:r>
      <w:r>
        <w:rPr>
          <w:rFonts w:ascii="仿宋" w:eastAsia="仿宋" w:hAnsi="仿宋" w:cs="Arial"/>
          <w:kern w:val="0"/>
          <w:sz w:val="24"/>
        </w:rPr>
        <w:t xml:space="preserve">. </w:t>
      </w:r>
      <w:r>
        <w:rPr>
          <w:rFonts w:ascii="仿宋" w:eastAsia="仿宋" w:hAnsi="仿宋" w:cs="Arial" w:hint="eastAsia"/>
          <w:kern w:val="0"/>
          <w:sz w:val="24"/>
        </w:rPr>
        <w:t>一种单个位点</w:t>
      </w:r>
      <w:r>
        <w:rPr>
          <w:rFonts w:ascii="仿宋" w:eastAsia="仿宋" w:hAnsi="仿宋" w:cs="Arial"/>
          <w:kern w:val="0"/>
          <w:sz w:val="24"/>
        </w:rPr>
        <w:t>DNA</w:t>
      </w:r>
      <w:r>
        <w:rPr>
          <w:rFonts w:ascii="仿宋" w:eastAsia="仿宋" w:hAnsi="仿宋" w:cs="Arial" w:hint="eastAsia"/>
          <w:kern w:val="0"/>
          <w:sz w:val="24"/>
        </w:rPr>
        <w:t>甲基化检测试剂盒</w:t>
      </w:r>
      <w:r>
        <w:rPr>
          <w:rFonts w:ascii="仿宋" w:eastAsia="仿宋" w:hAnsi="仿宋" w:cs="Arial" w:hint="eastAsia"/>
          <w:kern w:val="0"/>
          <w:sz w:val="24"/>
        </w:rPr>
        <w:t>.</w:t>
      </w:r>
      <w:r>
        <w:rPr>
          <w:rFonts w:ascii="仿宋" w:eastAsia="仿宋" w:hAnsi="仿宋" w:cs="Arial"/>
          <w:kern w:val="0"/>
          <w:sz w:val="24"/>
        </w:rPr>
        <w:t xml:space="preserve"> </w:t>
      </w:r>
      <w:r>
        <w:rPr>
          <w:rFonts w:ascii="仿宋" w:eastAsia="仿宋" w:hAnsi="仿宋" w:cs="Arial" w:hint="eastAsia"/>
          <w:kern w:val="0"/>
          <w:sz w:val="24"/>
        </w:rPr>
        <w:t>发明专利</w:t>
      </w:r>
      <w:r>
        <w:rPr>
          <w:rFonts w:ascii="仿宋" w:eastAsia="仿宋" w:hAnsi="仿宋" w:cs="Arial"/>
          <w:kern w:val="0"/>
          <w:sz w:val="24"/>
        </w:rPr>
        <w:t>ZL201911240425.9</w:t>
      </w:r>
      <w:r>
        <w:rPr>
          <w:rFonts w:ascii="仿宋" w:eastAsia="仿宋" w:hAnsi="仿宋" w:cs="Arial" w:hint="eastAsia"/>
          <w:kern w:val="0"/>
          <w:sz w:val="24"/>
        </w:rPr>
        <w:t>，专利授权日</w:t>
      </w:r>
      <w:r>
        <w:rPr>
          <w:rFonts w:ascii="仿宋" w:eastAsia="仿宋" w:hAnsi="仿宋" w:cs="Arial" w:hint="eastAsia"/>
          <w:kern w:val="0"/>
          <w:sz w:val="24"/>
        </w:rPr>
        <w:t>2</w:t>
      </w:r>
      <w:r>
        <w:rPr>
          <w:rFonts w:ascii="仿宋" w:eastAsia="仿宋" w:hAnsi="仿宋" w:cs="Arial"/>
          <w:kern w:val="0"/>
          <w:sz w:val="24"/>
        </w:rPr>
        <w:t>021.8.3</w:t>
      </w:r>
    </w:p>
    <w:p w14:paraId="10B61B03" w14:textId="77777777" w:rsidR="00D85A87" w:rsidRDefault="005016F3">
      <w:pPr>
        <w:numPr>
          <w:ilvl w:val="0"/>
          <w:numId w:val="3"/>
        </w:numPr>
        <w:spacing w:line="360" w:lineRule="auto"/>
        <w:rPr>
          <w:rFonts w:ascii="仿宋" w:eastAsia="仿宋" w:hAnsi="仿宋" w:cs="Arial"/>
          <w:kern w:val="0"/>
          <w:sz w:val="24"/>
        </w:rPr>
      </w:pPr>
      <w:bookmarkStart w:id="2" w:name="_Hlk124000005"/>
      <w:r>
        <w:rPr>
          <w:rFonts w:ascii="仿宋" w:eastAsia="仿宋" w:hAnsi="仿宋" w:cs="Arial" w:hint="eastAsia"/>
          <w:kern w:val="0"/>
          <w:sz w:val="24"/>
        </w:rPr>
        <w:t>蔡圣，加德拉</w:t>
      </w:r>
      <w:r>
        <w:rPr>
          <w:rFonts w:ascii="微软雅黑" w:eastAsia="微软雅黑" w:hAnsi="微软雅黑" w:cs="微软雅黑" w:hint="eastAsia"/>
          <w:kern w:val="0"/>
          <w:sz w:val="24"/>
        </w:rPr>
        <w:t>∙</w:t>
      </w:r>
      <w:r>
        <w:rPr>
          <w:rFonts w:ascii="仿宋" w:eastAsia="仿宋" w:hAnsi="仿宋" w:cs="Arial" w:hint="eastAsia"/>
          <w:kern w:val="0"/>
          <w:sz w:val="24"/>
        </w:rPr>
        <w:t>塔拉甫，沈敏哲，余露山，曾苏</w:t>
      </w:r>
      <w:r>
        <w:rPr>
          <w:rFonts w:ascii="仿宋" w:eastAsia="仿宋" w:hAnsi="仿宋" w:cs="Arial"/>
          <w:kern w:val="0"/>
          <w:sz w:val="24"/>
        </w:rPr>
        <w:t xml:space="preserve">. </w:t>
      </w:r>
      <w:r>
        <w:rPr>
          <w:rFonts w:ascii="仿宋" w:eastAsia="仿宋" w:hAnsi="仿宋" w:cs="Arial" w:hint="eastAsia"/>
          <w:kern w:val="0"/>
          <w:sz w:val="24"/>
        </w:rPr>
        <w:t>基于硫代修饰环介导等温扩增法的</w:t>
      </w:r>
      <w:r>
        <w:rPr>
          <w:rFonts w:ascii="仿宋" w:eastAsia="仿宋" w:hAnsi="仿宋" w:cs="Arial" w:hint="eastAsia"/>
          <w:kern w:val="0"/>
          <w:sz w:val="24"/>
        </w:rPr>
        <w:t>miRNA</w:t>
      </w:r>
      <w:r>
        <w:rPr>
          <w:rFonts w:ascii="仿宋" w:eastAsia="仿宋" w:hAnsi="仿宋" w:cs="Arial" w:hint="eastAsia"/>
          <w:kern w:val="0"/>
          <w:sz w:val="24"/>
        </w:rPr>
        <w:t>检测试剂盒</w:t>
      </w:r>
      <w:r>
        <w:rPr>
          <w:rFonts w:ascii="仿宋" w:eastAsia="仿宋" w:hAnsi="仿宋" w:cs="Arial"/>
          <w:kern w:val="0"/>
          <w:sz w:val="24"/>
        </w:rPr>
        <w:t>.</w:t>
      </w:r>
      <w:r>
        <w:rPr>
          <w:rFonts w:ascii="仿宋" w:eastAsia="仿宋" w:hAnsi="仿宋" w:cs="Arial" w:hint="eastAsia"/>
          <w:kern w:val="0"/>
          <w:sz w:val="24"/>
        </w:rPr>
        <w:t>发明专利</w:t>
      </w:r>
      <w:r>
        <w:rPr>
          <w:rFonts w:ascii="仿宋" w:eastAsia="仿宋" w:hAnsi="仿宋" w:cs="Arial"/>
          <w:kern w:val="0"/>
          <w:sz w:val="24"/>
        </w:rPr>
        <w:t>ZL</w:t>
      </w:r>
      <w:r>
        <w:rPr>
          <w:rFonts w:ascii="仿宋" w:eastAsia="仿宋" w:hAnsi="仿宋" w:cs="Arial" w:hint="eastAsia"/>
          <w:kern w:val="0"/>
          <w:sz w:val="24"/>
        </w:rPr>
        <w:t>202011031962.5</w:t>
      </w:r>
      <w:r>
        <w:rPr>
          <w:rFonts w:ascii="仿宋" w:eastAsia="仿宋" w:hAnsi="仿宋" w:cs="Arial" w:hint="eastAsia"/>
          <w:kern w:val="0"/>
          <w:sz w:val="24"/>
        </w:rPr>
        <w:t>，专利授权日</w:t>
      </w:r>
      <w:r>
        <w:rPr>
          <w:rFonts w:ascii="仿宋" w:eastAsia="仿宋" w:hAnsi="仿宋" w:cs="Arial" w:hint="eastAsia"/>
          <w:kern w:val="0"/>
          <w:sz w:val="24"/>
        </w:rPr>
        <w:t>2</w:t>
      </w:r>
      <w:r>
        <w:rPr>
          <w:rFonts w:ascii="仿宋" w:eastAsia="仿宋" w:hAnsi="仿宋" w:cs="Arial"/>
          <w:kern w:val="0"/>
          <w:sz w:val="24"/>
        </w:rPr>
        <w:t>021.10.19</w:t>
      </w:r>
      <w:bookmarkEnd w:id="2"/>
    </w:p>
    <w:p w14:paraId="07E8CF9A" w14:textId="77777777" w:rsidR="00D85A87" w:rsidRDefault="005016F3">
      <w:pPr>
        <w:numPr>
          <w:ilvl w:val="0"/>
          <w:numId w:val="3"/>
        </w:numPr>
        <w:spacing w:line="360" w:lineRule="auto"/>
        <w:rPr>
          <w:rFonts w:ascii="仿宋" w:eastAsia="仿宋" w:hAnsi="仿宋" w:cs="Arial"/>
          <w:kern w:val="0"/>
          <w:sz w:val="24"/>
        </w:rPr>
      </w:pPr>
      <w:r>
        <w:rPr>
          <w:rFonts w:ascii="仿宋" w:eastAsia="仿宋" w:hAnsi="仿宋" w:cs="Arial" w:hint="eastAsia"/>
          <w:kern w:val="0"/>
          <w:sz w:val="24"/>
        </w:rPr>
        <w:t>曾苏，王泽阳，余露山</w:t>
      </w:r>
      <w:r>
        <w:rPr>
          <w:rFonts w:ascii="仿宋" w:eastAsia="仿宋" w:hAnsi="仿宋" w:cs="Arial" w:hint="eastAsia"/>
          <w:kern w:val="0"/>
          <w:sz w:val="24"/>
        </w:rPr>
        <w:t>.</w:t>
      </w:r>
      <w:r>
        <w:rPr>
          <w:rFonts w:ascii="仿宋" w:eastAsia="仿宋" w:hAnsi="仿宋" w:cs="Arial" w:hint="eastAsia"/>
          <w:kern w:val="0"/>
          <w:sz w:val="24"/>
        </w:rPr>
        <w:t>地西他滨纳米载体及在制备肿瘤荧光成像剂中的应用，发明专利</w:t>
      </w:r>
      <w:r>
        <w:rPr>
          <w:rFonts w:ascii="仿宋" w:eastAsia="仿宋" w:hAnsi="仿宋" w:cs="Arial"/>
          <w:kern w:val="0"/>
          <w:sz w:val="24"/>
        </w:rPr>
        <w:t>ZL</w:t>
      </w:r>
      <w:r>
        <w:rPr>
          <w:rFonts w:ascii="仿宋" w:eastAsia="仿宋" w:hAnsi="仿宋" w:cs="Arial" w:hint="eastAsia"/>
          <w:kern w:val="0"/>
          <w:sz w:val="24"/>
        </w:rPr>
        <w:t>2</w:t>
      </w:r>
      <w:r>
        <w:rPr>
          <w:rFonts w:ascii="仿宋" w:eastAsia="仿宋" w:hAnsi="仿宋" w:cs="Arial"/>
          <w:kern w:val="0"/>
          <w:sz w:val="24"/>
        </w:rPr>
        <w:t>02010182236.7</w:t>
      </w:r>
      <w:r>
        <w:rPr>
          <w:rFonts w:ascii="仿宋" w:eastAsia="仿宋" w:hAnsi="仿宋" w:cs="Arial" w:hint="eastAsia"/>
          <w:kern w:val="0"/>
          <w:sz w:val="24"/>
        </w:rPr>
        <w:t>，专利授权日</w:t>
      </w:r>
      <w:r>
        <w:rPr>
          <w:rFonts w:ascii="仿宋" w:eastAsia="仿宋" w:hAnsi="仿宋" w:cs="Arial" w:hint="eastAsia"/>
          <w:kern w:val="0"/>
          <w:sz w:val="24"/>
        </w:rPr>
        <w:t>2</w:t>
      </w:r>
      <w:r>
        <w:rPr>
          <w:rFonts w:ascii="仿宋" w:eastAsia="仿宋" w:hAnsi="仿宋" w:cs="Arial"/>
          <w:kern w:val="0"/>
          <w:sz w:val="24"/>
        </w:rPr>
        <w:t>020.12.8</w:t>
      </w:r>
    </w:p>
    <w:p w14:paraId="09710151" w14:textId="77777777" w:rsidR="00D85A87" w:rsidRDefault="005016F3">
      <w:pPr>
        <w:numPr>
          <w:ilvl w:val="0"/>
          <w:numId w:val="3"/>
        </w:numPr>
        <w:spacing w:line="360" w:lineRule="auto"/>
        <w:rPr>
          <w:rFonts w:ascii="仿宋" w:eastAsia="仿宋" w:hAnsi="仿宋" w:cs="Arial"/>
          <w:sz w:val="24"/>
        </w:rPr>
      </w:pPr>
      <w:r>
        <w:rPr>
          <w:rFonts w:ascii="仿宋" w:eastAsia="仿宋" w:hAnsi="仿宋" w:cs="Arial"/>
          <w:sz w:val="24"/>
        </w:rPr>
        <w:t>曾苏</w:t>
      </w:r>
      <w:r>
        <w:rPr>
          <w:rFonts w:ascii="仿宋" w:eastAsia="仿宋" w:hAnsi="仿宋" w:cs="Arial" w:hint="eastAsia"/>
          <w:sz w:val="24"/>
        </w:rPr>
        <w:t>，</w:t>
      </w:r>
      <w:r>
        <w:rPr>
          <w:rFonts w:ascii="仿宋" w:eastAsia="仿宋" w:hAnsi="仿宋" w:cs="Arial"/>
          <w:sz w:val="24"/>
        </w:rPr>
        <w:t>刘彦卿</w:t>
      </w:r>
      <w:r>
        <w:rPr>
          <w:rFonts w:ascii="仿宋" w:eastAsia="仿宋" w:hAnsi="仿宋" w:cs="Arial" w:hint="eastAsia"/>
          <w:sz w:val="24"/>
        </w:rPr>
        <w:t>，</w:t>
      </w:r>
      <w:r>
        <w:rPr>
          <w:rFonts w:ascii="仿宋" w:eastAsia="仿宋" w:hAnsi="仿宋" w:cs="Arial"/>
          <w:sz w:val="24"/>
        </w:rPr>
        <w:t>郑小丽</w:t>
      </w:r>
      <w:r>
        <w:rPr>
          <w:rFonts w:ascii="仿宋" w:eastAsia="仿宋" w:hAnsi="仿宋" w:cs="Arial" w:hint="eastAsia"/>
          <w:sz w:val="24"/>
        </w:rPr>
        <w:t>，</w:t>
      </w:r>
      <w:r>
        <w:rPr>
          <w:rFonts w:ascii="仿宋" w:eastAsia="仿宋" w:hAnsi="仿宋" w:cs="Arial"/>
          <w:sz w:val="24"/>
        </w:rPr>
        <w:t>于琴琴</w:t>
      </w:r>
      <w:r>
        <w:rPr>
          <w:rFonts w:ascii="仿宋" w:eastAsia="仿宋" w:hAnsi="仿宋" w:cs="Arial" w:hint="eastAsia"/>
          <w:sz w:val="24"/>
        </w:rPr>
        <w:t>，</w:t>
      </w:r>
      <w:r>
        <w:rPr>
          <w:rFonts w:ascii="仿宋" w:eastAsia="仿宋" w:hAnsi="仿宋" w:cs="Arial"/>
          <w:sz w:val="24"/>
        </w:rPr>
        <w:t>王华</w:t>
      </w:r>
      <w:r>
        <w:rPr>
          <w:rFonts w:ascii="仿宋" w:eastAsia="仿宋" w:hAnsi="仿宋" w:cs="Arial" w:hint="eastAsia"/>
          <w:sz w:val="24"/>
        </w:rPr>
        <w:t>，</w:t>
      </w:r>
      <w:r>
        <w:rPr>
          <w:rFonts w:ascii="仿宋" w:eastAsia="仿宋" w:hAnsi="仿宋" w:cs="Arial"/>
          <w:sz w:val="24"/>
        </w:rPr>
        <w:t>谭付清</w:t>
      </w:r>
      <w:r>
        <w:rPr>
          <w:rFonts w:ascii="仿宋" w:eastAsia="仿宋" w:hAnsi="仿宋" w:cs="Arial" w:hint="eastAsia"/>
          <w:sz w:val="24"/>
        </w:rPr>
        <w:t>，</w:t>
      </w:r>
      <w:r>
        <w:rPr>
          <w:rFonts w:ascii="仿宋" w:eastAsia="仿宋" w:hAnsi="仿宋" w:cs="Arial"/>
          <w:sz w:val="24"/>
        </w:rPr>
        <w:t>蒋惠娣</w:t>
      </w:r>
      <w:r>
        <w:rPr>
          <w:rFonts w:ascii="仿宋" w:eastAsia="仿宋" w:hAnsi="仿宋" w:cs="Arial" w:hint="eastAsia"/>
          <w:sz w:val="24"/>
        </w:rPr>
        <w:t>，</w:t>
      </w:r>
      <w:r>
        <w:rPr>
          <w:rFonts w:ascii="仿宋" w:eastAsia="仿宋" w:hAnsi="仿宋" w:cs="Arial"/>
          <w:sz w:val="24"/>
        </w:rPr>
        <w:t>余露山</w:t>
      </w:r>
      <w:r>
        <w:rPr>
          <w:rFonts w:ascii="仿宋" w:eastAsia="仿宋" w:hAnsi="仿宋" w:cs="Arial"/>
          <w:sz w:val="24"/>
        </w:rPr>
        <w:t>.</w:t>
      </w:r>
      <w:r>
        <w:rPr>
          <w:rFonts w:ascii="仿宋" w:eastAsia="仿宋" w:hAnsi="仿宋" w:cs="Arial"/>
          <w:sz w:val="24"/>
        </w:rPr>
        <w:t>地西他滨和奥沙利铂在制备治疗肾细胞癌组合药物中应用，发明专利，</w:t>
      </w:r>
      <w:r>
        <w:rPr>
          <w:rFonts w:ascii="仿宋" w:eastAsia="仿宋" w:hAnsi="仿宋" w:cs="Arial"/>
          <w:sz w:val="24"/>
        </w:rPr>
        <w:t>ZL201410417386.6</w:t>
      </w:r>
      <w:r>
        <w:rPr>
          <w:rFonts w:ascii="仿宋" w:eastAsia="仿宋" w:hAnsi="仿宋" w:cs="Arial" w:hint="eastAsia"/>
          <w:sz w:val="24"/>
        </w:rPr>
        <w:t>，专利授权日</w:t>
      </w:r>
      <w:r>
        <w:rPr>
          <w:rFonts w:ascii="仿宋" w:eastAsia="仿宋" w:hAnsi="仿宋" w:cs="Arial"/>
          <w:sz w:val="24"/>
        </w:rPr>
        <w:t>2017</w:t>
      </w:r>
      <w:r>
        <w:rPr>
          <w:rFonts w:ascii="仿宋" w:eastAsia="仿宋" w:hAnsi="仿宋" w:cs="Arial" w:hint="eastAsia"/>
          <w:sz w:val="24"/>
        </w:rPr>
        <w:t>.</w:t>
      </w:r>
      <w:r>
        <w:rPr>
          <w:rFonts w:ascii="仿宋" w:eastAsia="仿宋" w:hAnsi="仿宋" w:cs="Arial"/>
          <w:sz w:val="24"/>
        </w:rPr>
        <w:t>4.5</w:t>
      </w:r>
    </w:p>
    <w:p w14:paraId="4F4C4702" w14:textId="77777777" w:rsidR="00D85A87" w:rsidRDefault="005016F3">
      <w:pPr>
        <w:numPr>
          <w:ilvl w:val="0"/>
          <w:numId w:val="3"/>
        </w:numPr>
        <w:spacing w:line="360" w:lineRule="auto"/>
        <w:rPr>
          <w:rFonts w:ascii="仿宋" w:eastAsia="仿宋" w:hAnsi="仿宋" w:cs="Arial"/>
          <w:sz w:val="24"/>
        </w:rPr>
      </w:pPr>
      <w:r>
        <w:rPr>
          <w:rFonts w:ascii="仿宋" w:eastAsia="仿宋" w:hAnsi="仿宋" w:cs="Arial"/>
          <w:sz w:val="24"/>
        </w:rPr>
        <w:t>曾苏，赵垒，胡海红，余露山，蒋惠娣，周惠，徐思云</w:t>
      </w:r>
      <w:r>
        <w:rPr>
          <w:rFonts w:ascii="仿宋" w:eastAsia="仿宋" w:hAnsi="仿宋" w:cs="Arial"/>
          <w:sz w:val="24"/>
        </w:rPr>
        <w:t>.</w:t>
      </w:r>
      <w:r>
        <w:rPr>
          <w:rFonts w:ascii="仿宋" w:eastAsia="仿宋" w:hAnsi="仿宋" w:cs="Arial"/>
          <w:sz w:val="24"/>
        </w:rPr>
        <w:t>共表达摄取转运体和药物代谢酶模型的构建及应用，</w:t>
      </w:r>
      <w:r>
        <w:rPr>
          <w:rFonts w:ascii="仿宋" w:eastAsia="仿宋" w:hAnsi="仿宋" w:cs="Arial" w:hint="eastAsia"/>
          <w:sz w:val="24"/>
        </w:rPr>
        <w:t>发明专利，</w:t>
      </w:r>
      <w:r>
        <w:rPr>
          <w:rFonts w:ascii="Calibri" w:eastAsia="仿宋" w:hAnsi="Calibri" w:cs="Calibri"/>
          <w:sz w:val="24"/>
        </w:rPr>
        <w:t> </w:t>
      </w:r>
      <w:r>
        <w:rPr>
          <w:rFonts w:ascii="仿宋" w:eastAsia="仿宋" w:hAnsi="仿宋" w:cs="Arial"/>
          <w:sz w:val="24"/>
        </w:rPr>
        <w:t>ZL2014100662</w:t>
      </w:r>
      <w:r>
        <w:rPr>
          <w:rFonts w:ascii="仿宋" w:eastAsia="仿宋" w:hAnsi="仿宋" w:cs="Arial" w:hint="eastAsia"/>
          <w:sz w:val="24"/>
        </w:rPr>
        <w:t>6</w:t>
      </w:r>
      <w:r>
        <w:rPr>
          <w:rFonts w:ascii="仿宋" w:eastAsia="仿宋" w:hAnsi="仿宋" w:cs="Arial"/>
          <w:sz w:val="24"/>
        </w:rPr>
        <w:t>6.6</w:t>
      </w:r>
      <w:r>
        <w:rPr>
          <w:rFonts w:ascii="仿宋" w:eastAsia="仿宋" w:hAnsi="仿宋" w:cs="Arial" w:hint="eastAsia"/>
          <w:sz w:val="24"/>
        </w:rPr>
        <w:t>，专利授权日</w:t>
      </w:r>
      <w:r>
        <w:rPr>
          <w:rFonts w:ascii="仿宋" w:eastAsia="仿宋" w:hAnsi="仿宋" w:cs="Arial"/>
          <w:sz w:val="24"/>
        </w:rPr>
        <w:t>201</w:t>
      </w:r>
      <w:r>
        <w:rPr>
          <w:rFonts w:ascii="仿宋" w:eastAsia="仿宋" w:hAnsi="仿宋" w:cs="Arial" w:hint="eastAsia"/>
          <w:sz w:val="24"/>
        </w:rPr>
        <w:t>6</w:t>
      </w:r>
      <w:r>
        <w:rPr>
          <w:rFonts w:ascii="仿宋" w:eastAsia="仿宋" w:hAnsi="仿宋" w:cs="Arial" w:hint="eastAsia"/>
          <w:sz w:val="24"/>
        </w:rPr>
        <w:t>.</w:t>
      </w:r>
      <w:r>
        <w:rPr>
          <w:rFonts w:ascii="仿宋" w:eastAsia="仿宋" w:hAnsi="仿宋" w:cs="Arial" w:hint="eastAsia"/>
          <w:sz w:val="24"/>
        </w:rPr>
        <w:t>12</w:t>
      </w:r>
      <w:r>
        <w:rPr>
          <w:rFonts w:ascii="仿宋" w:eastAsia="仿宋" w:hAnsi="仿宋" w:cs="Arial"/>
          <w:sz w:val="24"/>
        </w:rPr>
        <w:t>.</w:t>
      </w:r>
      <w:r>
        <w:rPr>
          <w:rFonts w:ascii="仿宋" w:eastAsia="仿宋" w:hAnsi="仿宋" w:cs="Arial" w:hint="eastAsia"/>
          <w:sz w:val="24"/>
        </w:rPr>
        <w:t>7</w:t>
      </w:r>
    </w:p>
    <w:sectPr w:rsidR="00D85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2D4"/>
    <w:multiLevelType w:val="multilevel"/>
    <w:tmpl w:val="130022D4"/>
    <w:lvl w:ilvl="0">
      <w:start w:val="1"/>
      <w:numFmt w:val="japaneseCounting"/>
      <w:lvlText w:val="%1、"/>
      <w:lvlJc w:val="left"/>
      <w:pPr>
        <w:ind w:left="720" w:hanging="720"/>
      </w:pPr>
      <w:rPr>
        <w:rFonts w:hint="default"/>
        <w:sz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CC94D99"/>
    <w:multiLevelType w:val="multilevel"/>
    <w:tmpl w:val="5CC94D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D564154"/>
    <w:multiLevelType w:val="multilevel"/>
    <w:tmpl w:val="6D56415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yYzExMDc5YmZkNDU2MzhjZmQ5MWVkMzExZDU1NjMifQ=="/>
  </w:docVars>
  <w:rsids>
    <w:rsidRoot w:val="007A378A"/>
    <w:rsid w:val="000071A2"/>
    <w:rsid w:val="00102082"/>
    <w:rsid w:val="00133845"/>
    <w:rsid w:val="002E4D5E"/>
    <w:rsid w:val="00393871"/>
    <w:rsid w:val="003E4F3F"/>
    <w:rsid w:val="004A20F9"/>
    <w:rsid w:val="004D3794"/>
    <w:rsid w:val="005016F3"/>
    <w:rsid w:val="005956FF"/>
    <w:rsid w:val="005F23F6"/>
    <w:rsid w:val="00653BB3"/>
    <w:rsid w:val="007271B8"/>
    <w:rsid w:val="007328D2"/>
    <w:rsid w:val="007A378A"/>
    <w:rsid w:val="00821DF8"/>
    <w:rsid w:val="0083662C"/>
    <w:rsid w:val="008B76F6"/>
    <w:rsid w:val="00973ED9"/>
    <w:rsid w:val="00A2366E"/>
    <w:rsid w:val="00A942A2"/>
    <w:rsid w:val="00AA1515"/>
    <w:rsid w:val="00AB68BA"/>
    <w:rsid w:val="00AD3A58"/>
    <w:rsid w:val="00B272D7"/>
    <w:rsid w:val="00BF4179"/>
    <w:rsid w:val="00C03F73"/>
    <w:rsid w:val="00C20CF9"/>
    <w:rsid w:val="00CC64D3"/>
    <w:rsid w:val="00D85A87"/>
    <w:rsid w:val="00D94171"/>
    <w:rsid w:val="00DB702F"/>
    <w:rsid w:val="00E1113A"/>
    <w:rsid w:val="00E471AE"/>
    <w:rsid w:val="00E8013B"/>
    <w:rsid w:val="00F25151"/>
    <w:rsid w:val="00FC03F4"/>
    <w:rsid w:val="0A1374D8"/>
    <w:rsid w:val="0DA41AC3"/>
    <w:rsid w:val="137361BF"/>
    <w:rsid w:val="159D7523"/>
    <w:rsid w:val="1A3F6DFB"/>
    <w:rsid w:val="234C2DE9"/>
    <w:rsid w:val="2ED27DE6"/>
    <w:rsid w:val="2EF51D26"/>
    <w:rsid w:val="344828F8"/>
    <w:rsid w:val="41452699"/>
    <w:rsid w:val="50DF047C"/>
    <w:rsid w:val="5402441A"/>
    <w:rsid w:val="56981066"/>
    <w:rsid w:val="57237983"/>
    <w:rsid w:val="59F16476"/>
    <w:rsid w:val="5E0963CE"/>
    <w:rsid w:val="5E79352B"/>
    <w:rsid w:val="70820965"/>
    <w:rsid w:val="73102258"/>
    <w:rsid w:val="74C362B4"/>
    <w:rsid w:val="76C5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961DB52E-D74A-6A4C-AE26-9BB30E67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styleId="a9">
    <w:name w:val="Strong"/>
    <w:uiPriority w:val="22"/>
    <w:qFormat/>
    <w:rPr>
      <w:b/>
      <w:bCs/>
    </w:rPr>
  </w:style>
  <w:style w:type="character" w:styleId="aa">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paragraph" w:customStyle="1" w:styleId="Style15">
    <w:name w:val="_Style 15"/>
    <w:basedOn w:val="a"/>
    <w:next w:val="ab"/>
    <w:uiPriority w:val="99"/>
    <w:qFormat/>
    <w:pPr>
      <w:ind w:firstLineChars="200" w:firstLine="420"/>
    </w:pPr>
    <w:rPr>
      <w:rFonts w:ascii="Calibri" w:hAnsi="Calibri"/>
      <w:szCs w:val="22"/>
    </w:rPr>
  </w:style>
  <w:style w:type="paragraph" w:customStyle="1" w:styleId="Style16">
    <w:name w:val="_Style 16"/>
    <w:basedOn w:val="a"/>
    <w:next w:val="ab"/>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Microsoft Office User</cp:lastModifiedBy>
  <cp:revision>2</cp:revision>
  <dcterms:created xsi:type="dcterms:W3CDTF">2024-08-15T09:12:00Z</dcterms:created>
  <dcterms:modified xsi:type="dcterms:W3CDTF">2024-08-15T09:12:00Z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8443770FF6CD4202B162490886FD7EEC_13</vt:lpwstr>
  </property>
</Properties>
</file>