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13875">
      <w:pPr>
        <w:jc w:val="center"/>
        <w:rPr>
          <w:rFonts w:hint="eastAsia"/>
          <w:sz w:val="28"/>
          <w:szCs w:val="36"/>
        </w:rPr>
      </w:pPr>
      <w:r>
        <w:rPr>
          <w:rFonts w:hint="eastAsia"/>
          <w:sz w:val="28"/>
          <w:szCs w:val="36"/>
        </w:rPr>
        <w:t>2026年度拟推荐申报华夏医学科技奖项目</w:t>
      </w:r>
    </w:p>
    <w:p w14:paraId="686F8A8E">
      <w:pPr>
        <w:jc w:val="center"/>
        <w:rPr>
          <w:rFonts w:hint="eastAsia"/>
          <w:b/>
          <w:bCs/>
          <w:sz w:val="32"/>
          <w:szCs w:val="40"/>
        </w:rPr>
      </w:pPr>
      <w:r>
        <w:rPr>
          <w:rFonts w:hint="eastAsia"/>
          <w:b/>
          <w:bCs/>
          <w:sz w:val="32"/>
          <w:szCs w:val="40"/>
        </w:rPr>
        <w:t>公示内容</w:t>
      </w:r>
    </w:p>
    <w:p w14:paraId="69805B15">
      <w:pPr>
        <w:rPr>
          <w:rFonts w:hint="eastAsia"/>
        </w:rPr>
      </w:pPr>
    </w:p>
    <w:p w14:paraId="49E60539">
      <w:pPr>
        <w:keepNext w:val="0"/>
        <w:keepLines w:val="0"/>
        <w:widowControl/>
        <w:suppressLineNumbers w:val="0"/>
        <w:jc w:val="left"/>
        <w:rPr>
          <w:rFonts w:hint="eastAsia" w:ascii="仿宋" w:hAnsi="仿宋" w:eastAsia="仿宋"/>
          <w:b/>
          <w:bCs/>
          <w:color w:val="000000"/>
          <w:kern w:val="0"/>
          <w:sz w:val="28"/>
          <w:szCs w:val="28"/>
          <w:lang w:val="en-US" w:eastAsia="zh-CN"/>
        </w:rPr>
      </w:pPr>
      <w:r>
        <w:rPr>
          <w:rFonts w:hint="eastAsia" w:ascii="仿宋" w:hAnsi="仿宋" w:eastAsia="仿宋"/>
          <w:b/>
          <w:bCs/>
          <w:color w:val="000000"/>
          <w:kern w:val="0"/>
          <w:sz w:val="28"/>
          <w:szCs w:val="28"/>
        </w:rPr>
        <w:t>项目名称：</w:t>
      </w:r>
      <w:r>
        <w:rPr>
          <w:rFonts w:hint="eastAsia" w:ascii="仿宋" w:hAnsi="仿宋" w:eastAsia="仿宋"/>
          <w:b/>
          <w:bCs/>
          <w:color w:val="000000"/>
          <w:kern w:val="0"/>
          <w:sz w:val="28"/>
          <w:szCs w:val="28"/>
          <w:lang w:val="en-US" w:eastAsia="zh-CN"/>
        </w:rPr>
        <w:t>肺癌转化巩固治疗多维度临床研究及示范应用</w:t>
      </w:r>
    </w:p>
    <w:p w14:paraId="50D1AC07">
      <w:pPr>
        <w:rPr>
          <w:rFonts w:hint="eastAsia" w:ascii="仿宋" w:hAnsi="仿宋" w:eastAsia="仿宋"/>
          <w:b/>
          <w:bCs/>
          <w:color w:val="000000"/>
          <w:kern w:val="0"/>
          <w:sz w:val="28"/>
          <w:szCs w:val="28"/>
        </w:rPr>
      </w:pPr>
    </w:p>
    <w:p w14:paraId="0AAD18CD">
      <w:pPr>
        <w:rPr>
          <w:rFonts w:hint="eastAsia" w:ascii="仿宋" w:hAnsi="仿宋" w:eastAsia="仿宋"/>
          <w:color w:val="000000"/>
          <w:kern w:val="0"/>
          <w:sz w:val="28"/>
          <w:szCs w:val="28"/>
        </w:rPr>
      </w:pPr>
      <w:r>
        <w:rPr>
          <w:rFonts w:hint="eastAsia" w:ascii="仿宋" w:hAnsi="仿宋" w:eastAsia="仿宋"/>
          <w:b/>
          <w:bCs/>
          <w:color w:val="000000"/>
          <w:kern w:val="0"/>
          <w:sz w:val="28"/>
          <w:szCs w:val="28"/>
        </w:rPr>
        <w:t>申报奖种：</w:t>
      </w:r>
      <w:r>
        <w:rPr>
          <w:rFonts w:hint="eastAsia" w:ascii="仿宋" w:hAnsi="仿宋" w:eastAsia="仿宋"/>
          <w:color w:val="000000"/>
          <w:kern w:val="0"/>
          <w:sz w:val="28"/>
          <w:szCs w:val="28"/>
        </w:rPr>
        <w:t>科学技术进步奖</w:t>
      </w:r>
    </w:p>
    <w:p w14:paraId="20C08B20">
      <w:pPr>
        <w:rPr>
          <w:rFonts w:hint="eastAsia" w:ascii="仿宋" w:hAnsi="仿宋" w:eastAsia="仿宋"/>
          <w:color w:val="000000"/>
          <w:kern w:val="0"/>
          <w:sz w:val="28"/>
          <w:szCs w:val="28"/>
        </w:rPr>
      </w:pPr>
      <w:r>
        <w:rPr>
          <w:rFonts w:hint="eastAsia" w:ascii="仿宋" w:hAnsi="仿宋" w:eastAsia="仿宋"/>
          <w:b/>
          <w:bCs/>
          <w:color w:val="000000"/>
          <w:kern w:val="0"/>
          <w:sz w:val="28"/>
          <w:szCs w:val="28"/>
        </w:rPr>
        <w:t>完成单位（含排序）：</w:t>
      </w:r>
      <w:r>
        <w:rPr>
          <w:rFonts w:hint="eastAsia" w:ascii="仿宋" w:hAnsi="仿宋" w:eastAsia="仿宋"/>
          <w:color w:val="000000"/>
          <w:kern w:val="0"/>
          <w:sz w:val="28"/>
          <w:szCs w:val="28"/>
        </w:rPr>
        <w:t>浙江大学医学院附属第一医院、中日友好医院</w:t>
      </w:r>
    </w:p>
    <w:p w14:paraId="791C7E08">
      <w:pPr>
        <w:rPr>
          <w:rFonts w:hint="eastAsia" w:ascii="仿宋" w:hAnsi="仿宋" w:eastAsia="仿宋"/>
          <w:color w:val="000000"/>
          <w:kern w:val="0"/>
          <w:sz w:val="28"/>
          <w:szCs w:val="28"/>
        </w:rPr>
      </w:pPr>
      <w:r>
        <w:rPr>
          <w:rFonts w:hint="eastAsia" w:ascii="仿宋" w:hAnsi="仿宋" w:eastAsia="仿宋"/>
          <w:b/>
          <w:bCs/>
          <w:color w:val="000000"/>
          <w:kern w:val="0"/>
          <w:sz w:val="28"/>
          <w:szCs w:val="28"/>
        </w:rPr>
        <w:t>完成人（含排序）：</w:t>
      </w:r>
      <w:r>
        <w:rPr>
          <w:rFonts w:hint="eastAsia" w:ascii="仿宋" w:hAnsi="仿宋" w:eastAsia="仿宋"/>
          <w:color w:val="000000"/>
          <w:kern w:val="0"/>
          <w:sz w:val="28"/>
          <w:szCs w:val="28"/>
        </w:rPr>
        <w:t>胡坚、梁朝阳、程钧、刘德若、汪路明、张瑾、周振宇、李迪、徐金明、马煜成</w:t>
      </w:r>
    </w:p>
    <w:p w14:paraId="417828A2">
      <w:pPr>
        <w:rPr>
          <w:rFonts w:hint="eastAsia"/>
        </w:rPr>
      </w:pPr>
    </w:p>
    <w:p w14:paraId="3E8B9BE6">
      <w:pPr>
        <w:rPr>
          <w:rFonts w:hint="eastAsia"/>
        </w:rPr>
      </w:pPr>
    </w:p>
    <w:p w14:paraId="03F62AC6">
      <w:pPr>
        <w:adjustRightInd w:val="0"/>
        <w:snapToGrid w:val="0"/>
        <w:spacing w:line="500" w:lineRule="exact"/>
        <w:jc w:val="left"/>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项目简介</w:t>
      </w:r>
    </w:p>
    <w:p w14:paraId="1AA82478">
      <w:pPr>
        <w:spacing w:before="57" w:line="312" w:lineRule="auto"/>
        <w:ind w:firstLine="420" w:firstLineChars="0"/>
        <w:rPr>
          <w:rFonts w:hint="eastAsia" w:ascii="宋体" w:hAnsi="宋体" w:eastAsia="宋体" w:cs="宋体"/>
          <w:color w:val="000000"/>
          <w:kern w:val="0"/>
          <w:sz w:val="24"/>
        </w:rPr>
      </w:pPr>
      <w:r>
        <w:rPr>
          <w:rFonts w:hint="eastAsia" w:ascii="宋体" w:hAnsi="宋体" w:eastAsia="宋体" w:cs="宋体"/>
          <w:color w:val="000000"/>
          <w:kern w:val="0"/>
          <w:sz w:val="24"/>
        </w:rPr>
        <w:t>肺癌是我国发病率及死亡率最高的</w:t>
      </w:r>
      <w:bookmarkStart w:id="0" w:name="_GoBack"/>
      <w:bookmarkEnd w:id="0"/>
      <w:r>
        <w:rPr>
          <w:rFonts w:hint="eastAsia" w:ascii="宋体" w:hAnsi="宋体" w:eastAsia="宋体" w:cs="宋体"/>
          <w:color w:val="000000"/>
          <w:kern w:val="0"/>
          <w:sz w:val="24"/>
        </w:rPr>
        <w:t>恶性肿瘤，严重威胁人民生命健康。随着低剂量螺旋CT的普及，肺结节检出率大幅上升，如何在浩如烟海的影像数据中精准识别早期肺癌、如何为局部晚期患者创造手术机会、如何延长晚期患者生存期，成为临床亟待破解的三大难题。针对上述挑战，项目组在国家重点研发计划、国家自然科学基金及省重大科技专项等10余项课题资助下，历经十余年协同攻关，构建了覆盖肺癌“早期精准诊断—局晚期转化治疗—晚期巩固治疗”全周期的“智疗”新体系，取得了以下显著创新成果：</w:t>
      </w:r>
    </w:p>
    <w:p w14:paraId="31A82A9D">
      <w:pPr>
        <w:spacing w:before="57" w:line="312" w:lineRule="auto"/>
        <w:ind w:firstLine="420" w:firstLineChars="0"/>
        <w:rPr>
          <w:rFonts w:hint="eastAsia" w:ascii="宋体" w:hAnsi="宋体" w:eastAsia="宋体" w:cs="宋体"/>
          <w:color w:val="000000"/>
          <w:kern w:val="0"/>
          <w:sz w:val="24"/>
        </w:rPr>
      </w:pPr>
      <w:r>
        <w:rPr>
          <w:rFonts w:hint="eastAsia" w:ascii="宋体" w:hAnsi="宋体" w:eastAsia="宋体" w:cs="宋体"/>
          <w:b/>
          <w:bCs/>
          <w:color w:val="000000"/>
          <w:kern w:val="0"/>
          <w:sz w:val="24"/>
        </w:rPr>
        <w:t>一、AI与多维数据驱动临床转化，构建从精准诊断到预后预测的智慧化决策体系。</w:t>
      </w:r>
      <w:r>
        <w:rPr>
          <w:rFonts w:hint="eastAsia" w:ascii="宋体" w:hAnsi="宋体" w:eastAsia="宋体" w:cs="宋体"/>
          <w:color w:val="000000"/>
          <w:kern w:val="0"/>
          <w:sz w:val="24"/>
        </w:rPr>
        <w:t>项目组创新性地将人工智能技术与多维临床数据深度融合，开发了基于深度学习的肺结节AI诊断系统。首创3D体积比算法用于定量评估肺亚实性结节中实性成分占比，对肺腺癌病理浸润性的预测AUC达0.862，诊断效能和一致性显著优于人工判读。构建融合影像组学与深度学习的联合预测模型，用于术前精准预测IA期肺腺癌高危亚型（微乳头、实体型），AUC达0.832，为术前识别高危患者、指导个体化手术决策提供了智能化新工具。牵头制定《人工智能平台下肺结节的三维可视化定位与手术规划专家共识》、《直径≤2 cm肺结节胸外科合理诊疗中国专家共识（2024）》等多项行业规范，确立了AI在肺结节诊疗中的核心地位。深入揭示DSCC1、PFKP、ITGA6、FBP1等肺癌发生发展的关键分子机制，系列研究成果发表于Cell Mol Life Sci、J Proteome Res等期刊，为肺癌精准治疗提供了极具潜力的新靶点。</w:t>
      </w:r>
    </w:p>
    <w:p w14:paraId="03EBF035">
      <w:pPr>
        <w:spacing w:before="57" w:line="312" w:lineRule="auto"/>
        <w:ind w:firstLine="420" w:firstLineChars="0"/>
        <w:rPr>
          <w:rFonts w:hint="eastAsia" w:ascii="宋体" w:hAnsi="宋体" w:eastAsia="宋体" w:cs="宋体"/>
          <w:color w:val="000000"/>
          <w:kern w:val="0"/>
          <w:sz w:val="24"/>
        </w:rPr>
      </w:pPr>
      <w:r>
        <w:rPr>
          <w:rFonts w:hint="eastAsia" w:ascii="宋体" w:hAnsi="宋体" w:eastAsia="宋体" w:cs="宋体"/>
          <w:b/>
          <w:bCs/>
          <w:color w:val="000000"/>
          <w:kern w:val="0"/>
          <w:sz w:val="24"/>
        </w:rPr>
        <w:t>二、医工结合协同创新与示范应用，引领国产高端医疗器械的研发与标准化体系建设。</w:t>
      </w:r>
      <w:r>
        <w:rPr>
          <w:rFonts w:hint="eastAsia" w:ascii="宋体" w:hAnsi="宋体" w:eastAsia="宋体" w:cs="宋体"/>
          <w:color w:val="000000"/>
          <w:kern w:val="0"/>
          <w:sz w:val="24"/>
        </w:rPr>
        <w:t>项目组在国家重点研发计划资助下，牵头构建了国内首个完整的国产医用内窥镜临床效果评价体系，联合全国20余家三甲医院和30余家基层医院开展大规模真实世界研究，累计完成病例逾5000例。作为主委单位，牵头发表《医用内窥镜临床评价体系专家共识》、《4K荧光高端国产医用内窥镜全国胸外科临床应用评价专家共识（2023）》等行业共识，参与制定《医用内窥镜 内窥镜功能供给装置 摄像系统》等行业标准，出版专著《国产医用内窥镜研发与应用》。联合浙江大学优势学科，成功研发面向肺部微小结节的支气管介入机器人系统（发表于Nat Commun、Sci Robot）、可塑性蛇形腔镜手术辅助臂（发表于Int J Med Robot）等智能手术装备。在国内率先提出并实践肺癌微创“4S”标准化模式，由同一手术团队、仅通过一次麻醉即可实现肺部病灶“诊断-定位-手术”一体化诊疗，累计完成电磁导航支气管镜操作逾500例，位居国内首位，被授牌为国家卫健委“基于电磁导航系统的早期肺癌精准诊疗技术”首批试点推广牵头机构。</w:t>
      </w:r>
    </w:p>
    <w:p w14:paraId="7629A3CF">
      <w:pPr>
        <w:spacing w:before="57" w:line="312" w:lineRule="auto"/>
        <w:ind w:firstLine="420" w:firstLineChars="0"/>
        <w:rPr>
          <w:rFonts w:hint="default" w:ascii="宋体" w:hAnsi="宋体" w:eastAsia="宋体" w:cs="宋体"/>
          <w:color w:val="000000"/>
          <w:kern w:val="0"/>
          <w:sz w:val="24"/>
        </w:rPr>
      </w:pPr>
      <w:r>
        <w:rPr>
          <w:rFonts w:hint="eastAsia" w:ascii="宋体" w:hAnsi="宋体" w:eastAsia="宋体" w:cs="宋体"/>
          <w:b/>
          <w:bCs/>
          <w:color w:val="000000"/>
          <w:kern w:val="0"/>
          <w:sz w:val="24"/>
        </w:rPr>
        <w:t>三、创新“转化-巩固”治疗新策略，重塑局晚期/晚期肺癌诊疗新格局。</w:t>
      </w:r>
      <w:r>
        <w:rPr>
          <w:rFonts w:hint="default" w:ascii="宋体" w:hAnsi="宋体" w:eastAsia="宋体" w:cs="宋体"/>
          <w:color w:val="000000"/>
          <w:kern w:val="0"/>
          <w:sz w:val="24"/>
        </w:rPr>
        <w:t>针对局部晚期肺癌手术难度大、晚期治疗手段单一的临床难题，项目组首创“转化治疗促手术、巩固治疗延生存”双轮驱动新模式。通过系列多中心真实世界研究，率先证实新辅助免疫联合化疗在局晚期非小细胞肺癌及食管鳞癌中的显著疗效，MPR率达52.3%-59.1%，pCR率达31.4%-33.6%，较传统化疗提升3倍以上，为原本不可手术患者创造根治性切除机会。作为重要参与者完成RATIONALE-315（发表于Lancet Respir Med）、Neotorch（发表于JAMA）等国际重磅研究，为重塑全球局晚期肺癌治疗格局贡献中国智慧。针对靶向治疗失败患者，首创安洛替尼联合EGFR-TKI“巩固治疗”策略，显著延长PFS（HR=0.58）。牵头制定《肺癌免疫治疗手术适应证再评估及不良反应全程管理中国专家共识（2025版）》等多项行业规范。</w:t>
      </w:r>
    </w:p>
    <w:p w14:paraId="793E736C">
      <w:pPr>
        <w:spacing w:before="57" w:line="312" w:lineRule="auto"/>
        <w:ind w:firstLine="420" w:firstLineChars="0"/>
        <w:rPr>
          <w:rFonts w:hint="eastAsia" w:ascii="宋体" w:hAnsi="宋体" w:eastAsia="宋体" w:cs="宋体"/>
          <w:color w:val="000000"/>
          <w:kern w:val="0"/>
          <w:sz w:val="24"/>
        </w:rPr>
      </w:pPr>
      <w:r>
        <w:rPr>
          <w:rFonts w:hint="eastAsia" w:ascii="宋体" w:hAnsi="宋体" w:eastAsia="宋体" w:cs="宋体"/>
          <w:color w:val="000000"/>
          <w:kern w:val="0"/>
          <w:sz w:val="24"/>
        </w:rPr>
        <w:t>项目共发表SCI论文150余篇，其中代表性论文发表于JAMA、Lancet Respir Med、Nat Commun、Sci Robot、J Thorac Cardiovasc Surg等国际权威期刊。获授权发明专利3项、实用新型专利5项、软件著作权3项。牵头制定全国专家共识/指南13项。研究成果在全国30余家三甲医院及50余家基层医院推广应用，累计惠及患者逾5万人次，显著提升了我国肺癌诊疗的规范化水平和国际影响力。</w:t>
      </w:r>
    </w:p>
    <w:p w14:paraId="044E545B">
      <w:pPr>
        <w:spacing w:before="57" w:line="312" w:lineRule="auto"/>
        <w:ind w:firstLine="420" w:firstLineChars="0"/>
        <w:rPr>
          <w:rFonts w:hint="eastAsia" w:ascii="宋体" w:hAnsi="宋体" w:eastAsia="宋体" w:cs="宋体"/>
          <w:color w:val="000000"/>
          <w:kern w:val="0"/>
          <w:sz w:val="24"/>
        </w:rPr>
      </w:pPr>
    </w:p>
    <w:p w14:paraId="26219A4B">
      <w:pPr>
        <w:rPr>
          <w:rFonts w:hint="eastAsia"/>
        </w:rPr>
      </w:pPr>
    </w:p>
    <w:p w14:paraId="51999FB7">
      <w:pPr>
        <w:adjustRightInd w:val="0"/>
        <w:snapToGrid w:val="0"/>
        <w:spacing w:line="360" w:lineRule="auto"/>
        <w:jc w:val="center"/>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代表性论文（专著）列表</w:t>
      </w:r>
    </w:p>
    <w:p w14:paraId="612AFE94">
      <w:pPr>
        <w:rPr>
          <w:rFonts w:hint="eastAsia"/>
        </w:rPr>
      </w:pPr>
      <w:r>
        <w:rPr>
          <w:rFonts w:hint="eastAsia"/>
        </w:rPr>
        <w:t>1. Lu S, Zhang W, Wu L, Wang W, Zhang P, Fang W, Xing W, Chen Q, Yang L, Mei J, Tan L, Sun X, Xu S, Hu X, Yu G, Yu D, Yang N, Chen Y, Shan J, Xing L, Tian H, Zhang X, Zhou M, Fang H, Wu G, Liu Y, Ye M, Cao L, Jiang J, Li X, Zhu L, Li D, Kang M, Zhong A, Chen K, Wu N, Sun Q, Ma H, Cai K, Wang C, Lin G, Zhu K, Zhang Y, Zhang X, Hu H, Zhang W, Chen J, Yang Z, Hang X, Hu J, Huang Y, Zhang Z, Zhang L, Zhang L, Liu L, Lin D, Zhang J, Chen G, Li Y, Zhu L, Wang W, Yu W, Cao D, Keegan P, Yao S. Perioperative Toripalimab Plus Chemotherapy for Patients With Resectable Non-Small Cell Lung Cancer: The Neotorch Randomized Clinical Trial. JAMA. 2024;331(3):201-211.</w:t>
      </w:r>
    </w:p>
    <w:p w14:paraId="2A1751E9">
      <w:pPr>
        <w:rPr>
          <w:rFonts w:hint="eastAsia"/>
        </w:rPr>
      </w:pPr>
      <w:r>
        <w:rPr>
          <w:rFonts w:hint="eastAsia"/>
        </w:rPr>
        <w:t>2. Yue D, Wang W, Liu H, Chen Q, Chen C, Liu L, Zhang P, Zhao G, Yang F, Han G, Cheng Y, Yu B, Yang Y, Chen H, Jiang J, Tan L, Xu S, Mao N, Hu J, Zhang L, Yao B, Wang S, Wang RH, Zheng W, Wang C. Perioperative tislelizumab plus neoadjuvant chemotherapy for patients with resectable non-small-cell lung cancer (RATIONALE-315): an interim analysis of a randomised clinical trial. Lancet Respir Med. 2025;13(2):119-129.</w:t>
      </w:r>
    </w:p>
    <w:p w14:paraId="20D4CBDB">
      <w:pPr>
        <w:rPr>
          <w:rFonts w:hint="eastAsia"/>
        </w:rPr>
      </w:pPr>
      <w:r>
        <w:rPr>
          <w:rFonts w:hint="eastAsia"/>
        </w:rPr>
        <w:t>3. Liu L, Zhang J, Xiang P, Fang Q, Nie X, Ma H, Hu J, Xiong R, Wang Y, Lu H. AI co-pilot bronchoscope robot. Nat Commun. 2024;15(1):241.</w:t>
      </w:r>
    </w:p>
    <w:p w14:paraId="0187E29F">
      <w:pPr>
        <w:rPr>
          <w:rFonts w:hint="eastAsia"/>
        </w:rPr>
      </w:pPr>
      <w:r>
        <w:rPr>
          <w:rFonts w:hint="eastAsia"/>
        </w:rPr>
        <w:t>4. Liu L, Zhang J, Wang F, Yu J, Cui Y, Li Z, Hu J, Xiong R, Lu H, Wang Y. AI search, physician removal: Bronchoscopy robot bridges collaboration in foreign body aspiration. Sci Robot. 2025;10(104):eadt5338.</w:t>
      </w:r>
    </w:p>
    <w:p w14:paraId="3BC60A08">
      <w:pPr>
        <w:rPr>
          <w:rFonts w:hint="eastAsia"/>
        </w:rPr>
      </w:pPr>
      <w:r>
        <w:rPr>
          <w:rFonts w:hint="eastAsia"/>
        </w:rPr>
        <w:t>5. Xu J, Ni H, Zhan H, Yu H, Lu Z, Zhang J, Meng H, Hang L, Mao L, Xu X, Ma X, Wu Q, Xu W, Xiang D, Zeng Y, Meng D, Teng X, Yu L, Zeng L, Ni P, Miao H, Fu S, Wang L, He Z, Zhang C, Lv X, Xu H, Wu Y, Lv W, Shi Q, Hu J. Efficacy of digital therapeutics for perioperative management in patients with lung cancer: a randomized controlled trial. BMC Med. 2025;23(1):186.</w:t>
      </w:r>
    </w:p>
    <w:p w14:paraId="5F0B2AAD">
      <w:pPr>
        <w:rPr>
          <w:rFonts w:hint="eastAsia"/>
        </w:rPr>
      </w:pPr>
      <w:r>
        <w:rPr>
          <w:rFonts w:hint="eastAsia"/>
        </w:rPr>
        <w:t>6. He T, Wang Y, Lv W, Wang Y, Li X, Zhang Q, Shen HM, Hu J. FBP1 inhibits NSCLC stemness by promoting ubiquitination of Notch1 intracellular domain and accelerating degradation. Cell Mol Life Sci. 2024;81(1):87.</w:t>
      </w:r>
    </w:p>
    <w:p w14:paraId="254A008E">
      <w:pPr>
        <w:rPr>
          <w:rFonts w:hint="eastAsia"/>
        </w:rPr>
      </w:pPr>
      <w:r>
        <w:rPr>
          <w:rFonts w:hint="eastAsia"/>
        </w:rPr>
        <w:t>7. Zhang J, Ma Q, Yu Q, Xiao F, Zhang Z, Feng H, Liang C. PSMD3-ILF3 signaling cascade drives lung cancer cell proliferation and migration. Biol Direct. 2023;18(1):33.</w:t>
      </w:r>
    </w:p>
    <w:p w14:paraId="1C2E3495">
      <w:pPr>
        <w:rPr>
          <w:rFonts w:hint="eastAsia"/>
        </w:rPr>
      </w:pPr>
      <w:r>
        <w:rPr>
          <w:rFonts w:hint="eastAsia"/>
        </w:rPr>
        <w:t>8. Ma Q, Zhang J, Huang J, Wang X, Xiao F, Xing H, Wang Y, Guo Y, Shi B, Song Z, Liu D, Si C, Horinouchi H, Liang C. Decreased miR-940 expression can predict a negative prognosis in early-stage nonsmoking female lung adenocarcinoma. Transl Lung Cancer Res. 2021;10(11):4293-4302.</w:t>
      </w:r>
    </w:p>
    <w:p w14:paraId="6E9D4F04">
      <w:pPr>
        <w:rPr>
          <w:rFonts w:hint="eastAsia"/>
        </w:rPr>
      </w:pPr>
      <w:r>
        <w:rPr>
          <w:rFonts w:hint="eastAsia"/>
        </w:rPr>
        <w:t>9. Xiao F, Yu Q, Zhang Z, Liu D, Guo Y, Liang C, Wang B, Sun H. Novel perspective to evaluate the safety of segmentectomy: clinical significance of lobar and segmental lymph node metastasis in cT1N0M0 lung adenocarcinoma. Eur J Cardiothorac Surg. 2018;53(1):228-234.</w:t>
      </w:r>
    </w:p>
    <w:p w14:paraId="67166B42">
      <w:pPr>
        <w:rPr>
          <w:rFonts w:hint="eastAsia"/>
        </w:rPr>
      </w:pPr>
      <w:r>
        <w:rPr>
          <w:rFonts w:hint="eastAsia"/>
        </w:rPr>
        <w:t>10. Han Y, Xiao F, Ma Q, Zhang Z, Wang Z, Liang C, Liu D. One-stage versus two-stage thoracoscopic surgery for synchronous bilateral pulmonary nodules: a propensity score-matched analysis. World J Surg Oncol. 2025;23(1):18.</w:t>
      </w:r>
    </w:p>
    <w:p w14:paraId="0809CD74">
      <w:pPr>
        <w:rPr>
          <w:rFonts w:hint="eastAsia"/>
        </w:rPr>
      </w:pPr>
      <w:r>
        <w:rPr>
          <w:rFonts w:hint="eastAsia"/>
        </w:rPr>
        <w:t>11. Sun W, Li D, Yan Y, Han H, Bai J, Ma Z, Fu F, Zhang Y, Chen H. Ten-year follow-up outcomes of resected stage II non-small cell lung cancer patients. J Thorac Dis. 2025;17(9):6701-6710.</w:t>
      </w:r>
    </w:p>
    <w:p w14:paraId="4F56B8E5">
      <w:pPr>
        <w:rPr>
          <w:rFonts w:hint="eastAsia"/>
        </w:rPr>
      </w:pPr>
      <w:r>
        <w:rPr>
          <w:rFonts w:hint="eastAsia"/>
        </w:rPr>
        <w:t>12. 何天煜, 曾理平, 周原, 俞豪杰, 周振宇, 吕望, 冯靖祎, 胡坚. 医用内窥镜评价体系的构建与医疗器械全生命周期临床评价. 中国医学装备. 2023;20(10):14-19.</w:t>
      </w:r>
    </w:p>
    <w:p w14:paraId="3CABC83A">
      <w:pPr>
        <w:rPr>
          <w:rFonts w:hint="eastAsia"/>
        </w:rPr>
      </w:pPr>
      <w:r>
        <w:rPr>
          <w:rFonts w:hint="eastAsia"/>
        </w:rPr>
        <w:t>13. Ye J, Ma Y, Liu J, Wang Y, Lv W, Yang Y, Wang L, Hu S, Hu J. Compared with assessment via endoscopic examination, assessment through the examination of resected regional lymph nodes can significantly reduce the mortality rate of lung cancer patients. J Thorac Dis. 2025;17(7):5164-5196.</w:t>
      </w:r>
    </w:p>
    <w:p w14:paraId="78C0912A">
      <w:pPr>
        <w:rPr>
          <w:rFonts w:hint="eastAsia"/>
        </w:rPr>
      </w:pPr>
      <w:r>
        <w:rPr>
          <w:rFonts w:hint="eastAsia"/>
        </w:rPr>
        <w:t>14. Ye J, Liu J, Ma Y, Lv W, Xu W, Aoki M, Yang Y, Xia P, Wang L, Zhu L, Hu J. Efficacy and safety of anlotinib plus EGFR tyrosine kinase inhibitors in slow- or locally progressing non-small cell lung cancer after adjuvant therapy. Transl Lung Cancer Res. 2025;14(4):1371-1383.</w:t>
      </w:r>
    </w:p>
    <w:p w14:paraId="396A5AEC">
      <w:pPr>
        <w:rPr>
          <w:rFonts w:hint="eastAsia"/>
        </w:rPr>
      </w:pPr>
      <w:r>
        <w:rPr>
          <w:rFonts w:hint="eastAsia"/>
        </w:rPr>
        <w:t>15. 胡坚, 支修益, 刘伦旭, 等. 直径≤2 cm肺结节胸外科合理诊疗中国专家共识（2024）. 中国胸心血管外科临床杂志. 2024;31(8):1077-1089.</w:t>
      </w:r>
    </w:p>
    <w:p w14:paraId="762A5571">
      <w:pPr>
        <w:rPr>
          <w:rFonts w:hint="eastAsia"/>
        </w:rPr>
      </w:pPr>
    </w:p>
    <w:p w14:paraId="55FF88DA">
      <w:pPr>
        <w:rPr>
          <w:rFonts w:hint="eastAsia"/>
        </w:rPr>
      </w:pPr>
    </w:p>
    <w:p w14:paraId="09BD3C10">
      <w:pPr>
        <w:adjustRightInd w:val="0"/>
        <w:snapToGrid w:val="0"/>
        <w:spacing w:line="360" w:lineRule="auto"/>
        <w:jc w:val="center"/>
        <w:rPr>
          <w:rFonts w:hint="eastAsia" w:ascii="仿宋" w:hAnsi="仿宋" w:eastAsia="仿宋"/>
          <w:b/>
          <w:bCs/>
          <w:color w:val="000000"/>
          <w:kern w:val="0"/>
          <w:sz w:val="28"/>
          <w:szCs w:val="28"/>
        </w:rPr>
      </w:pPr>
      <w:r>
        <w:rPr>
          <w:rFonts w:hint="eastAsia" w:ascii="仿宋" w:hAnsi="仿宋" w:eastAsia="仿宋"/>
          <w:b/>
          <w:bCs/>
          <w:color w:val="000000"/>
          <w:kern w:val="0"/>
          <w:sz w:val="28"/>
          <w:szCs w:val="28"/>
        </w:rPr>
        <w:t>主要知识产权证明目录</w:t>
      </w:r>
    </w:p>
    <w:p w14:paraId="5DE7B00D">
      <w:pPr>
        <w:rPr>
          <w:rFonts w:hint="eastAsia"/>
        </w:rPr>
      </w:pPr>
      <w:r>
        <w:rPr>
          <w:rFonts w:hint="eastAsia"/>
        </w:rPr>
        <w:t>1. 发明专利：一组尿蛋白标志物及其在制备非小细胞肺癌预后预测产品中的应用，ZL 2025 1 0377860.5，2025-09-09，中日友好医院，张瑾(1)</w:t>
      </w:r>
    </w:p>
    <w:p w14:paraId="39CA7B51">
      <w:pPr>
        <w:rPr>
          <w:rFonts w:hint="eastAsia"/>
        </w:rPr>
      </w:pPr>
      <w:r>
        <w:rPr>
          <w:rFonts w:hint="eastAsia"/>
        </w:rPr>
        <w:t>2. 实用新型专利：肺移植供肺气道封闭保护装置，ZL 2022 2 1578738.2，2022-06-22，中日友好医院，梁朝阳(3)</w:t>
      </w:r>
    </w:p>
    <w:p w14:paraId="5255C218">
      <w:pPr>
        <w:rPr>
          <w:rFonts w:hint="eastAsia"/>
        </w:rPr>
      </w:pPr>
      <w:r>
        <w:rPr>
          <w:rFonts w:hint="eastAsia"/>
        </w:rPr>
        <w:t>3. 实用新型专利：常温体外肺灌注用肺脏支撑保护装置，ZL 2022 2 1917476.8，2022-07-25，中日友好医院，梁朝阳(3)</w:t>
      </w:r>
    </w:p>
    <w:p w14:paraId="4FFA5231">
      <w:pPr>
        <w:rPr>
          <w:rFonts w:hint="eastAsia"/>
        </w:rPr>
      </w:pPr>
      <w:r>
        <w:rPr>
          <w:rFonts w:hint="eastAsia"/>
        </w:rPr>
        <w:t>4. 实用新型专利：一种胸腔引流管及其安装装置，ZL 2024 2 1732890.0，2024-07-22，中日友好医院，梁朝阳(2)</w:t>
      </w:r>
    </w:p>
    <w:p w14:paraId="2A931806">
      <w:pPr>
        <w:rPr>
          <w:rFonts w:hint="eastAsia"/>
        </w:rPr>
      </w:pPr>
      <w:r>
        <w:rPr>
          <w:rFonts w:hint="eastAsia"/>
        </w:rPr>
        <w:t>5. 软件著作权：基于AI的肺部CT分析算法软件V1.0，软著登字第15515772号，2025-05-23，中日友好医院</w:t>
      </w:r>
    </w:p>
    <w:p w14:paraId="5C5344B3">
      <w:pPr>
        <w:rPr>
          <w:rFonts w:hint="eastAsia"/>
        </w:rPr>
      </w:pPr>
      <w:r>
        <w:rPr>
          <w:rFonts w:hint="eastAsia"/>
        </w:rPr>
        <w:t>6. 软件著作权：基于AI针对淋巴结转移的肺部CT分析算法软件V1.0，软著登字第15515786号，2025-05-23，中日友好医院</w:t>
      </w:r>
    </w:p>
    <w:p w14:paraId="14C05CCD">
      <w:pPr>
        <w:rPr>
          <w:rFonts w:hint="eastAsia"/>
        </w:rPr>
      </w:pPr>
      <w:r>
        <w:rPr>
          <w:rFonts w:hint="eastAsia"/>
        </w:rPr>
        <w:t>7. 软件著作权：早期肺癌专病数据库全流程自动化管理系统V1.0，软著登字第15501319号，2025-05-22，中日友好医院，张瑾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14A23"/>
    <w:rsid w:val="22C95016"/>
    <w:rsid w:val="495F339C"/>
    <w:rsid w:val="4ACA2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2791</Words>
  <Characters>5526</Characters>
  <Lines>0</Lines>
  <Paragraphs>0</Paragraphs>
  <TotalTime>15</TotalTime>
  <ScaleCrop>false</ScaleCrop>
  <LinksUpToDate>false</LinksUpToDate>
  <CharactersWithSpaces>6267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2026-03-16T14:26:00Z</dcterms:created>
  <dc:creator>Administrator</dc:creator>
  <cp:lastModifiedBy>程钧</cp:lastModifiedBy>
  <dcterms:modified xsi:type="dcterms:W3CDTF">2026-03-17T13:43:48Z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eyJoZGlkIjoiMmU5YjE2ZjI5Y2Y2YzQ0MzA5NjQ4MWIxN2Q1MDM1ZGIiLCJ1c2VySWQiOiIzMzY4MDU4MjUifQ==</vt:lpwstr>
  </property>
  <property fmtid="{D5CDD505-2E9C-101B-9397-08002B2CF9AE}" pid="4" name="ICV">
    <vt:lpwstr>53798D05456240FBA2EE60AE8EC520A7_13</vt:lpwstr>
  </property>
</Properties>
</file>