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34" w:type="dxa"/>
        <w:tblInd w:w="96" w:type="dxa"/>
        <w:tblLook w:val="04A0"/>
      </w:tblPr>
      <w:tblGrid>
        <w:gridCol w:w="620"/>
        <w:gridCol w:w="2900"/>
        <w:gridCol w:w="1595"/>
        <w:gridCol w:w="3119"/>
      </w:tblGrid>
      <w:tr w:rsidR="00B16D3B" w:rsidRPr="00B16D3B" w:rsidTr="00B16D3B">
        <w:trPr>
          <w:trHeight w:val="348"/>
        </w:trPr>
        <w:tc>
          <w:tcPr>
            <w:tcW w:w="3520" w:type="dxa"/>
            <w:gridSpan w:val="2"/>
            <w:tcBorders>
              <w:top w:val="nil"/>
              <w:left w:val="nil"/>
              <w:bottom w:val="nil"/>
              <w:right w:val="nil"/>
            </w:tcBorders>
            <w:shd w:val="clear" w:color="auto" w:fill="auto"/>
            <w:noWrap/>
            <w:vAlign w:val="bottom"/>
            <w:hideMark/>
          </w:tcPr>
          <w:p w:rsidR="00B16D3B" w:rsidRPr="00B16D3B" w:rsidRDefault="00B16D3B" w:rsidP="00B16D3B">
            <w:pPr>
              <w:widowControl/>
              <w:jc w:val="left"/>
              <w:rPr>
                <w:rFonts w:ascii="黑体" w:eastAsia="黑体" w:hAnsi="黑体" w:cs="宋体"/>
                <w:color w:val="000000"/>
                <w:kern w:val="0"/>
                <w:sz w:val="28"/>
                <w:szCs w:val="28"/>
              </w:rPr>
            </w:pPr>
            <w:r w:rsidRPr="00B16D3B">
              <w:rPr>
                <w:rFonts w:ascii="黑体" w:eastAsia="黑体" w:hAnsi="黑体" w:cs="宋体" w:hint="eastAsia"/>
                <w:color w:val="000000"/>
                <w:kern w:val="0"/>
                <w:sz w:val="28"/>
                <w:szCs w:val="28"/>
              </w:rPr>
              <w:t>附件1</w:t>
            </w:r>
            <w:r w:rsidR="008A0709">
              <w:rPr>
                <w:rFonts w:ascii="黑体" w:eastAsia="黑体" w:hAnsi="黑体" w:cs="宋体" w:hint="eastAsia"/>
                <w:color w:val="000000"/>
                <w:kern w:val="0"/>
                <w:sz w:val="28"/>
                <w:szCs w:val="28"/>
              </w:rPr>
              <w:t>:</w:t>
            </w:r>
          </w:p>
        </w:tc>
        <w:tc>
          <w:tcPr>
            <w:tcW w:w="4714" w:type="dxa"/>
            <w:gridSpan w:val="2"/>
            <w:tcBorders>
              <w:top w:val="nil"/>
              <w:left w:val="nil"/>
              <w:bottom w:val="nil"/>
              <w:right w:val="nil"/>
            </w:tcBorders>
            <w:shd w:val="clear" w:color="auto" w:fill="auto"/>
            <w:noWrap/>
            <w:vAlign w:val="bottom"/>
            <w:hideMark/>
          </w:tcPr>
          <w:p w:rsidR="00B16D3B" w:rsidRPr="00B16D3B" w:rsidRDefault="00B16D3B" w:rsidP="00B16D3B">
            <w:pPr>
              <w:widowControl/>
              <w:jc w:val="left"/>
              <w:rPr>
                <w:rFonts w:ascii="宋体" w:eastAsia="宋体" w:hAnsi="宋体" w:cs="宋体"/>
                <w:color w:val="000000"/>
                <w:kern w:val="0"/>
                <w:sz w:val="22"/>
              </w:rPr>
            </w:pPr>
          </w:p>
        </w:tc>
      </w:tr>
      <w:tr w:rsidR="00B16D3B" w:rsidRPr="00B16D3B" w:rsidTr="00B16D3B">
        <w:trPr>
          <w:trHeight w:val="675"/>
        </w:trPr>
        <w:tc>
          <w:tcPr>
            <w:tcW w:w="8234" w:type="dxa"/>
            <w:gridSpan w:val="4"/>
            <w:tcBorders>
              <w:top w:val="nil"/>
              <w:left w:val="nil"/>
              <w:bottom w:val="single" w:sz="4" w:space="0" w:color="auto"/>
              <w:right w:val="nil"/>
            </w:tcBorders>
            <w:shd w:val="clear" w:color="auto" w:fill="auto"/>
            <w:noWrap/>
            <w:vAlign w:val="bottom"/>
            <w:hideMark/>
          </w:tcPr>
          <w:p w:rsidR="00F13CA6" w:rsidRDefault="00F13CA6" w:rsidP="00B16D3B">
            <w:pPr>
              <w:widowControl/>
              <w:jc w:val="center"/>
              <w:rPr>
                <w:rFonts w:ascii="宋体" w:eastAsia="宋体" w:hAnsi="宋体" w:cs="宋体" w:hint="eastAsia"/>
                <w:b/>
                <w:bCs/>
                <w:color w:val="000000"/>
                <w:kern w:val="0"/>
                <w:sz w:val="36"/>
                <w:szCs w:val="36"/>
              </w:rPr>
            </w:pPr>
            <w:r>
              <w:rPr>
                <w:rFonts w:ascii="宋体" w:eastAsia="宋体" w:hAnsi="宋体" w:cs="宋体" w:hint="eastAsia"/>
                <w:b/>
                <w:bCs/>
                <w:color w:val="000000"/>
                <w:kern w:val="0"/>
                <w:sz w:val="36"/>
                <w:szCs w:val="36"/>
              </w:rPr>
              <w:t>“</w:t>
            </w:r>
            <w:r w:rsidR="00FA5C15">
              <w:rPr>
                <w:rFonts w:ascii="宋体" w:eastAsia="宋体" w:hAnsi="宋体" w:cs="宋体" w:hint="eastAsia"/>
                <w:b/>
                <w:bCs/>
                <w:color w:val="000000"/>
                <w:kern w:val="0"/>
                <w:sz w:val="36"/>
                <w:szCs w:val="36"/>
              </w:rPr>
              <w:t>重大新药创制</w:t>
            </w:r>
            <w:r>
              <w:rPr>
                <w:rFonts w:ascii="宋体" w:eastAsia="宋体" w:hAnsi="宋体" w:cs="宋体" w:hint="eastAsia"/>
                <w:b/>
                <w:bCs/>
                <w:color w:val="000000"/>
                <w:kern w:val="0"/>
                <w:sz w:val="36"/>
                <w:szCs w:val="36"/>
              </w:rPr>
              <w:t>”重大科技专项</w:t>
            </w:r>
          </w:p>
          <w:p w:rsidR="00B16D3B" w:rsidRPr="00B16D3B" w:rsidRDefault="00340F3A" w:rsidP="00B16D3B">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可申报</w:t>
            </w:r>
            <w:r w:rsidR="00F13CA6">
              <w:rPr>
                <w:rFonts w:ascii="宋体" w:eastAsia="宋体" w:hAnsi="宋体" w:cs="宋体" w:hint="eastAsia"/>
                <w:b/>
                <w:bCs/>
                <w:color w:val="000000"/>
                <w:kern w:val="0"/>
                <w:sz w:val="36"/>
                <w:szCs w:val="36"/>
              </w:rPr>
              <w:t>2016年</w:t>
            </w:r>
            <w:r w:rsidR="00B16D3B" w:rsidRPr="00B16D3B">
              <w:rPr>
                <w:rFonts w:ascii="宋体" w:eastAsia="宋体" w:hAnsi="宋体" w:cs="宋体" w:hint="eastAsia"/>
                <w:b/>
                <w:bCs/>
                <w:color w:val="000000"/>
                <w:kern w:val="0"/>
                <w:sz w:val="36"/>
                <w:szCs w:val="36"/>
              </w:rPr>
              <w:t>滚动</w:t>
            </w:r>
            <w:r>
              <w:rPr>
                <w:rFonts w:ascii="宋体" w:eastAsia="宋体" w:hAnsi="宋体" w:cs="宋体" w:hint="eastAsia"/>
                <w:b/>
                <w:bCs/>
                <w:color w:val="000000"/>
                <w:kern w:val="0"/>
                <w:sz w:val="36"/>
                <w:szCs w:val="36"/>
              </w:rPr>
              <w:t>支持的</w:t>
            </w:r>
            <w:r w:rsidR="00B16D3B" w:rsidRPr="00B16D3B">
              <w:rPr>
                <w:rFonts w:ascii="宋体" w:eastAsia="宋体" w:hAnsi="宋体" w:cs="宋体" w:hint="eastAsia"/>
                <w:b/>
                <w:bCs/>
                <w:color w:val="000000"/>
                <w:kern w:val="0"/>
                <w:sz w:val="36"/>
                <w:szCs w:val="36"/>
              </w:rPr>
              <w:t>课题清单</w:t>
            </w:r>
          </w:p>
        </w:tc>
      </w:tr>
      <w:tr w:rsidR="00B16D3B" w:rsidRPr="00B16D3B" w:rsidTr="00B16D3B">
        <w:trPr>
          <w:trHeight w:val="4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b/>
                <w:bCs/>
                <w:color w:val="000000"/>
                <w:kern w:val="0"/>
                <w:sz w:val="20"/>
                <w:szCs w:val="20"/>
              </w:rPr>
            </w:pPr>
            <w:r w:rsidRPr="00B16D3B">
              <w:rPr>
                <w:rFonts w:ascii="仿宋_GB2312" w:eastAsia="仿宋_GB2312" w:hAnsi="宋体" w:cs="宋体" w:hint="eastAsia"/>
                <w:b/>
                <w:bCs/>
                <w:color w:val="000000"/>
                <w:kern w:val="0"/>
                <w:sz w:val="20"/>
                <w:szCs w:val="20"/>
              </w:rPr>
              <w:t>序号</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b/>
                <w:bCs/>
                <w:color w:val="000000"/>
                <w:kern w:val="0"/>
                <w:sz w:val="20"/>
                <w:szCs w:val="20"/>
              </w:rPr>
            </w:pPr>
            <w:r w:rsidRPr="00B16D3B">
              <w:rPr>
                <w:rFonts w:ascii="仿宋_GB2312" w:eastAsia="仿宋_GB2312" w:hAnsi="宋体" w:cs="宋体" w:hint="eastAsia"/>
                <w:b/>
                <w:bCs/>
                <w:color w:val="000000"/>
                <w:kern w:val="0"/>
                <w:sz w:val="20"/>
                <w:szCs w:val="20"/>
              </w:rPr>
              <w:t>课题名称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b/>
                <w:bCs/>
                <w:color w:val="000000"/>
                <w:kern w:val="0"/>
                <w:sz w:val="20"/>
                <w:szCs w:val="20"/>
              </w:rPr>
            </w:pPr>
            <w:r w:rsidRPr="00B16D3B">
              <w:rPr>
                <w:rFonts w:ascii="仿宋_GB2312" w:eastAsia="仿宋_GB2312" w:hAnsi="宋体" w:cs="宋体" w:hint="eastAsia"/>
                <w:b/>
                <w:bCs/>
                <w:color w:val="000000"/>
                <w:kern w:val="0"/>
                <w:sz w:val="20"/>
                <w:szCs w:val="20"/>
              </w:rPr>
              <w:t>课题责任单位</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抗凝血新药——川阿格雷临床前研究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合肥医工医药有限公司</w:t>
            </w:r>
          </w:p>
        </w:tc>
      </w:tr>
      <w:tr w:rsidR="00B16D3B" w:rsidRPr="00B16D3B" w:rsidTr="00B16D3B">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基于靶向性分子捕获机理的肌松拮抗剂-化药1.1类新药Aom0498研究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杭州奥默医药股份有限公司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抗耐药结核杆菌1类新药诺卡沙星注射剂的研究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中国药科大学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抗肿瘤1类药物候选化合物注射用千层纸素的研究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中国药科大学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5</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高效低毒抗癌光敏剂华卟啉钠的研究和开发</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青龙高科技股份有限公司</w:t>
            </w:r>
          </w:p>
        </w:tc>
      </w:tr>
      <w:tr w:rsidR="00B16D3B" w:rsidRPr="00B16D3B" w:rsidTr="00B16D3B">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6</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治疗并增强卵巢癌化疗药物敏感性一类新药“HK 长效脂质体冻干粉针剂的临床前研究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四川大学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7</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孤儿药：地中海贫血袪铁药物CN128候选药物研究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浙江大学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8</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抗糖尿病类LJN系列新药候选物的临床前研究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中国科学院上海药物研究所</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9</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国家1.1类抗糖尿病新药候选药物SHR3824研究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上海恒瑞医药有限公司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10</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新型抗白血病1.1 类新药GZD824 的临床前研究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中国科学院广州生物医药与健康研究院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11</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全球第二代BRAF抑制剂抗肿瘤候选药物BGB283的临床前研究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百济神州（北京）生物科技有限公司</w:t>
            </w:r>
          </w:p>
        </w:tc>
      </w:tr>
      <w:tr w:rsidR="00B16D3B" w:rsidRPr="00B16D3B" w:rsidTr="00B16D3B">
        <w:trPr>
          <w:trHeight w:val="9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lastRenderedPageBreak/>
              <w:t>12</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一类化学新药c-Met（肝细胞生长因子受体）抑制剂BPI-9011用于肿瘤治疗的临床前研究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贝达药业股份有限公司</w:t>
            </w:r>
          </w:p>
        </w:tc>
      </w:tr>
      <w:tr w:rsidR="00B16D3B" w:rsidRPr="00B16D3B" w:rsidTr="00B16D3B">
        <w:trPr>
          <w:trHeight w:val="48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13</w:t>
            </w:r>
          </w:p>
        </w:tc>
        <w:tc>
          <w:tcPr>
            <w:tcW w:w="4495" w:type="dxa"/>
            <w:gridSpan w:val="2"/>
            <w:tcBorders>
              <w:top w:val="single" w:sz="4" w:space="0" w:color="auto"/>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抗乙肝病毒一类新药甲磺酸莫非赛定的临床研究</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广东东阳光药业有限公司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14</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四味中药有效组分治疗缺血性中风的新药成药性研究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安徽同泰药业有限公司</w:t>
            </w:r>
          </w:p>
        </w:tc>
      </w:tr>
      <w:tr w:rsidR="00B16D3B" w:rsidRPr="00B16D3B" w:rsidTr="00B16D3B">
        <w:trPr>
          <w:trHeight w:val="9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15</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雌激素受体ER-α36阳性乳腺癌靶向治疗——中药一类新药阿可拉定(SNG-162)的临床+E28研究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北京珅奥基医药科技有限公司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16</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TASLY-TCM001候选药物研究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天津天士力制药股份有限公司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17</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一类中药抗病毒单体新药环氧烷糖苷的创制研究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大连富生天然药物开发有限公司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18</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人源化抗体靶向CD147-Ⅱ抗体注射剂</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中国人民解放军第四军医大学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19</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EV71灭活疫苗临床研究和其他类型疫苗的临床前研究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北京微谷生物医药有限公司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20</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一类生物新药抗肿瘤多肽AP25的研究和开发</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中国药科大学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21</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抗肿瘤新药的临床评价研究技术平台建设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中国医学科学院肿瘤医院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22</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建立新药临床研究综合技术平台，评价军队特需等药物</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中国人民解放军第四军医大学第一附属医院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23</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心血管创新药物临床研究技术平台建设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中国医学科学院阜外心血管病医院</w:t>
            </w:r>
          </w:p>
        </w:tc>
      </w:tr>
      <w:tr w:rsidR="00B16D3B" w:rsidRPr="00B16D3B" w:rsidTr="00B16D3B">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24</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国际标准化药物临床试验研究技术平台建设（心血管疾病及神经退行性疾病）</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北京大学第三医院</w:t>
            </w:r>
          </w:p>
        </w:tc>
      </w:tr>
      <w:tr w:rsidR="00B16D3B" w:rsidRPr="00B16D3B" w:rsidTr="00B16D3B">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25</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自身免疫病、糖尿病及骨质疏松症药物新药临床评价研究技术平台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中国医学科学院北京协和医院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lastRenderedPageBreak/>
              <w:t>26</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脑血管病创新药物临床评价技术平台建立</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首都医科大学附属北京天坛医院</w:t>
            </w:r>
          </w:p>
        </w:tc>
      </w:tr>
      <w:tr w:rsidR="00B16D3B" w:rsidRPr="00B16D3B" w:rsidTr="00B16D3B">
        <w:trPr>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27</w:t>
            </w:r>
          </w:p>
        </w:tc>
        <w:tc>
          <w:tcPr>
            <w:tcW w:w="4495" w:type="dxa"/>
            <w:gridSpan w:val="2"/>
            <w:tcBorders>
              <w:top w:val="single" w:sz="4" w:space="0" w:color="auto"/>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以抗耐药病原菌感染新药为主体的创新药临床评价研究技术平台建设</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复旦大学附属华山医院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28</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心脑血管和肾脏病新药临床评价研究技术平台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复旦大学附属中山医院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29</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以心血管系统疾病为主的临床药物评价研究技术平台的建设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中国人民解放军沈阳军区总医院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30</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神经退行性疾病新药临床评价研究技术平台建设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首都医科大学宣武医院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31</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精神药物新药临床评价研究技术平台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上海市精神卫生中心</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32</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糖尿病新药临床评价研究技术平台建设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上海交通大学医学院附属瑞金医院</w:t>
            </w:r>
          </w:p>
        </w:tc>
      </w:tr>
      <w:tr w:rsidR="00B16D3B" w:rsidRPr="00B16D3B" w:rsidTr="00B16D3B">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33</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脑血管疾病和耐药性病原菌感染的国际化新药临床评价研究技术平台建设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北京大学第一医院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34</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肿瘤和泌尿生殖系统疾病新药临床评价技术平台建设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第二军医大学长海医院</w:t>
            </w:r>
          </w:p>
        </w:tc>
      </w:tr>
      <w:tr w:rsidR="00B16D3B" w:rsidRPr="00B16D3B" w:rsidTr="00B16D3B">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35</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重大疾病新药临床研究国际标准化GCP平台与创新关键技术体系研究</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中国人民解放军总医院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36</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创新药物研究开发技术平台建设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首都医科大学附属北京安贞医院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37</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药物安全评价技术平台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中国食品药品检定研究院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38</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规范化药物安全评价技术平台的建设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成都华西海圻医药科技有限公司</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39</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建立符合国际GLP规范的药物非临床安全评价技术平台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国家上海新药安全评价研究中心</w:t>
            </w:r>
          </w:p>
        </w:tc>
      </w:tr>
      <w:tr w:rsidR="00B16D3B" w:rsidRPr="00B16D3B" w:rsidTr="00B16D3B">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lastRenderedPageBreak/>
              <w:t>40</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心脑血管病，糖尿病并发症，神经退行性疾病药物药效学评价</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中国医学科学院药物研究所</w:t>
            </w:r>
          </w:p>
        </w:tc>
      </w:tr>
      <w:tr w:rsidR="00B16D3B" w:rsidRPr="00B16D3B" w:rsidTr="00B16D3B">
        <w:trPr>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41</w:t>
            </w:r>
          </w:p>
        </w:tc>
        <w:tc>
          <w:tcPr>
            <w:tcW w:w="4495" w:type="dxa"/>
            <w:gridSpan w:val="2"/>
            <w:tcBorders>
              <w:top w:val="single" w:sz="4" w:space="0" w:color="auto"/>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防治神经退行性疾病、自身免疫性疾病和恶性肿瘤新药的临床前药效学评价技术平台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南京医科大学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42</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符合GLP要求的新制剂与新释药系统技术平台建设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药物制剂国家工程研究中心</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43</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中药新药发现与评价技术平台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中国医学科学院药物研究所</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44</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创新药物研究开发技术平台建设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中国医学科学院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45</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化学创新药物研发体系建设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中国科学院上海药物研究所</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46</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以生物技术药为主的综合性新药研发技术大平台建设</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中国人民解放军第四军医大学</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47</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综合性新药研究开发技术大平台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军事医学科学院</w:t>
            </w:r>
          </w:p>
        </w:tc>
      </w:tr>
      <w:tr w:rsidR="00B16D3B" w:rsidRPr="00B16D3B" w:rsidTr="00B16D3B">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48</w:t>
            </w:r>
          </w:p>
        </w:tc>
        <w:tc>
          <w:tcPr>
            <w:tcW w:w="4495" w:type="dxa"/>
            <w:gridSpan w:val="2"/>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left"/>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综合性新药研究开发技术大平台</w:t>
            </w:r>
          </w:p>
        </w:tc>
        <w:tc>
          <w:tcPr>
            <w:tcW w:w="3119" w:type="dxa"/>
            <w:tcBorders>
              <w:top w:val="nil"/>
              <w:left w:val="nil"/>
              <w:bottom w:val="single" w:sz="4" w:space="0" w:color="auto"/>
              <w:right w:val="single" w:sz="4" w:space="0" w:color="auto"/>
            </w:tcBorders>
            <w:shd w:val="clear" w:color="auto" w:fill="auto"/>
            <w:vAlign w:val="center"/>
            <w:hideMark/>
          </w:tcPr>
          <w:p w:rsidR="00B16D3B" w:rsidRPr="00B16D3B" w:rsidRDefault="00B16D3B" w:rsidP="00B16D3B">
            <w:pPr>
              <w:widowControl/>
              <w:jc w:val="center"/>
              <w:rPr>
                <w:rFonts w:ascii="仿宋_GB2312" w:eastAsia="仿宋_GB2312" w:hAnsi="宋体" w:cs="宋体"/>
                <w:color w:val="000000"/>
                <w:kern w:val="0"/>
                <w:sz w:val="20"/>
                <w:szCs w:val="20"/>
              </w:rPr>
            </w:pPr>
            <w:r w:rsidRPr="00B16D3B">
              <w:rPr>
                <w:rFonts w:ascii="仿宋_GB2312" w:eastAsia="仿宋_GB2312" w:hAnsi="宋体" w:cs="宋体" w:hint="eastAsia"/>
                <w:color w:val="000000"/>
                <w:kern w:val="0"/>
                <w:sz w:val="20"/>
                <w:szCs w:val="20"/>
              </w:rPr>
              <w:t>中国医药工业研究总院</w:t>
            </w:r>
          </w:p>
        </w:tc>
      </w:tr>
    </w:tbl>
    <w:p w:rsidR="00830786" w:rsidRPr="00B16D3B" w:rsidRDefault="00830786"/>
    <w:sectPr w:rsidR="00830786" w:rsidRPr="00B16D3B" w:rsidSect="00830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8E0" w:rsidRDefault="004028E0" w:rsidP="00340F3A">
      <w:r>
        <w:separator/>
      </w:r>
    </w:p>
  </w:endnote>
  <w:endnote w:type="continuationSeparator" w:id="1">
    <w:p w:rsidR="004028E0" w:rsidRDefault="004028E0" w:rsidP="00340F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8E0" w:rsidRDefault="004028E0" w:rsidP="00340F3A">
      <w:r>
        <w:separator/>
      </w:r>
    </w:p>
  </w:footnote>
  <w:footnote w:type="continuationSeparator" w:id="1">
    <w:p w:rsidR="004028E0" w:rsidRDefault="004028E0" w:rsidP="00340F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6D3B"/>
    <w:rsid w:val="001B41BD"/>
    <w:rsid w:val="002D6122"/>
    <w:rsid w:val="00340F3A"/>
    <w:rsid w:val="00343E82"/>
    <w:rsid w:val="004028E0"/>
    <w:rsid w:val="004925FB"/>
    <w:rsid w:val="00757627"/>
    <w:rsid w:val="00830786"/>
    <w:rsid w:val="008A0709"/>
    <w:rsid w:val="00A35641"/>
    <w:rsid w:val="00B16D3B"/>
    <w:rsid w:val="00CA4950"/>
    <w:rsid w:val="00F13CA6"/>
    <w:rsid w:val="00FA5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0F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0F3A"/>
    <w:rPr>
      <w:sz w:val="18"/>
      <w:szCs w:val="18"/>
    </w:rPr>
  </w:style>
  <w:style w:type="paragraph" w:styleId="a4">
    <w:name w:val="footer"/>
    <w:basedOn w:val="a"/>
    <w:link w:val="Char0"/>
    <w:uiPriority w:val="99"/>
    <w:semiHidden/>
    <w:unhideWhenUsed/>
    <w:rsid w:val="00340F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0F3A"/>
    <w:rPr>
      <w:sz w:val="18"/>
      <w:szCs w:val="18"/>
    </w:rPr>
  </w:style>
</w:styles>
</file>

<file path=word/webSettings.xml><?xml version="1.0" encoding="utf-8"?>
<w:webSettings xmlns:r="http://schemas.openxmlformats.org/officeDocument/2006/relationships" xmlns:w="http://schemas.openxmlformats.org/wordprocessingml/2006/main">
  <w:divs>
    <w:div w:id="16027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5</cp:revision>
  <dcterms:created xsi:type="dcterms:W3CDTF">2015-10-14T12:10:00Z</dcterms:created>
  <dcterms:modified xsi:type="dcterms:W3CDTF">2015-10-14T12:52:00Z</dcterms:modified>
</cp:coreProperties>
</file>