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5D69D">
      <w:pPr>
        <w:jc w:val="center"/>
        <w:rPr>
          <w:rFonts w:ascii="Times New Roman" w:hAnsi="Times New Roman" w:eastAsia="黑体"/>
          <w:bCs/>
          <w:sz w:val="36"/>
          <w:szCs w:val="36"/>
        </w:rPr>
      </w:pPr>
      <w:r>
        <w:rPr>
          <w:rFonts w:hint="eastAsia" w:ascii="Times New Roman" w:hAnsi="Times New Roman" w:eastAsia="黑体"/>
          <w:bCs/>
          <w:sz w:val="36"/>
          <w:szCs w:val="36"/>
        </w:rPr>
        <w:t>2026年度自然资源科学技术奖（科技进步奖）</w:t>
      </w:r>
    </w:p>
    <w:p w14:paraId="5739925E">
      <w:pPr>
        <w:jc w:val="center"/>
        <w:rPr>
          <w:rFonts w:ascii="Times New Roman" w:hAnsi="Times New Roman" w:eastAsia="黑体"/>
          <w:bCs/>
          <w:sz w:val="36"/>
          <w:szCs w:val="36"/>
        </w:rPr>
      </w:pPr>
      <w:r>
        <w:rPr>
          <w:rFonts w:hint="eastAsia" w:ascii="Times New Roman" w:hAnsi="Times New Roman" w:eastAsia="黑体"/>
          <w:bCs/>
          <w:sz w:val="36"/>
          <w:szCs w:val="36"/>
        </w:rPr>
        <w:t>项目公示材料</w:t>
      </w:r>
    </w:p>
    <w:p w14:paraId="0A277F54">
      <w:pPr>
        <w:jc w:val="both"/>
        <w:rPr>
          <w:rFonts w:hint="eastAsia" w:ascii="宋体" w:hAnsi="宋体" w:eastAsia="宋体"/>
          <w:b/>
          <w:sz w:val="28"/>
          <w:szCs w:val="28"/>
        </w:rPr>
      </w:pPr>
      <w:r>
        <w:rPr>
          <w:rFonts w:hint="eastAsia" w:ascii="宋体" w:hAnsi="宋体" w:eastAsia="宋体"/>
          <w:b/>
          <w:sz w:val="28"/>
          <w:szCs w:val="28"/>
        </w:rPr>
        <w:t>一、成果基本情况</w:t>
      </w:r>
    </w:p>
    <w:p w14:paraId="17DC37E2">
      <w:pPr>
        <w:jc w:val="both"/>
        <w:rPr>
          <w:rFonts w:hint="eastAsia" w:ascii="宋体" w:hAnsi="宋体" w:eastAsia="宋体"/>
          <w:bCs/>
          <w:sz w:val="24"/>
        </w:rPr>
      </w:pPr>
      <w:r>
        <w:rPr>
          <w:rFonts w:hint="eastAsia" w:ascii="宋体" w:hAnsi="宋体" w:eastAsia="宋体"/>
          <w:bCs/>
          <w:sz w:val="24"/>
        </w:rPr>
        <w:t>1.成果名称：</w:t>
      </w:r>
      <w:bookmarkStart w:id="3" w:name="_GoBack"/>
      <w:r>
        <w:rPr>
          <w:rFonts w:hint="eastAsia" w:ascii="宋体" w:hAnsi="宋体" w:eastAsia="宋体"/>
          <w:bCs/>
          <w:sz w:val="24"/>
        </w:rPr>
        <w:t>多源地理流大数据分析方法、技术及应用</w:t>
      </w:r>
    </w:p>
    <w:bookmarkEnd w:id="3"/>
    <w:p w14:paraId="146ECF98">
      <w:pPr>
        <w:jc w:val="both"/>
        <w:rPr>
          <w:rFonts w:hint="eastAsia" w:ascii="宋体" w:hAnsi="宋体" w:eastAsia="宋体"/>
          <w:bCs/>
          <w:sz w:val="24"/>
        </w:rPr>
      </w:pPr>
      <w:r>
        <w:rPr>
          <w:rFonts w:hint="eastAsia" w:ascii="宋体" w:hAnsi="宋体" w:eastAsia="宋体"/>
          <w:bCs/>
          <w:sz w:val="24"/>
        </w:rPr>
        <w:t>2.主要完成人：裴韬、赵鹏军、罗明、王旭阳、张丰、邓羽、方志祥、葛大圣、宋辞、杜云艳、巩垠熙、王席、张生德、承达瑜、王曙</w:t>
      </w:r>
    </w:p>
    <w:p w14:paraId="2B9E437F">
      <w:pPr>
        <w:jc w:val="both"/>
        <w:rPr>
          <w:rFonts w:hint="eastAsia" w:ascii="宋体" w:hAnsi="宋体" w:eastAsia="宋体"/>
          <w:bCs/>
          <w:sz w:val="24"/>
        </w:rPr>
      </w:pPr>
      <w:r>
        <w:rPr>
          <w:rFonts w:hint="eastAsia" w:ascii="宋体" w:hAnsi="宋体" w:eastAsia="宋体"/>
          <w:bCs/>
          <w:sz w:val="24"/>
        </w:rPr>
        <w:t>3.主要完成单位：中国科学院地理科学与资源研究所、北京大学深圳研究生院、中山大学、智慧足迹数据科技有限公司、中国移动通信集团北京有限公司、浙江大学、武汉大学、国家基础地理信息中心、北京华路时代信息技术股份有限公司、河北工程大学</w:t>
      </w:r>
    </w:p>
    <w:p w14:paraId="177B0289">
      <w:pPr>
        <w:jc w:val="both"/>
        <w:rPr>
          <w:rFonts w:hint="eastAsia" w:ascii="宋体" w:hAnsi="宋体" w:eastAsia="宋体"/>
          <w:bCs/>
          <w:sz w:val="24"/>
        </w:rPr>
      </w:pPr>
      <w:r>
        <w:rPr>
          <w:rFonts w:hint="eastAsia" w:ascii="宋体" w:hAnsi="宋体" w:eastAsia="宋体"/>
          <w:bCs/>
          <w:sz w:val="24"/>
        </w:rPr>
        <w:t>4.推荐单位：中国自然资源学会资源生态研究专业委员会</w:t>
      </w:r>
    </w:p>
    <w:p w14:paraId="33C16B3A">
      <w:pPr>
        <w:jc w:val="both"/>
        <w:rPr>
          <w:rFonts w:hint="eastAsia" w:ascii="宋体" w:hAnsi="宋体" w:eastAsia="宋体"/>
          <w:bCs/>
          <w:sz w:val="24"/>
        </w:rPr>
      </w:pPr>
      <w:r>
        <w:rPr>
          <w:rFonts w:hint="eastAsia" w:ascii="宋体" w:hAnsi="宋体" w:eastAsia="宋体"/>
          <w:bCs/>
          <w:sz w:val="24"/>
        </w:rPr>
        <w:t>5.推荐等级：</w:t>
      </w:r>
      <w:r>
        <w:rPr>
          <w:rFonts w:ascii="Times New Roman" w:hAnsi="Times New Roman" w:eastAsia="宋体" w:cs="Times New Roman"/>
          <w:bCs/>
          <w:sz w:val="24"/>
        </w:rPr>
        <w:t>特等奖或一等奖</w:t>
      </w:r>
    </w:p>
    <w:p w14:paraId="30263FC5">
      <w:pPr>
        <w:jc w:val="both"/>
        <w:rPr>
          <w:rFonts w:hint="eastAsia" w:ascii="宋体" w:hAnsi="宋体" w:eastAsia="宋体"/>
          <w:b/>
          <w:sz w:val="28"/>
          <w:szCs w:val="28"/>
        </w:rPr>
      </w:pPr>
      <w:r>
        <w:rPr>
          <w:rFonts w:hint="eastAsia" w:ascii="宋体" w:hAnsi="宋体" w:eastAsia="宋体"/>
          <w:b/>
          <w:sz w:val="28"/>
          <w:szCs w:val="28"/>
        </w:rPr>
        <w:t>二、推荐意见</w:t>
      </w:r>
    </w:p>
    <w:p w14:paraId="32BE2E08">
      <w:pPr>
        <w:spacing w:after="0"/>
        <w:ind w:firstLine="480" w:firstLineChars="200"/>
        <w:jc w:val="both"/>
        <w:rPr>
          <w:rFonts w:ascii="Times New Roman" w:hAnsi="Times New Roman" w:eastAsia="宋体" w:cs="Times New Roman"/>
          <w:bCs/>
          <w:sz w:val="24"/>
        </w:rPr>
      </w:pPr>
      <w:r>
        <w:rPr>
          <w:rFonts w:ascii="Times New Roman" w:hAnsi="Times New Roman" w:eastAsia="宋体" w:cs="Times New Roman"/>
          <w:bCs/>
          <w:sz w:val="24"/>
        </w:rPr>
        <w:t>该成果面向多源地理流大数据分析与高效计算的重大需求，突破传统欧氏空间分析范式，提出地理流空间概念模型与流模式分类体系，构建“异质分析—模式挖掘—模拟预测”方法体系；突破地理流数据在索引查询、计算分析和可视化等方面的关键技术瓶颈，实现TB级多源流大数据秒级响应；研发集“数据、算法、算力”于一体的多源时空流大数据模式挖掘与计算系统，形成了较</w:t>
      </w:r>
      <w:r>
        <w:rPr>
          <w:rFonts w:hint="eastAsia" w:ascii="Times New Roman" w:hAnsi="Times New Roman" w:eastAsia="宋体" w:cs="Times New Roman"/>
          <w:bCs/>
          <w:sz w:val="24"/>
        </w:rPr>
        <w:t>为</w:t>
      </w:r>
      <w:r>
        <w:rPr>
          <w:rFonts w:ascii="Times New Roman" w:hAnsi="Times New Roman" w:eastAsia="宋体" w:cs="Times New Roman"/>
          <w:bCs/>
          <w:sz w:val="24"/>
        </w:rPr>
        <w:t>完整的方法、技术和应用体系。成果已在国土空间规划、</w:t>
      </w:r>
      <w:r>
        <w:rPr>
          <w:rFonts w:hint="eastAsia" w:ascii="Times New Roman" w:hAnsi="Times New Roman" w:eastAsia="宋体" w:cs="Times New Roman"/>
          <w:bCs/>
          <w:sz w:val="24"/>
        </w:rPr>
        <w:t>国土资源</w:t>
      </w:r>
      <w:r>
        <w:rPr>
          <w:rFonts w:hint="eastAsia" w:ascii="Times New Roman" w:hAnsi="Times New Roman" w:eastAsia="宋体"/>
          <w:bCs/>
          <w:sz w:val="24"/>
        </w:rPr>
        <w:t>要素监测、</w:t>
      </w:r>
      <w:r>
        <w:rPr>
          <w:rFonts w:ascii="Times New Roman" w:hAnsi="Times New Roman" w:eastAsia="宋体" w:cs="Times New Roman"/>
          <w:bCs/>
          <w:sz w:val="24"/>
        </w:rPr>
        <w:t>智慧城市</w:t>
      </w:r>
      <w:r>
        <w:rPr>
          <w:rFonts w:hint="eastAsia" w:ascii="Times New Roman" w:hAnsi="Times New Roman" w:eastAsia="宋体" w:cs="Times New Roman"/>
          <w:bCs/>
          <w:sz w:val="24"/>
        </w:rPr>
        <w:t>建设</w:t>
      </w:r>
      <w:r>
        <w:rPr>
          <w:rFonts w:ascii="Times New Roman" w:hAnsi="Times New Roman" w:eastAsia="宋体" w:cs="Times New Roman"/>
          <w:bCs/>
          <w:sz w:val="24"/>
        </w:rPr>
        <w:t>、公共</w:t>
      </w:r>
      <w:r>
        <w:rPr>
          <w:rFonts w:hint="eastAsia" w:ascii="Times New Roman" w:hAnsi="Times New Roman" w:eastAsia="宋体" w:cs="Times New Roman"/>
          <w:bCs/>
          <w:sz w:val="24"/>
        </w:rPr>
        <w:t>资源评价和公共卫生风险评估</w:t>
      </w:r>
      <w:r>
        <w:rPr>
          <w:rFonts w:ascii="Times New Roman" w:hAnsi="Times New Roman" w:eastAsia="宋体" w:cs="Times New Roman"/>
          <w:bCs/>
          <w:sz w:val="24"/>
        </w:rPr>
        <w:t>等领域广泛应用，服务自然资源部、商务部、工信部、人社部等多个国家部委，相关咨询成果获国家领导人批示。成果推动了地理信息分析由静态空间格局分析向动态交互过程分析</w:t>
      </w:r>
      <w:r>
        <w:rPr>
          <w:rFonts w:hint="eastAsia" w:ascii="Times New Roman" w:hAnsi="Times New Roman" w:eastAsia="宋体" w:cs="Times New Roman"/>
          <w:bCs/>
          <w:sz w:val="24"/>
        </w:rPr>
        <w:t>的</w:t>
      </w:r>
      <w:r>
        <w:rPr>
          <w:rFonts w:ascii="Times New Roman" w:hAnsi="Times New Roman" w:eastAsia="宋体" w:cs="Times New Roman"/>
          <w:bCs/>
          <w:sz w:val="24"/>
        </w:rPr>
        <w:t>拓展，为自然资源</w:t>
      </w:r>
      <w:r>
        <w:rPr>
          <w:rFonts w:hint="eastAsia" w:ascii="Times New Roman" w:hAnsi="Times New Roman" w:eastAsia="宋体" w:cs="Times New Roman"/>
          <w:bCs/>
          <w:sz w:val="24"/>
        </w:rPr>
        <w:t>领域</w:t>
      </w:r>
      <w:r>
        <w:rPr>
          <w:rFonts w:ascii="Times New Roman" w:hAnsi="Times New Roman" w:eastAsia="宋体" w:cs="Times New Roman"/>
          <w:bCs/>
          <w:sz w:val="24"/>
        </w:rPr>
        <w:t>时空大数据分析、监测评估和科学决策提供了新的方法与技术支撑，产生了显著的经济</w:t>
      </w:r>
      <w:r>
        <w:rPr>
          <w:rFonts w:hint="eastAsia" w:ascii="Times New Roman" w:hAnsi="Times New Roman" w:eastAsia="宋体" w:cs="Times New Roman"/>
          <w:bCs/>
          <w:sz w:val="24"/>
        </w:rPr>
        <w:t>和</w:t>
      </w:r>
      <w:r>
        <w:rPr>
          <w:rFonts w:ascii="Times New Roman" w:hAnsi="Times New Roman" w:eastAsia="宋体" w:cs="Times New Roman"/>
          <w:bCs/>
          <w:sz w:val="24"/>
        </w:rPr>
        <w:t>社会效益</w:t>
      </w:r>
      <w:r>
        <w:rPr>
          <w:rFonts w:hint="eastAsia" w:ascii="Times New Roman" w:hAnsi="Times New Roman" w:eastAsia="宋体" w:cs="Times New Roman"/>
          <w:bCs/>
          <w:sz w:val="24"/>
        </w:rPr>
        <w:t>。</w:t>
      </w:r>
    </w:p>
    <w:p w14:paraId="35E266A1">
      <w:pPr>
        <w:spacing w:after="0"/>
        <w:ind w:firstLine="480" w:firstLineChars="200"/>
        <w:jc w:val="both"/>
        <w:rPr>
          <w:rFonts w:ascii="Times New Roman" w:hAnsi="Times New Roman" w:eastAsia="宋体" w:cs="Times New Roman"/>
          <w:bCs/>
          <w:sz w:val="24"/>
        </w:rPr>
      </w:pPr>
      <w:r>
        <w:rPr>
          <w:rFonts w:ascii="Times New Roman" w:hAnsi="Times New Roman" w:eastAsia="宋体" w:cs="Times New Roman"/>
          <w:bCs/>
          <w:sz w:val="24"/>
        </w:rPr>
        <w:t>该成果创新性突出、技术体系完整、应用范围广、综合效益显著。</w:t>
      </w:r>
      <w:r>
        <w:rPr>
          <w:rFonts w:hint="eastAsia" w:ascii="Times New Roman" w:hAnsi="Times New Roman" w:eastAsia="宋体" w:cs="Times New Roman"/>
          <w:bCs/>
          <w:sz w:val="24"/>
        </w:rPr>
        <w:t>中国自然资源学会资源生态研究专业委员会</w:t>
      </w:r>
      <w:r>
        <w:rPr>
          <w:rFonts w:ascii="Times New Roman" w:hAnsi="Times New Roman" w:eastAsia="宋体" w:cs="Times New Roman"/>
          <w:bCs/>
          <w:sz w:val="24"/>
        </w:rPr>
        <w:t>同意推荐该成果申报2026年度自然资源科学技术奖，建议推荐等级为“特等奖或一等奖”。</w:t>
      </w:r>
    </w:p>
    <w:p w14:paraId="7350F38F">
      <w:pPr>
        <w:jc w:val="both"/>
        <w:rPr>
          <w:rFonts w:hint="eastAsia" w:ascii="宋体" w:hAnsi="宋体" w:eastAsia="宋体"/>
          <w:b/>
          <w:sz w:val="28"/>
          <w:szCs w:val="28"/>
        </w:rPr>
      </w:pPr>
      <w:r>
        <w:rPr>
          <w:rFonts w:hint="eastAsia" w:ascii="宋体" w:hAnsi="宋体" w:eastAsia="宋体"/>
          <w:b/>
          <w:sz w:val="28"/>
          <w:szCs w:val="28"/>
        </w:rPr>
        <w:t>三、成果简介</w:t>
      </w:r>
    </w:p>
    <w:p w14:paraId="16AE5D4A">
      <w:pPr>
        <w:spacing w:after="0"/>
        <w:ind w:firstLine="480" w:firstLineChars="200"/>
        <w:jc w:val="both"/>
        <w:rPr>
          <w:rFonts w:ascii="Times New Roman" w:hAnsi="Times New Roman" w:eastAsia="宋体"/>
          <w:bCs/>
          <w:sz w:val="24"/>
        </w:rPr>
      </w:pPr>
      <w:r>
        <w:rPr>
          <w:rFonts w:hint="eastAsia" w:ascii="Times New Roman" w:hAnsi="Times New Roman" w:eastAsia="宋体"/>
          <w:bCs/>
          <w:sz w:val="24"/>
        </w:rPr>
        <w:t>地理流是不同位置之间地理对象移动或时空关联关系的抽象，承载了不同位置之间的空间交互信息。在国土资源的研究中，一方面，地理流是普适性的空间概念，人口、资源、能量、信息、资金等国土空间要素的流动无处不在；另一方面，地理流是形成和改变资源空间分布的原因。因此，分析地理流对于深入理解资源空间分布的原因、空间交互关系的机制及时空过程的驱动力具有重要意义。随着大数据时代传感器、网络和定位技术的发展，不同来源的地理流被记录形成多源流大数据，为解析地理格局及其形成机理提供了重要素材。然而，多源流大数据表现为海量记录、结构特殊、时空耦合、多元交互等特征，对传统以欧氏空间为核心、以矢量计算为主导的地理信息分析思路和技术提出了严峻挑战，进而导致在对流的分析中缺乏理论框架支持，在计算中缺少高效处理技术与平台，制约了其在国土空间规划、资源要素动态监测、智慧城市建设、公共设施效率评价、公共卫生安全与风险评估等领域的深入应用。因此，亟需攻克多源流大数据分析的前沿方法与关键技术。针对这一重大需求，项目组以地理流高效计算技术为主线展开攻关，取得了以下成果：</w:t>
      </w:r>
    </w:p>
    <w:p w14:paraId="75D16A99">
      <w:pPr>
        <w:spacing w:after="0"/>
        <w:ind w:firstLine="480" w:firstLineChars="200"/>
        <w:jc w:val="both"/>
        <w:rPr>
          <w:rFonts w:ascii="Times New Roman" w:hAnsi="Times New Roman" w:eastAsia="宋体"/>
          <w:bCs/>
          <w:sz w:val="24"/>
        </w:rPr>
      </w:pPr>
      <w:r>
        <w:rPr>
          <w:rFonts w:hint="eastAsia" w:ascii="Times New Roman" w:hAnsi="Times New Roman" w:eastAsia="宋体"/>
          <w:bCs/>
          <w:sz w:val="24"/>
        </w:rPr>
        <w:t>1、针对流数据的特殊结构、时空耦合，突破了传统欧氏空间的认知局限，提出了地理流空间分析框架，建立了流模式分类体系，构建了多源流“异质分析—模式挖掘—模拟预测”方法体系，奠定了多源流分析和应用的基础。</w:t>
      </w:r>
    </w:p>
    <w:p w14:paraId="57E05062">
      <w:pPr>
        <w:spacing w:after="0"/>
        <w:ind w:firstLine="480" w:firstLineChars="200"/>
        <w:jc w:val="both"/>
        <w:rPr>
          <w:rFonts w:ascii="Times New Roman" w:hAnsi="Times New Roman" w:eastAsia="宋体"/>
          <w:bCs/>
          <w:sz w:val="24"/>
        </w:rPr>
      </w:pPr>
      <w:r>
        <w:rPr>
          <w:rFonts w:hint="eastAsia" w:ascii="Times New Roman" w:hAnsi="Times New Roman" w:eastAsia="宋体"/>
          <w:bCs/>
          <w:sz w:val="24"/>
        </w:rPr>
        <w:t>2、针对超大规模多源地理流数据的高效计算，突破了流数据在索引查询、计算复杂度、可视化分析三方面的瓶颈，研发了适合流分布特性的深度快速索引、基于嵌套矩阵内积的分布式高效算子以及多元映射框架下的流动态交互可视化等技术，实现了TB级多源流大数据秒级响应分析。</w:t>
      </w:r>
    </w:p>
    <w:p w14:paraId="35CF7B3C">
      <w:pPr>
        <w:spacing w:after="0"/>
        <w:ind w:firstLine="480" w:firstLineChars="200"/>
        <w:jc w:val="both"/>
        <w:rPr>
          <w:rFonts w:ascii="Times New Roman" w:hAnsi="Times New Roman" w:eastAsia="宋体"/>
          <w:bCs/>
          <w:sz w:val="24"/>
        </w:rPr>
      </w:pPr>
      <w:r>
        <w:rPr>
          <w:rFonts w:hint="eastAsia" w:ascii="Times New Roman" w:hAnsi="Times New Roman" w:eastAsia="宋体"/>
          <w:bCs/>
          <w:sz w:val="24"/>
        </w:rPr>
        <w:t>3、研发了“多源时空流大数据模式挖掘与计算系统”，集成交通流、人群流、信息流、知识流和资源流等5大类多源流大数据产品集和40种地理流分析算法模型，实现了集“数据、算法、算力”为一体的多源流大数据计算引擎。</w:t>
      </w:r>
    </w:p>
    <w:p w14:paraId="039CA7D1">
      <w:pPr>
        <w:ind w:firstLine="480" w:firstLineChars="200"/>
        <w:jc w:val="both"/>
        <w:rPr>
          <w:rFonts w:ascii="Times New Roman" w:hAnsi="Times New Roman" w:eastAsia="宋体"/>
          <w:bCs/>
          <w:sz w:val="24"/>
        </w:rPr>
      </w:pPr>
      <w:r>
        <w:rPr>
          <w:rFonts w:hint="eastAsia" w:ascii="Times New Roman" w:hAnsi="Times New Roman" w:eastAsia="宋体"/>
          <w:bCs/>
          <w:sz w:val="24"/>
        </w:rPr>
        <w:t>项目在Nature Cities、Nature Communications、Science Advances等刊物上发表论文101篇，其中子刊5篇，出版专著4部，获发明专利15项，软件著作权3项，6份咨询报告被采纳，其中2份被国家领导人批示。“地理流空间分析理论与重大应用”被评为2024年度“中国地理科学十大研究进展”。项目成果成功应用于京津冀协同发展与产业要素流动、资源勘查多源信息关联与找矿潜力评估、北京市微中心建设与减量发展效果评估、青藏高原生态区保护评价、新冠疫情暴发病例估计、全国主要商圈活力及客流推测等方面，有力支撑了中央有关部门、自然资源部、民政部、商务部、工信部、人社部等部门的工作部署和地方政府决策，产生了显著社会经济效益。</w:t>
      </w:r>
    </w:p>
    <w:p w14:paraId="5DC79B7B">
      <w:pPr>
        <w:jc w:val="both"/>
        <w:rPr>
          <w:rFonts w:hint="eastAsia" w:ascii="宋体" w:hAnsi="宋体" w:eastAsia="宋体"/>
          <w:b/>
          <w:sz w:val="28"/>
          <w:szCs w:val="28"/>
        </w:rPr>
      </w:pPr>
      <w:r>
        <w:rPr>
          <w:rFonts w:hint="eastAsia" w:ascii="宋体" w:hAnsi="宋体" w:eastAsia="宋体"/>
          <w:b/>
          <w:sz w:val="28"/>
          <w:szCs w:val="28"/>
        </w:rPr>
        <w:t>四、客观评价</w:t>
      </w:r>
    </w:p>
    <w:p w14:paraId="2D8A5F18">
      <w:pPr>
        <w:ind w:firstLine="482" w:firstLineChars="200"/>
        <w:jc w:val="both"/>
        <w:rPr>
          <w:rFonts w:ascii="Times New Roman" w:hAnsi="Times New Roman" w:eastAsia="宋体" w:cs="Times New Roman"/>
          <w:b/>
          <w:sz w:val="24"/>
        </w:rPr>
      </w:pPr>
      <w:bookmarkStart w:id="0" w:name="_Hlk239984635"/>
      <w:r>
        <w:rPr>
          <w:rFonts w:ascii="Times New Roman" w:hAnsi="Times New Roman" w:eastAsia="宋体" w:cs="Times New Roman"/>
          <w:b/>
          <w:sz w:val="24"/>
        </w:rPr>
        <w:t>1.</w:t>
      </w:r>
      <w:r>
        <w:rPr>
          <w:rFonts w:hint="eastAsia" w:ascii="Times New Roman" w:hAnsi="Times New Roman" w:eastAsia="宋体" w:cs="Times New Roman"/>
          <w:b/>
          <w:sz w:val="24"/>
        </w:rPr>
        <w:t xml:space="preserve"> </w:t>
      </w:r>
      <w:r>
        <w:rPr>
          <w:rFonts w:ascii="Times New Roman" w:hAnsi="Times New Roman" w:eastAsia="宋体" w:cs="Times New Roman"/>
          <w:b/>
          <w:sz w:val="24"/>
        </w:rPr>
        <w:t>项目验收意见</w:t>
      </w:r>
    </w:p>
    <w:p w14:paraId="57E2266B">
      <w:pPr>
        <w:spacing w:after="0"/>
        <w:ind w:firstLine="480" w:firstLineChars="200"/>
        <w:jc w:val="both"/>
        <w:rPr>
          <w:rFonts w:ascii="Times New Roman" w:hAnsi="Times New Roman" w:eastAsia="宋体" w:cs="Times New Roman"/>
          <w:bCs/>
          <w:sz w:val="24"/>
        </w:rPr>
      </w:pPr>
      <w:r>
        <w:rPr>
          <w:rFonts w:hint="eastAsia" w:ascii="Times New Roman" w:hAnsi="Times New Roman" w:eastAsia="宋体" w:cs="Times New Roman"/>
          <w:bCs/>
          <w:sz w:val="24"/>
        </w:rPr>
        <w:t>第一完成人以地理流为核心成果的杰出青年基金项目，结题时被评为优秀（优秀率仅为20%），相关的理论与应用成果被收录于国家自然科学基金项目优秀成果选编（七）。</w:t>
      </w:r>
    </w:p>
    <w:p w14:paraId="1CC09F95">
      <w:pPr>
        <w:spacing w:after="0"/>
        <w:ind w:firstLine="480" w:firstLineChars="200"/>
        <w:jc w:val="both"/>
        <w:rPr>
          <w:rFonts w:hint="eastAsia" w:ascii="宋体" w:hAnsi="宋体" w:eastAsia="宋体"/>
          <w:bCs/>
          <w:sz w:val="24"/>
        </w:rPr>
      </w:pPr>
      <w:r>
        <w:rPr>
          <w:rFonts w:ascii="Times New Roman" w:hAnsi="Times New Roman" w:eastAsia="宋体" w:cs="Times New Roman"/>
          <w:bCs/>
          <w:sz w:val="24"/>
        </w:rPr>
        <w:t>地球观测与导航重点专项管理办公室组织专家组对</w:t>
      </w:r>
      <w:r>
        <w:rPr>
          <w:rFonts w:hint="eastAsia" w:ascii="Times New Roman" w:hAnsi="Times New Roman" w:eastAsia="宋体" w:cs="Times New Roman"/>
          <w:bCs/>
          <w:sz w:val="24"/>
        </w:rPr>
        <w:t>支撑项目国家重点研发计划项目“地理大数据挖掘与时空模式发现”</w:t>
      </w:r>
      <w:r>
        <w:rPr>
          <w:rFonts w:ascii="Times New Roman" w:hAnsi="Times New Roman" w:eastAsia="宋体" w:cs="Times New Roman"/>
          <w:bCs/>
          <w:sz w:val="24"/>
        </w:rPr>
        <w:t>成果的总体水平进行了综合绩效评价，评价意见指出</w:t>
      </w:r>
      <w:r>
        <w:rPr>
          <w:rFonts w:hint="eastAsia" w:ascii="Times New Roman" w:hAnsi="Times New Roman" w:eastAsia="宋体" w:cs="Times New Roman"/>
          <w:bCs/>
          <w:sz w:val="24"/>
        </w:rPr>
        <w:t>：“</w:t>
      </w:r>
      <w:r>
        <w:rPr>
          <w:rFonts w:ascii="Times New Roman" w:hAnsi="Times New Roman" w:eastAsia="宋体" w:cs="Times New Roman"/>
          <w:bCs/>
          <w:sz w:val="24"/>
        </w:rPr>
        <w:t>项目在</w:t>
      </w:r>
      <w:r>
        <w:rPr>
          <w:rFonts w:hint="eastAsia" w:ascii="宋体" w:hAnsi="宋体" w:eastAsia="宋体"/>
          <w:bCs/>
          <w:sz w:val="24"/>
        </w:rPr>
        <w:t>……</w:t>
      </w:r>
      <w:r>
        <w:rPr>
          <w:rFonts w:ascii="Times New Roman" w:hAnsi="Times New Roman" w:eastAsia="宋体" w:cs="Times New Roman"/>
          <w:bCs/>
          <w:sz w:val="24"/>
        </w:rPr>
        <w:t>多元流异质性认知与解析</w:t>
      </w:r>
      <w:r>
        <w:rPr>
          <w:rFonts w:hint="eastAsia" w:ascii="宋体" w:hAnsi="宋体" w:eastAsia="宋体"/>
          <w:bCs/>
          <w:sz w:val="24"/>
        </w:rPr>
        <w:t>理论、……融合行为大数据呼吸道传染风险与预测模型等方面取得创新性成果，在……城市规划与管理、重大传染病疫情分析与防控、生态环境保护等方面得到示范应用。”</w:t>
      </w:r>
    </w:p>
    <w:p w14:paraId="31A0059B">
      <w:pPr>
        <w:ind w:firstLine="480" w:firstLineChars="200"/>
        <w:jc w:val="both"/>
        <w:rPr>
          <w:rFonts w:hint="eastAsia" w:ascii="宋体" w:hAnsi="宋体" w:eastAsia="宋体"/>
          <w:bCs/>
          <w:sz w:val="24"/>
        </w:rPr>
      </w:pPr>
      <w:r>
        <w:rPr>
          <w:rFonts w:hint="eastAsia" w:ascii="宋体" w:hAnsi="宋体" w:eastAsia="宋体"/>
          <w:bCs/>
          <w:sz w:val="24"/>
        </w:rPr>
        <w:t>专家组对支撑项目“</w:t>
      </w:r>
      <w:r>
        <w:rPr>
          <w:rFonts w:hint="eastAsia" w:ascii="Times New Roman" w:hAnsi="Times New Roman" w:eastAsia="宋体" w:cs="Times New Roman"/>
          <w:bCs/>
          <w:sz w:val="24"/>
        </w:rPr>
        <w:t>地理大数据挖掘与时空模式发现</w:t>
      </w:r>
      <w:r>
        <w:rPr>
          <w:rFonts w:hint="eastAsia" w:ascii="宋体" w:hAnsi="宋体" w:eastAsia="宋体"/>
          <w:bCs/>
          <w:sz w:val="24"/>
        </w:rPr>
        <w:t>”的具体成果“地理大数据多元流协同计算”进行了评价鉴定，意见指出：“在地理流的异质性判别与模式挖掘、地理大数据智能解析与计算……等方面取得了系列创新性成果，所研制的原型系统已成功应用于新冠疫情防控及智慧城市建设，为全国及地方新冠疫情防控、首都北京减量发展评价提供了科学依据。”</w:t>
      </w:r>
    </w:p>
    <w:p w14:paraId="00851717">
      <w:pPr>
        <w:ind w:firstLine="482" w:firstLineChars="200"/>
        <w:jc w:val="both"/>
        <w:rPr>
          <w:rFonts w:ascii="Times New Roman" w:hAnsi="Times New Roman" w:eastAsia="宋体" w:cs="Times New Roman"/>
          <w:b/>
          <w:sz w:val="24"/>
        </w:rPr>
      </w:pPr>
      <w:r>
        <w:rPr>
          <w:rFonts w:hint="eastAsia" w:ascii="Times New Roman" w:hAnsi="Times New Roman" w:eastAsia="宋体" w:cs="Times New Roman"/>
          <w:b/>
          <w:sz w:val="24"/>
        </w:rPr>
        <w:t>2</w:t>
      </w:r>
      <w:r>
        <w:rPr>
          <w:rFonts w:ascii="Times New Roman" w:hAnsi="Times New Roman" w:eastAsia="宋体" w:cs="Times New Roman"/>
          <w:b/>
          <w:sz w:val="24"/>
        </w:rPr>
        <w:t>.</w:t>
      </w:r>
      <w:r>
        <w:rPr>
          <w:rFonts w:hint="eastAsia" w:ascii="Times New Roman" w:hAnsi="Times New Roman" w:eastAsia="宋体" w:cs="Times New Roman"/>
          <w:b/>
          <w:sz w:val="24"/>
        </w:rPr>
        <w:t xml:space="preserve"> 同行学术评价</w:t>
      </w:r>
    </w:p>
    <w:p w14:paraId="2346347B">
      <w:pPr>
        <w:spacing w:after="0"/>
        <w:ind w:firstLine="480" w:firstLineChars="200"/>
        <w:jc w:val="both"/>
        <w:rPr>
          <w:rFonts w:ascii="Times New Roman" w:hAnsi="Times New Roman" w:eastAsia="宋体" w:cs="Times New Roman"/>
          <w:bCs/>
          <w:sz w:val="24"/>
        </w:rPr>
      </w:pPr>
      <w:r>
        <w:rPr>
          <w:rFonts w:ascii="Times New Roman" w:hAnsi="Times New Roman" w:eastAsia="宋体" w:cs="Times New Roman"/>
          <w:bCs/>
          <w:sz w:val="24"/>
        </w:rPr>
        <w:t>项目提出的地理流空间分析方法体系在地理信息科学领域顶级期刊IJGIS上形成系列论文，获国内外同行高度评价。</w:t>
      </w:r>
      <w:r>
        <w:rPr>
          <w:rFonts w:hint="eastAsia" w:ascii="Times New Roman" w:hAnsi="Times New Roman" w:eastAsia="宋体" w:cs="Times New Roman"/>
          <w:bCs/>
          <w:sz w:val="24"/>
        </w:rPr>
        <w:t>中国科学院院士龚健雅教授和中国工程院院士李清泉教授评价流的空间扫描方法能够“高效挖掘有意义的流模式”；</w:t>
      </w:r>
      <w:r>
        <w:rPr>
          <w:rFonts w:ascii="Times New Roman" w:hAnsi="Times New Roman" w:eastAsia="宋体" w:cs="Times New Roman"/>
          <w:bCs/>
          <w:sz w:val="24"/>
        </w:rPr>
        <w:t>世界科学院院士、香港中文大学关美宝教授在其文章中多次引用流的L函数、密度分解及空间扫描等方法，认为其能够</w:t>
      </w:r>
      <w:r>
        <w:rPr>
          <w:rFonts w:hint="eastAsia" w:ascii="Times New Roman" w:hAnsi="Times New Roman" w:eastAsia="宋体" w:cs="Times New Roman"/>
          <w:bCs/>
          <w:sz w:val="24"/>
        </w:rPr>
        <w:t>“</w:t>
      </w:r>
      <w:r>
        <w:rPr>
          <w:rFonts w:ascii="Times New Roman" w:hAnsi="Times New Roman" w:eastAsia="宋体" w:cs="Times New Roman"/>
          <w:bCs/>
          <w:sz w:val="24"/>
        </w:rPr>
        <w:t>探测流的聚集尺度</w:t>
      </w:r>
      <w:r>
        <w:rPr>
          <w:rFonts w:hint="eastAsia" w:ascii="Times New Roman" w:hAnsi="Times New Roman" w:eastAsia="宋体" w:cs="Times New Roman"/>
          <w:bCs/>
          <w:sz w:val="24"/>
        </w:rPr>
        <w:t>”“</w:t>
      </w:r>
      <w:r>
        <w:rPr>
          <w:rFonts w:ascii="Times New Roman" w:hAnsi="Times New Roman" w:eastAsia="宋体" w:cs="Times New Roman"/>
          <w:bCs/>
          <w:sz w:val="24"/>
        </w:rPr>
        <w:t>挖掘流的丛集模式</w:t>
      </w:r>
      <w:r>
        <w:rPr>
          <w:rFonts w:hint="eastAsia" w:ascii="Times New Roman" w:hAnsi="Times New Roman" w:eastAsia="宋体" w:cs="Times New Roman"/>
          <w:bCs/>
          <w:sz w:val="24"/>
        </w:rPr>
        <w:t>”；</w:t>
      </w:r>
      <w:r>
        <w:rPr>
          <w:rFonts w:ascii="Times New Roman" w:hAnsi="Times New Roman" w:eastAsia="宋体" w:cs="Times New Roman"/>
          <w:bCs/>
          <w:sz w:val="24"/>
        </w:rPr>
        <w:t>教育部长江学者讲座教授、香港大学黄波教授在IJGIS发文</w:t>
      </w:r>
      <w:r>
        <w:rPr>
          <w:rFonts w:hint="eastAsia" w:ascii="Times New Roman" w:hAnsi="Times New Roman" w:eastAsia="宋体" w:cs="Times New Roman"/>
          <w:bCs/>
          <w:sz w:val="24"/>
        </w:rPr>
        <w:t>认为</w:t>
      </w:r>
      <w:r>
        <w:rPr>
          <w:rFonts w:ascii="Times New Roman" w:hAnsi="Times New Roman" w:eastAsia="宋体" w:cs="Times New Roman"/>
          <w:bCs/>
          <w:sz w:val="24"/>
        </w:rPr>
        <w:t>地理流空间</w:t>
      </w:r>
      <w:r>
        <w:rPr>
          <w:rFonts w:hint="eastAsia" w:ascii="Times New Roman" w:hAnsi="Times New Roman" w:eastAsia="宋体" w:cs="Times New Roman"/>
          <w:bCs/>
          <w:sz w:val="24"/>
        </w:rPr>
        <w:t>概念特殊高维特征的原创性</w:t>
      </w:r>
      <w:r>
        <w:rPr>
          <w:rFonts w:ascii="Times New Roman" w:hAnsi="Times New Roman" w:eastAsia="宋体" w:cs="Times New Roman"/>
          <w:bCs/>
          <w:sz w:val="24"/>
        </w:rPr>
        <w:t>；地理信息领域权威期刊CEUS前主编Jean-Claude Thill教授</w:t>
      </w:r>
      <w:r>
        <w:rPr>
          <w:rFonts w:hint="eastAsia" w:ascii="Times New Roman" w:hAnsi="Times New Roman" w:eastAsia="宋体" w:cs="Times New Roman"/>
          <w:bCs/>
          <w:sz w:val="24"/>
        </w:rPr>
        <w:t>正面评价</w:t>
      </w:r>
      <w:r>
        <w:rPr>
          <w:rFonts w:ascii="Times New Roman" w:hAnsi="Times New Roman" w:eastAsia="宋体" w:cs="Times New Roman"/>
          <w:bCs/>
          <w:sz w:val="24"/>
        </w:rPr>
        <w:t>项目提出的流模式挖掘系列方法</w:t>
      </w:r>
      <w:r>
        <w:rPr>
          <w:rFonts w:hint="eastAsia" w:ascii="Times New Roman" w:hAnsi="Times New Roman" w:eastAsia="宋体" w:cs="Times New Roman"/>
          <w:bCs/>
          <w:sz w:val="24"/>
        </w:rPr>
        <w:t>“</w:t>
      </w:r>
      <w:r>
        <w:rPr>
          <w:rFonts w:ascii="Times New Roman" w:hAnsi="Times New Roman" w:eastAsia="宋体" w:cs="Times New Roman"/>
          <w:bCs/>
          <w:sz w:val="24"/>
        </w:rPr>
        <w:t>促进了新的理论发展</w:t>
      </w:r>
      <w:r>
        <w:rPr>
          <w:rFonts w:hint="eastAsia" w:ascii="Times New Roman" w:hAnsi="Times New Roman" w:eastAsia="宋体" w:cs="Times New Roman"/>
          <w:bCs/>
          <w:sz w:val="24"/>
        </w:rPr>
        <w:t>”</w:t>
      </w:r>
      <w:r>
        <w:rPr>
          <w:rFonts w:ascii="Times New Roman" w:hAnsi="Times New Roman" w:eastAsia="宋体" w:cs="Times New Roman"/>
          <w:bCs/>
          <w:sz w:val="24"/>
        </w:rPr>
        <w:t>；美国地理学会</w:t>
      </w:r>
      <w:r>
        <w:rPr>
          <w:rFonts w:hint="eastAsia" w:ascii="Times New Roman" w:hAnsi="Times New Roman" w:eastAsia="宋体" w:cs="Times New Roman"/>
          <w:bCs/>
          <w:sz w:val="24"/>
        </w:rPr>
        <w:t>会士</w:t>
      </w:r>
      <w:r>
        <w:rPr>
          <w:rFonts w:ascii="Times New Roman" w:hAnsi="Times New Roman" w:eastAsia="宋体" w:cs="Times New Roman"/>
          <w:bCs/>
          <w:sz w:val="24"/>
        </w:rPr>
        <w:t>叶信岳教授在其文章中多达5次正面引用流的I-index，评价其</w:t>
      </w:r>
      <w:r>
        <w:rPr>
          <w:rFonts w:hint="eastAsia" w:ascii="Times New Roman" w:hAnsi="Times New Roman" w:eastAsia="宋体" w:cs="Times New Roman"/>
          <w:bCs/>
          <w:sz w:val="24"/>
        </w:rPr>
        <w:t>“</w:t>
      </w:r>
      <w:r>
        <w:rPr>
          <w:rFonts w:ascii="Times New Roman" w:hAnsi="Times New Roman" w:eastAsia="宋体" w:cs="Times New Roman"/>
          <w:bCs/>
          <w:sz w:val="24"/>
        </w:rPr>
        <w:t>能够有效量化地点的不可替代性</w:t>
      </w:r>
      <w:r>
        <w:rPr>
          <w:rFonts w:hint="eastAsia" w:ascii="Times New Roman" w:hAnsi="Times New Roman" w:eastAsia="宋体" w:cs="Times New Roman"/>
          <w:bCs/>
          <w:sz w:val="24"/>
        </w:rPr>
        <w:t>”</w:t>
      </w:r>
      <w:r>
        <w:rPr>
          <w:rFonts w:ascii="Times New Roman" w:hAnsi="Times New Roman" w:eastAsia="宋体" w:cs="Times New Roman"/>
          <w:bCs/>
          <w:sz w:val="24"/>
        </w:rPr>
        <w:t>。</w:t>
      </w:r>
    </w:p>
    <w:p w14:paraId="1B94638D">
      <w:pPr>
        <w:spacing w:after="0"/>
        <w:ind w:firstLine="480" w:firstLineChars="200"/>
        <w:jc w:val="both"/>
        <w:rPr>
          <w:rFonts w:ascii="Times New Roman" w:hAnsi="Times New Roman" w:eastAsia="宋体" w:cs="Times New Roman"/>
          <w:bCs/>
          <w:sz w:val="24"/>
        </w:rPr>
      </w:pPr>
      <w:r>
        <w:rPr>
          <w:rFonts w:hint="eastAsia" w:ascii="Times New Roman" w:hAnsi="Times New Roman" w:eastAsia="宋体" w:cs="Times New Roman"/>
          <w:bCs/>
          <w:sz w:val="24"/>
        </w:rPr>
        <w:t>针对人口流动要素的获取，项目组基于地理流模拟预测方法，实现由静态地表空间环境信息对动态人口OD流的推断，相关成果发表于Nature Communications。Nature正刊评述文章将该成果作为利用卫星影像拓展人类流动模式提取的代表性研究，并指出该研究对于提升全球人口流动特征的时空覆盖和空间分辨率具有重要价值；欧洲科学院院士Frank Witlox教授将该成果作为缺乏历史流数据条件下生成OD流的重要技术路径，并指出利用卫星影像能够实现地理流的及时、低成本推断。</w:t>
      </w:r>
    </w:p>
    <w:p w14:paraId="622F5379">
      <w:pPr>
        <w:spacing w:after="0"/>
        <w:ind w:firstLine="480" w:firstLineChars="200"/>
        <w:jc w:val="both"/>
        <w:rPr>
          <w:rFonts w:ascii="Times New Roman" w:hAnsi="Times New Roman" w:eastAsia="宋体" w:cs="Times New Roman"/>
          <w:bCs/>
          <w:sz w:val="24"/>
        </w:rPr>
      </w:pPr>
      <w:r>
        <w:rPr>
          <w:rFonts w:hint="eastAsia" w:ascii="Times New Roman" w:hAnsi="Times New Roman" w:eastAsia="宋体" w:cs="Times New Roman"/>
          <w:bCs/>
          <w:sz w:val="24"/>
        </w:rPr>
        <w:t>针对城市人口流动与国土空间结构的动态交互，项目组基于地理流的空间方向性，揭示城市人口流动的单中心、多中心等空间组织模式及其动态变化规律，相关成果发表于Nature Communications，入选该刊2024年度 TOP 25论文。中国科学院院士叶嘉安教授评价其为利用手机信令大数据揭示人类移动规律的代表性成果；中国工程院院士郭仁忠教授高度评价该成果揭示的城市流动方向特征，并认为论文提出的地理流交互特征提取方法是研究城市空间结构的基础。</w:t>
      </w:r>
    </w:p>
    <w:p w14:paraId="323A9A53">
      <w:pPr>
        <w:spacing w:after="0"/>
        <w:ind w:firstLine="480" w:firstLineChars="200"/>
        <w:jc w:val="both"/>
        <w:rPr>
          <w:rFonts w:ascii="Times New Roman" w:hAnsi="Times New Roman" w:eastAsia="宋体" w:cs="Times New Roman"/>
          <w:bCs/>
          <w:sz w:val="24"/>
        </w:rPr>
      </w:pPr>
      <w:r>
        <w:rPr>
          <w:rFonts w:hint="eastAsia" w:ascii="Times New Roman" w:hAnsi="Times New Roman" w:eastAsia="宋体" w:cs="Times New Roman"/>
          <w:bCs/>
          <w:sz w:val="24"/>
        </w:rPr>
        <w:t>针对城市生态空间资源配置的评价，项目组将居民实际出行流引入绿地可达性分析中，揭示了老年群体城市公园资源可达性的空间不均衡，相关成果发表于Landscape and Urban Planning，被同行引用235次，入选ESI高被引论文。英国社会科学院院士何深静教授将该研究列为城市绿色空间可达性精细化测度的代表性成果；Landscape and Urban Planning主编、国家杰出青年科学基金获得者周伟奇教授在医疗设施可达性研究中多次引用该成果，并借鉴其提出的方法开展医疗公共服务资源评价，体现了地理流方法在城市公共资源空间配置评价中的普适性。</w:t>
      </w:r>
    </w:p>
    <w:p w14:paraId="139DA894">
      <w:pPr>
        <w:spacing w:after="0"/>
        <w:ind w:firstLine="480" w:firstLineChars="200"/>
        <w:jc w:val="both"/>
        <w:rPr>
          <w:rFonts w:ascii="Times New Roman" w:hAnsi="Times New Roman" w:eastAsia="宋体" w:cs="Times New Roman"/>
          <w:bCs/>
          <w:sz w:val="24"/>
        </w:rPr>
      </w:pPr>
      <w:r>
        <w:rPr>
          <w:rFonts w:hint="eastAsia" w:ascii="Times New Roman" w:hAnsi="Times New Roman" w:eastAsia="宋体" w:cs="Times New Roman"/>
          <w:bCs/>
          <w:sz w:val="24"/>
        </w:rPr>
        <w:t>针对气候变化背景下高温热浪事件的演化规律，项目组利用地理流分析方法量化其方向性、移动距离与生命周期间的关系，相关成果发表于Science Advances，被中国科学报、美联社、纽约时报等数十个国家的近百家媒体转载或报道。澳大利亚科学院院士Michael R. Kearney教授在Science正刊的研究长文中肯定了项目利用流分析方法所得结论“人类活动导致大尺度连续热浪移动减速”的原创性。在热浪移动研究的基础上，项目组进一步将地理流的方法拓展至刻画冷暖极端之间的快速转换，结合大气环流驱动的冷暖气团流动过程，揭示了全球变暖背景下温度骤变事件导致的流的时空格局与动态演变规律，相关成果发表于Nature Communications。中国工程院院士吴志强教授评价其为极端温度波动与快速转换的代表性成果；中国科学院外籍院士陈德亮教授评价地理流分析方法所揭示的“气候变率增强”是极端气候事件频率和强度增加的重要原因。</w:t>
      </w:r>
      <w:bookmarkEnd w:id="0"/>
      <w:r>
        <w:rPr>
          <w:rFonts w:hint="eastAsia" w:ascii="Times New Roman" w:hAnsi="Times New Roman" w:eastAsia="宋体" w:cs="Times New Roman"/>
          <w:bCs/>
          <w:sz w:val="24"/>
        </w:rPr>
        <w:t>这些评价证实了地理流在分析气温冷暖转换中的关键作用。</w:t>
      </w:r>
    </w:p>
    <w:p w14:paraId="4796224A">
      <w:pPr>
        <w:jc w:val="both"/>
        <w:rPr>
          <w:rFonts w:hint="eastAsia" w:ascii="宋体" w:hAnsi="宋体" w:eastAsia="宋体"/>
          <w:b/>
          <w:sz w:val="28"/>
          <w:szCs w:val="28"/>
        </w:rPr>
      </w:pPr>
      <w:r>
        <w:rPr>
          <w:rFonts w:hint="eastAsia" w:ascii="宋体" w:hAnsi="宋体" w:eastAsia="宋体"/>
          <w:b/>
          <w:sz w:val="28"/>
          <w:szCs w:val="28"/>
        </w:rPr>
        <w:t>五、代表性论文专著目录</w:t>
      </w:r>
    </w:p>
    <w:tbl>
      <w:tblPr>
        <w:tblStyle w:val="19"/>
        <w:tblW w:w="8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2028"/>
        <w:gridCol w:w="2405"/>
        <w:gridCol w:w="2567"/>
        <w:gridCol w:w="1085"/>
      </w:tblGrid>
      <w:tr w14:paraId="68EF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6CC06CB">
            <w:pPr>
              <w:snapToGrid w:val="0"/>
              <w:jc w:val="center"/>
              <w:rPr>
                <w:rFonts w:ascii="Times New Roman" w:hAnsi="Times New Roman" w:eastAsia="宋体"/>
                <w:b/>
                <w:szCs w:val="22"/>
              </w:rPr>
            </w:pPr>
            <w:r>
              <w:rPr>
                <w:rFonts w:ascii="Times New Roman" w:hAnsi="Times New Roman" w:eastAsia="宋体"/>
                <w:b/>
                <w:szCs w:val="22"/>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0C2D9A2D">
            <w:pPr>
              <w:snapToGrid w:val="0"/>
              <w:jc w:val="center"/>
              <w:rPr>
                <w:rFonts w:ascii="Times New Roman" w:hAnsi="Times New Roman" w:eastAsia="宋体"/>
                <w:b/>
                <w:szCs w:val="22"/>
              </w:rPr>
            </w:pPr>
            <w:r>
              <w:rPr>
                <w:rFonts w:ascii="Times New Roman" w:hAnsi="Times New Roman" w:eastAsia="宋体"/>
                <w:b/>
                <w:szCs w:val="22"/>
              </w:rPr>
              <w:t>论文专著名称</w:t>
            </w:r>
          </w:p>
        </w:tc>
        <w:tc>
          <w:tcPr>
            <w:tcW w:w="2404" w:type="dxa"/>
            <w:tcBorders>
              <w:top w:val="single" w:color="auto" w:sz="4" w:space="0"/>
              <w:left w:val="single" w:color="auto" w:sz="4" w:space="0"/>
              <w:bottom w:val="single" w:color="auto" w:sz="4" w:space="0"/>
              <w:right w:val="single" w:color="auto" w:sz="4" w:space="0"/>
            </w:tcBorders>
            <w:vAlign w:val="center"/>
          </w:tcPr>
          <w:p w14:paraId="4C8070B6">
            <w:pPr>
              <w:snapToGrid w:val="0"/>
              <w:jc w:val="center"/>
              <w:rPr>
                <w:rFonts w:ascii="Times New Roman" w:hAnsi="Times New Roman" w:eastAsia="宋体"/>
                <w:b/>
                <w:szCs w:val="22"/>
              </w:rPr>
            </w:pPr>
            <w:r>
              <w:rPr>
                <w:rFonts w:ascii="Times New Roman" w:hAnsi="Times New Roman" w:eastAsia="宋体"/>
                <w:b/>
                <w:szCs w:val="22"/>
              </w:rPr>
              <w:t>刊名</w:t>
            </w:r>
          </w:p>
        </w:tc>
        <w:tc>
          <w:tcPr>
            <w:tcW w:w="0" w:type="auto"/>
            <w:tcBorders>
              <w:top w:val="single" w:color="auto" w:sz="4" w:space="0"/>
              <w:left w:val="single" w:color="auto" w:sz="4" w:space="0"/>
              <w:bottom w:val="single" w:color="auto" w:sz="4" w:space="0"/>
              <w:right w:val="single" w:color="auto" w:sz="4" w:space="0"/>
            </w:tcBorders>
            <w:vAlign w:val="center"/>
          </w:tcPr>
          <w:p w14:paraId="7670D114">
            <w:pPr>
              <w:snapToGrid w:val="0"/>
              <w:jc w:val="center"/>
              <w:rPr>
                <w:rFonts w:ascii="Times New Roman" w:hAnsi="Times New Roman" w:eastAsia="宋体"/>
                <w:b/>
                <w:szCs w:val="22"/>
              </w:rPr>
            </w:pPr>
            <w:r>
              <w:rPr>
                <w:rFonts w:ascii="Times New Roman" w:hAnsi="Times New Roman" w:eastAsia="宋体"/>
                <w:b/>
                <w:szCs w:val="22"/>
              </w:rPr>
              <w:t>作者</w:t>
            </w:r>
          </w:p>
        </w:tc>
        <w:tc>
          <w:tcPr>
            <w:tcW w:w="0" w:type="auto"/>
            <w:tcBorders>
              <w:top w:val="single" w:color="auto" w:sz="4" w:space="0"/>
              <w:left w:val="single" w:color="auto" w:sz="4" w:space="0"/>
              <w:bottom w:val="single" w:color="auto" w:sz="4" w:space="0"/>
              <w:right w:val="single" w:color="auto" w:sz="4" w:space="0"/>
            </w:tcBorders>
            <w:vAlign w:val="center"/>
          </w:tcPr>
          <w:p w14:paraId="6111D9BC">
            <w:pPr>
              <w:snapToGrid w:val="0"/>
              <w:jc w:val="center"/>
              <w:rPr>
                <w:rFonts w:ascii="Times New Roman" w:hAnsi="Times New Roman" w:eastAsia="宋体"/>
                <w:b/>
                <w:szCs w:val="22"/>
              </w:rPr>
            </w:pPr>
            <w:r>
              <w:rPr>
                <w:rFonts w:ascii="Times New Roman" w:hAnsi="Times New Roman" w:eastAsia="宋体"/>
                <w:b/>
                <w:szCs w:val="22"/>
              </w:rPr>
              <w:t>年卷页码</w:t>
            </w:r>
          </w:p>
        </w:tc>
      </w:tr>
      <w:tr w14:paraId="6462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4734FBFF">
            <w:pPr>
              <w:jc w:val="center"/>
              <w:rPr>
                <w:rFonts w:ascii="Times New Roman" w:hAnsi="Times New Roman" w:eastAsia="宋体"/>
                <w:szCs w:val="22"/>
              </w:rPr>
            </w:pPr>
            <w:r>
              <w:rPr>
                <w:rFonts w:hint="eastAsia" w:ascii="Times New Roman" w:hAnsi="Times New Roman" w:eastAsia="宋体"/>
                <w:szCs w:val="22"/>
              </w:rPr>
              <w:t>1</w:t>
            </w:r>
          </w:p>
        </w:tc>
        <w:tc>
          <w:tcPr>
            <w:tcW w:w="0" w:type="auto"/>
            <w:tcBorders>
              <w:top w:val="single" w:color="auto" w:sz="4" w:space="0"/>
              <w:left w:val="single" w:color="auto" w:sz="4" w:space="0"/>
              <w:bottom w:val="single" w:color="auto" w:sz="4" w:space="0"/>
              <w:right w:val="single" w:color="auto" w:sz="4" w:space="0"/>
            </w:tcBorders>
            <w:vAlign w:val="center"/>
          </w:tcPr>
          <w:p w14:paraId="56B45069">
            <w:pPr>
              <w:jc w:val="center"/>
              <w:rPr>
                <w:rFonts w:ascii="Times New Roman" w:hAnsi="Times New Roman" w:eastAsia="宋体"/>
                <w:szCs w:val="22"/>
              </w:rPr>
            </w:pPr>
            <w:r>
              <w:rPr>
                <w:rFonts w:hint="eastAsia" w:ascii="Times New Roman" w:hAnsi="Times New Roman" w:eastAsia="宋体"/>
                <w:szCs w:val="22"/>
              </w:rPr>
              <w:t>Unravelling the spatial directionality of urban mobility</w:t>
            </w:r>
          </w:p>
        </w:tc>
        <w:tc>
          <w:tcPr>
            <w:tcW w:w="2404" w:type="dxa"/>
            <w:tcBorders>
              <w:top w:val="single" w:color="auto" w:sz="4" w:space="0"/>
              <w:left w:val="single" w:color="auto" w:sz="4" w:space="0"/>
              <w:bottom w:val="single" w:color="auto" w:sz="4" w:space="0"/>
              <w:right w:val="single" w:color="auto" w:sz="4" w:space="0"/>
            </w:tcBorders>
            <w:vAlign w:val="center"/>
          </w:tcPr>
          <w:p w14:paraId="5E7D9FC3">
            <w:pPr>
              <w:jc w:val="center"/>
              <w:rPr>
                <w:rFonts w:ascii="Times New Roman" w:hAnsi="Times New Roman" w:eastAsia="宋体"/>
                <w:szCs w:val="22"/>
              </w:rPr>
            </w:pPr>
            <w:r>
              <w:rPr>
                <w:rFonts w:hint="eastAsia" w:ascii="Times New Roman" w:hAnsi="Times New Roman" w:eastAsia="宋体"/>
                <w:szCs w:val="22"/>
              </w:rPr>
              <w:t>Nature Communications</w:t>
            </w:r>
          </w:p>
        </w:tc>
        <w:tc>
          <w:tcPr>
            <w:tcW w:w="0" w:type="auto"/>
            <w:tcBorders>
              <w:top w:val="single" w:color="auto" w:sz="4" w:space="0"/>
              <w:left w:val="single" w:color="auto" w:sz="4" w:space="0"/>
              <w:bottom w:val="single" w:color="auto" w:sz="4" w:space="0"/>
              <w:right w:val="single" w:color="auto" w:sz="4" w:space="0"/>
            </w:tcBorders>
            <w:vAlign w:val="center"/>
          </w:tcPr>
          <w:p w14:paraId="1466F0F5">
            <w:pPr>
              <w:jc w:val="center"/>
              <w:rPr>
                <w:rFonts w:ascii="Times New Roman" w:hAnsi="Times New Roman" w:eastAsia="宋体"/>
                <w:szCs w:val="22"/>
              </w:rPr>
            </w:pPr>
            <w:r>
              <w:rPr>
                <w:rFonts w:hint="eastAsia" w:ascii="Times New Roman" w:hAnsi="Times New Roman" w:eastAsia="宋体"/>
                <w:szCs w:val="22"/>
              </w:rPr>
              <w:t>Zhao Pengjun, Wang Hao, Liu Qiyang, Yan Xiaoyong, Li Jingzhong</w:t>
            </w:r>
          </w:p>
        </w:tc>
        <w:tc>
          <w:tcPr>
            <w:tcW w:w="0" w:type="auto"/>
            <w:tcBorders>
              <w:top w:val="single" w:color="auto" w:sz="4" w:space="0"/>
              <w:left w:val="single" w:color="auto" w:sz="4" w:space="0"/>
              <w:bottom w:val="single" w:color="auto" w:sz="4" w:space="0"/>
              <w:right w:val="single" w:color="auto" w:sz="4" w:space="0"/>
            </w:tcBorders>
            <w:vAlign w:val="center"/>
          </w:tcPr>
          <w:p w14:paraId="4C3696CF">
            <w:pPr>
              <w:jc w:val="center"/>
              <w:rPr>
                <w:rFonts w:ascii="Times New Roman" w:hAnsi="Times New Roman" w:eastAsia="宋体"/>
                <w:szCs w:val="22"/>
              </w:rPr>
            </w:pPr>
            <w:r>
              <w:rPr>
                <w:rFonts w:hint="eastAsia" w:ascii="Times New Roman" w:hAnsi="Times New Roman" w:eastAsia="宋体"/>
                <w:szCs w:val="22"/>
              </w:rPr>
              <w:t>2024年15卷4507</w:t>
            </w:r>
          </w:p>
        </w:tc>
      </w:tr>
      <w:tr w14:paraId="0D41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1A0066E">
            <w:pPr>
              <w:jc w:val="center"/>
              <w:rPr>
                <w:rFonts w:ascii="Times New Roman" w:hAnsi="Times New Roman" w:eastAsia="宋体"/>
                <w:szCs w:val="22"/>
              </w:rPr>
            </w:pPr>
            <w:r>
              <w:rPr>
                <w:rFonts w:hint="eastAsia" w:ascii="Times New Roman" w:hAnsi="Times New Roman" w:eastAsia="宋体"/>
                <w:szCs w:val="22"/>
              </w:rPr>
              <w:t>2</w:t>
            </w:r>
          </w:p>
        </w:tc>
        <w:tc>
          <w:tcPr>
            <w:tcW w:w="0" w:type="auto"/>
            <w:tcBorders>
              <w:top w:val="single" w:color="auto" w:sz="4" w:space="0"/>
              <w:left w:val="single" w:color="auto" w:sz="4" w:space="0"/>
              <w:bottom w:val="single" w:color="auto" w:sz="4" w:space="0"/>
              <w:right w:val="single" w:color="auto" w:sz="4" w:space="0"/>
            </w:tcBorders>
            <w:vAlign w:val="center"/>
          </w:tcPr>
          <w:p w14:paraId="6323890B">
            <w:pPr>
              <w:jc w:val="center"/>
              <w:rPr>
                <w:rFonts w:ascii="Times New Roman" w:hAnsi="Times New Roman" w:eastAsia="宋体"/>
                <w:szCs w:val="22"/>
              </w:rPr>
            </w:pPr>
            <w:r>
              <w:rPr>
                <w:rFonts w:hint="eastAsia" w:ascii="Times New Roman" w:hAnsi="Times New Roman" w:eastAsia="宋体"/>
                <w:szCs w:val="22"/>
              </w:rPr>
              <w:t>Predicting human mobility flows in cities using deep learning on satellite imagery</w:t>
            </w:r>
          </w:p>
        </w:tc>
        <w:tc>
          <w:tcPr>
            <w:tcW w:w="2404" w:type="dxa"/>
            <w:tcBorders>
              <w:top w:val="single" w:color="auto" w:sz="4" w:space="0"/>
              <w:left w:val="single" w:color="auto" w:sz="4" w:space="0"/>
              <w:bottom w:val="single" w:color="auto" w:sz="4" w:space="0"/>
              <w:right w:val="single" w:color="auto" w:sz="4" w:space="0"/>
            </w:tcBorders>
            <w:vAlign w:val="center"/>
          </w:tcPr>
          <w:p w14:paraId="654D5817">
            <w:pPr>
              <w:jc w:val="center"/>
              <w:rPr>
                <w:rFonts w:ascii="Times New Roman" w:hAnsi="Times New Roman" w:eastAsia="宋体"/>
                <w:szCs w:val="22"/>
              </w:rPr>
            </w:pPr>
            <w:r>
              <w:rPr>
                <w:rFonts w:hint="eastAsia" w:ascii="Times New Roman" w:hAnsi="Times New Roman" w:eastAsia="宋体"/>
                <w:szCs w:val="22"/>
              </w:rPr>
              <w:t>Nature Communications</w:t>
            </w:r>
          </w:p>
        </w:tc>
        <w:tc>
          <w:tcPr>
            <w:tcW w:w="0" w:type="auto"/>
            <w:tcBorders>
              <w:top w:val="single" w:color="auto" w:sz="4" w:space="0"/>
              <w:left w:val="single" w:color="auto" w:sz="4" w:space="0"/>
              <w:bottom w:val="single" w:color="auto" w:sz="4" w:space="0"/>
              <w:right w:val="single" w:color="auto" w:sz="4" w:space="0"/>
            </w:tcBorders>
            <w:vAlign w:val="center"/>
          </w:tcPr>
          <w:p w14:paraId="6339562D">
            <w:pPr>
              <w:jc w:val="center"/>
              <w:rPr>
                <w:rFonts w:ascii="Times New Roman" w:hAnsi="Times New Roman" w:eastAsia="宋体"/>
                <w:szCs w:val="22"/>
              </w:rPr>
            </w:pPr>
            <w:r>
              <w:rPr>
                <w:rFonts w:hint="eastAsia" w:ascii="Times New Roman" w:hAnsi="Times New Roman" w:eastAsia="宋体"/>
                <w:szCs w:val="22"/>
              </w:rPr>
              <w:t xml:space="preserve">Xu Yichen, Gao Song, Huang Qunying, </w:t>
            </w:r>
            <w:r>
              <w:rPr>
                <w:rFonts w:ascii="Times New Roman" w:hAnsi="Times New Roman" w:eastAsia="宋体"/>
                <w:szCs w:val="22"/>
              </w:rPr>
              <w:t>Asl</w:t>
            </w:r>
            <w:r>
              <w:rPr>
                <w:rFonts w:hint="cs" w:ascii="Times New Roman" w:hAnsi="Times New Roman" w:eastAsia="宋体"/>
                <w:szCs w:val="22"/>
              </w:rPr>
              <w:t>ı</w:t>
            </w:r>
            <w:r>
              <w:rPr>
                <w:rFonts w:ascii="Times New Roman" w:hAnsi="Times New Roman" w:eastAsia="宋体"/>
                <w:szCs w:val="22"/>
              </w:rPr>
              <w:t>gül Göçmen</w:t>
            </w:r>
            <w:r>
              <w:rPr>
                <w:rFonts w:hint="eastAsia" w:ascii="Times New Roman" w:hAnsi="Times New Roman" w:eastAsia="宋体"/>
                <w:szCs w:val="22"/>
              </w:rPr>
              <w:t>, Zhu Qiang, Zhang Feng</w:t>
            </w:r>
          </w:p>
        </w:tc>
        <w:tc>
          <w:tcPr>
            <w:tcW w:w="0" w:type="auto"/>
            <w:tcBorders>
              <w:top w:val="single" w:color="auto" w:sz="4" w:space="0"/>
              <w:left w:val="single" w:color="auto" w:sz="4" w:space="0"/>
              <w:bottom w:val="single" w:color="auto" w:sz="4" w:space="0"/>
              <w:right w:val="single" w:color="auto" w:sz="4" w:space="0"/>
            </w:tcBorders>
            <w:vAlign w:val="center"/>
          </w:tcPr>
          <w:p w14:paraId="29ABE4CD">
            <w:pPr>
              <w:jc w:val="center"/>
              <w:rPr>
                <w:rFonts w:ascii="Times New Roman" w:hAnsi="Times New Roman" w:eastAsia="宋体"/>
                <w:szCs w:val="22"/>
              </w:rPr>
            </w:pPr>
            <w:r>
              <w:rPr>
                <w:rFonts w:hint="eastAsia" w:ascii="Times New Roman" w:hAnsi="Times New Roman" w:eastAsia="宋体"/>
                <w:szCs w:val="22"/>
              </w:rPr>
              <w:t>2025年16卷10372</w:t>
            </w:r>
          </w:p>
        </w:tc>
      </w:tr>
      <w:tr w14:paraId="794D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360510E">
            <w:pPr>
              <w:jc w:val="center"/>
              <w:rPr>
                <w:rFonts w:ascii="Times New Roman" w:hAnsi="Times New Roman" w:eastAsia="宋体"/>
                <w:szCs w:val="22"/>
              </w:rPr>
            </w:pPr>
            <w:r>
              <w:rPr>
                <w:rFonts w:hint="eastAsia" w:ascii="Times New Roman" w:hAnsi="Times New Roman" w:eastAsia="宋体"/>
                <w:szCs w:val="22"/>
              </w:rPr>
              <w:t>3</w:t>
            </w:r>
          </w:p>
        </w:tc>
        <w:tc>
          <w:tcPr>
            <w:tcW w:w="0" w:type="auto"/>
            <w:tcBorders>
              <w:top w:val="single" w:color="auto" w:sz="4" w:space="0"/>
              <w:left w:val="single" w:color="auto" w:sz="4" w:space="0"/>
              <w:bottom w:val="single" w:color="auto" w:sz="4" w:space="0"/>
              <w:right w:val="single" w:color="auto" w:sz="4" w:space="0"/>
            </w:tcBorders>
            <w:vAlign w:val="center"/>
          </w:tcPr>
          <w:p w14:paraId="41124759">
            <w:pPr>
              <w:jc w:val="center"/>
              <w:rPr>
                <w:rFonts w:ascii="Times New Roman" w:hAnsi="Times New Roman" w:eastAsia="宋体"/>
                <w:szCs w:val="22"/>
              </w:rPr>
            </w:pPr>
            <w:r>
              <w:rPr>
                <w:rFonts w:hint="eastAsia" w:ascii="Times New Roman" w:hAnsi="Times New Roman" w:eastAsia="宋体"/>
                <w:szCs w:val="22"/>
              </w:rPr>
              <w:t>Anthropogenic forcing has increased the risk of longer-traveling and slower-moving large contiguous heatwaves</w:t>
            </w:r>
          </w:p>
        </w:tc>
        <w:tc>
          <w:tcPr>
            <w:tcW w:w="2404" w:type="dxa"/>
            <w:tcBorders>
              <w:top w:val="single" w:color="auto" w:sz="4" w:space="0"/>
              <w:left w:val="single" w:color="auto" w:sz="4" w:space="0"/>
              <w:bottom w:val="single" w:color="auto" w:sz="4" w:space="0"/>
              <w:right w:val="single" w:color="auto" w:sz="4" w:space="0"/>
            </w:tcBorders>
            <w:vAlign w:val="center"/>
          </w:tcPr>
          <w:p w14:paraId="7548032F">
            <w:pPr>
              <w:jc w:val="center"/>
              <w:rPr>
                <w:rFonts w:ascii="Times New Roman" w:hAnsi="Times New Roman" w:eastAsia="宋体"/>
                <w:szCs w:val="22"/>
              </w:rPr>
            </w:pPr>
            <w:r>
              <w:rPr>
                <w:rFonts w:hint="eastAsia" w:ascii="Times New Roman" w:hAnsi="Times New Roman" w:eastAsia="宋体"/>
                <w:szCs w:val="22"/>
              </w:rPr>
              <w:t>Science Advances</w:t>
            </w:r>
          </w:p>
        </w:tc>
        <w:tc>
          <w:tcPr>
            <w:tcW w:w="0" w:type="auto"/>
            <w:tcBorders>
              <w:top w:val="single" w:color="auto" w:sz="4" w:space="0"/>
              <w:left w:val="single" w:color="auto" w:sz="4" w:space="0"/>
              <w:bottom w:val="single" w:color="auto" w:sz="4" w:space="0"/>
              <w:right w:val="single" w:color="auto" w:sz="4" w:space="0"/>
            </w:tcBorders>
            <w:vAlign w:val="center"/>
          </w:tcPr>
          <w:p w14:paraId="66AF2AD1">
            <w:pPr>
              <w:jc w:val="center"/>
              <w:rPr>
                <w:rFonts w:ascii="Times New Roman" w:hAnsi="Times New Roman" w:eastAsia="宋体"/>
                <w:szCs w:val="22"/>
              </w:rPr>
            </w:pPr>
            <w:r>
              <w:rPr>
                <w:rFonts w:hint="eastAsia" w:ascii="Times New Roman" w:hAnsi="Times New Roman" w:eastAsia="宋体"/>
                <w:szCs w:val="22"/>
              </w:rPr>
              <w:t>Luo Ming, Wu Sijia, Gabriel Ngar-Cheung Lau, Pei Tao, Liu Zhen, Wang Xiaoyu, Ning Guicai, Chan Ting-On, Yang Yuanjian, Zhang Wei</w:t>
            </w:r>
          </w:p>
        </w:tc>
        <w:tc>
          <w:tcPr>
            <w:tcW w:w="0" w:type="auto"/>
            <w:tcBorders>
              <w:top w:val="single" w:color="auto" w:sz="4" w:space="0"/>
              <w:left w:val="single" w:color="auto" w:sz="4" w:space="0"/>
              <w:bottom w:val="single" w:color="auto" w:sz="4" w:space="0"/>
              <w:right w:val="single" w:color="auto" w:sz="4" w:space="0"/>
            </w:tcBorders>
            <w:vAlign w:val="center"/>
          </w:tcPr>
          <w:p w14:paraId="690A80CB">
            <w:pPr>
              <w:jc w:val="center"/>
              <w:rPr>
                <w:rFonts w:ascii="Times New Roman" w:hAnsi="Times New Roman" w:eastAsia="宋体"/>
                <w:szCs w:val="22"/>
              </w:rPr>
            </w:pPr>
            <w:r>
              <w:rPr>
                <w:rFonts w:hint="eastAsia" w:ascii="Times New Roman" w:hAnsi="Times New Roman" w:eastAsia="宋体"/>
                <w:szCs w:val="22"/>
              </w:rPr>
              <w:t>2024年10卷eadl1598</w:t>
            </w:r>
          </w:p>
        </w:tc>
      </w:tr>
      <w:tr w14:paraId="6815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C74877D">
            <w:pPr>
              <w:jc w:val="center"/>
              <w:rPr>
                <w:rFonts w:ascii="Times New Roman" w:hAnsi="Times New Roman" w:eastAsia="宋体"/>
                <w:szCs w:val="22"/>
              </w:rPr>
            </w:pPr>
            <w:r>
              <w:rPr>
                <w:rFonts w:hint="eastAsia" w:ascii="Times New Roman" w:hAnsi="Times New Roman" w:eastAsia="宋体"/>
                <w:szCs w:val="22"/>
              </w:rPr>
              <w:t>4</w:t>
            </w:r>
          </w:p>
        </w:tc>
        <w:tc>
          <w:tcPr>
            <w:tcW w:w="0" w:type="auto"/>
            <w:tcBorders>
              <w:top w:val="single" w:color="auto" w:sz="4" w:space="0"/>
              <w:left w:val="single" w:color="auto" w:sz="4" w:space="0"/>
              <w:bottom w:val="single" w:color="auto" w:sz="4" w:space="0"/>
              <w:right w:val="single" w:color="auto" w:sz="4" w:space="0"/>
            </w:tcBorders>
            <w:vAlign w:val="center"/>
          </w:tcPr>
          <w:p w14:paraId="5D7EA6D7">
            <w:pPr>
              <w:jc w:val="center"/>
              <w:rPr>
                <w:rFonts w:ascii="Times New Roman" w:hAnsi="Times New Roman" w:eastAsia="宋体"/>
                <w:szCs w:val="22"/>
              </w:rPr>
            </w:pPr>
            <w:r>
              <w:rPr>
                <w:rFonts w:hint="eastAsia" w:ascii="Times New Roman" w:hAnsi="Times New Roman" w:eastAsia="宋体"/>
                <w:szCs w:val="22"/>
              </w:rPr>
              <w:t>Rapid flips between warm and cold extremes in a warming world</w:t>
            </w:r>
          </w:p>
        </w:tc>
        <w:tc>
          <w:tcPr>
            <w:tcW w:w="2404" w:type="dxa"/>
            <w:tcBorders>
              <w:top w:val="single" w:color="auto" w:sz="4" w:space="0"/>
              <w:left w:val="single" w:color="auto" w:sz="4" w:space="0"/>
              <w:bottom w:val="single" w:color="auto" w:sz="4" w:space="0"/>
              <w:right w:val="single" w:color="auto" w:sz="4" w:space="0"/>
            </w:tcBorders>
            <w:vAlign w:val="center"/>
          </w:tcPr>
          <w:p w14:paraId="5ED37D8A">
            <w:pPr>
              <w:jc w:val="center"/>
              <w:rPr>
                <w:rFonts w:ascii="Times New Roman" w:hAnsi="Times New Roman" w:eastAsia="宋体"/>
                <w:szCs w:val="22"/>
              </w:rPr>
            </w:pPr>
            <w:r>
              <w:rPr>
                <w:rFonts w:hint="eastAsia" w:ascii="Times New Roman" w:hAnsi="Times New Roman" w:eastAsia="宋体"/>
                <w:szCs w:val="22"/>
              </w:rPr>
              <w:t>Nature Communications</w:t>
            </w:r>
          </w:p>
        </w:tc>
        <w:tc>
          <w:tcPr>
            <w:tcW w:w="0" w:type="auto"/>
            <w:tcBorders>
              <w:top w:val="single" w:color="auto" w:sz="4" w:space="0"/>
              <w:left w:val="single" w:color="auto" w:sz="4" w:space="0"/>
              <w:bottom w:val="single" w:color="auto" w:sz="4" w:space="0"/>
              <w:right w:val="single" w:color="auto" w:sz="4" w:space="0"/>
            </w:tcBorders>
            <w:vAlign w:val="center"/>
          </w:tcPr>
          <w:p w14:paraId="72840580">
            <w:pPr>
              <w:jc w:val="center"/>
              <w:rPr>
                <w:rFonts w:ascii="Times New Roman" w:hAnsi="Times New Roman" w:eastAsia="宋体"/>
                <w:szCs w:val="22"/>
              </w:rPr>
            </w:pPr>
            <w:r>
              <w:rPr>
                <w:rFonts w:hint="eastAsia" w:ascii="Times New Roman" w:hAnsi="Times New Roman" w:eastAsia="宋体"/>
                <w:szCs w:val="22"/>
              </w:rPr>
              <w:t>Wu Sijia, Luo Ming, Gabriel Ngar-Cheung Lau, Zhang  Wei, Wang Lin, Liu Zhen, Lin Lijie, Wang Yijing, Ge Erjia, Li Jianfeng, Fan Yuanchao, Chen Yimin, Liao Weilin, Wang Xiaoyu, Xu Xiaocong, Qi Zhixin, Huang Ziwei, Faith Ka Shun Chan, David Yongqin Chen, Liu Xiaoping, Pei Tao</w:t>
            </w:r>
          </w:p>
        </w:tc>
        <w:tc>
          <w:tcPr>
            <w:tcW w:w="0" w:type="auto"/>
            <w:tcBorders>
              <w:top w:val="single" w:color="auto" w:sz="4" w:space="0"/>
              <w:left w:val="single" w:color="auto" w:sz="4" w:space="0"/>
              <w:bottom w:val="single" w:color="auto" w:sz="4" w:space="0"/>
              <w:right w:val="single" w:color="auto" w:sz="4" w:space="0"/>
            </w:tcBorders>
            <w:vAlign w:val="center"/>
          </w:tcPr>
          <w:p w14:paraId="4DD3EEB1">
            <w:pPr>
              <w:jc w:val="center"/>
              <w:rPr>
                <w:rFonts w:ascii="Times New Roman" w:hAnsi="Times New Roman" w:eastAsia="宋体"/>
                <w:szCs w:val="22"/>
              </w:rPr>
            </w:pPr>
            <w:r>
              <w:rPr>
                <w:rFonts w:hint="eastAsia" w:ascii="Times New Roman" w:hAnsi="Times New Roman" w:eastAsia="宋体"/>
                <w:szCs w:val="22"/>
              </w:rPr>
              <w:t>2025年16卷3543</w:t>
            </w:r>
          </w:p>
        </w:tc>
      </w:tr>
      <w:tr w14:paraId="7080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18AD47A8">
            <w:pPr>
              <w:jc w:val="center"/>
              <w:rPr>
                <w:rFonts w:ascii="Times New Roman" w:hAnsi="Times New Roman" w:eastAsia="宋体"/>
                <w:szCs w:val="22"/>
              </w:rPr>
            </w:pPr>
            <w:r>
              <w:rPr>
                <w:rFonts w:hint="eastAsia" w:ascii="Times New Roman" w:hAnsi="Times New Roman" w:eastAsia="宋体"/>
                <w:szCs w:val="22"/>
              </w:rPr>
              <w:t>5</w:t>
            </w:r>
          </w:p>
        </w:tc>
        <w:tc>
          <w:tcPr>
            <w:tcW w:w="0" w:type="auto"/>
            <w:tcBorders>
              <w:top w:val="single" w:color="auto" w:sz="4" w:space="0"/>
              <w:left w:val="single" w:color="auto" w:sz="4" w:space="0"/>
              <w:bottom w:val="single" w:color="auto" w:sz="4" w:space="0"/>
              <w:right w:val="single" w:color="auto" w:sz="4" w:space="0"/>
            </w:tcBorders>
            <w:vAlign w:val="center"/>
          </w:tcPr>
          <w:p w14:paraId="4AA2ADD4">
            <w:pPr>
              <w:jc w:val="center"/>
              <w:rPr>
                <w:rFonts w:ascii="Times New Roman" w:hAnsi="Times New Roman" w:eastAsia="宋体"/>
                <w:szCs w:val="22"/>
              </w:rPr>
            </w:pPr>
            <w:bookmarkStart w:id="1" w:name="OLE_LINK7"/>
            <w:bookmarkStart w:id="2" w:name="OLE_LINK8"/>
            <w:r>
              <w:rPr>
                <w:rFonts w:hint="eastAsia" w:ascii="Times New Roman" w:hAnsi="Times New Roman" w:eastAsia="宋体"/>
                <w:szCs w:val="22"/>
              </w:rPr>
              <w:t>Regulatory effect of China</w:t>
            </w:r>
            <w:r>
              <w:rPr>
                <w:rFonts w:ascii="Times New Roman" w:hAnsi="Times New Roman" w:eastAsia="宋体"/>
                <w:szCs w:val="22"/>
              </w:rPr>
              <w:t>’</w:t>
            </w:r>
            <w:r>
              <w:rPr>
                <w:rFonts w:hint="eastAsia" w:ascii="Times New Roman" w:hAnsi="Times New Roman" w:eastAsia="宋体"/>
                <w:szCs w:val="22"/>
              </w:rPr>
              <w:t>s city hierarchy on urban redevelopment</w:t>
            </w:r>
            <w:bookmarkEnd w:id="1"/>
            <w:bookmarkEnd w:id="2"/>
          </w:p>
        </w:tc>
        <w:tc>
          <w:tcPr>
            <w:tcW w:w="2404" w:type="dxa"/>
            <w:tcBorders>
              <w:top w:val="single" w:color="auto" w:sz="4" w:space="0"/>
              <w:left w:val="single" w:color="auto" w:sz="4" w:space="0"/>
              <w:bottom w:val="single" w:color="auto" w:sz="4" w:space="0"/>
              <w:right w:val="single" w:color="auto" w:sz="4" w:space="0"/>
            </w:tcBorders>
            <w:vAlign w:val="center"/>
          </w:tcPr>
          <w:p w14:paraId="5DF387E3">
            <w:pPr>
              <w:jc w:val="center"/>
              <w:rPr>
                <w:rFonts w:ascii="Times New Roman" w:hAnsi="Times New Roman" w:eastAsia="宋体"/>
                <w:szCs w:val="22"/>
              </w:rPr>
            </w:pPr>
            <w:r>
              <w:rPr>
                <w:rFonts w:hint="eastAsia" w:ascii="Times New Roman" w:hAnsi="Times New Roman" w:eastAsia="宋体"/>
                <w:szCs w:val="22"/>
              </w:rPr>
              <w:t>Nature Cities</w:t>
            </w:r>
          </w:p>
        </w:tc>
        <w:tc>
          <w:tcPr>
            <w:tcW w:w="0" w:type="auto"/>
            <w:tcBorders>
              <w:top w:val="single" w:color="auto" w:sz="4" w:space="0"/>
              <w:left w:val="single" w:color="auto" w:sz="4" w:space="0"/>
              <w:bottom w:val="single" w:color="auto" w:sz="4" w:space="0"/>
              <w:right w:val="single" w:color="auto" w:sz="4" w:space="0"/>
            </w:tcBorders>
            <w:vAlign w:val="center"/>
          </w:tcPr>
          <w:p w14:paraId="62B1028E">
            <w:pPr>
              <w:jc w:val="center"/>
              <w:rPr>
                <w:rFonts w:ascii="Times New Roman" w:hAnsi="Times New Roman" w:eastAsia="宋体"/>
                <w:szCs w:val="22"/>
              </w:rPr>
            </w:pPr>
            <w:r>
              <w:rPr>
                <w:rFonts w:hint="eastAsia" w:ascii="Times New Roman" w:hAnsi="Times New Roman" w:eastAsia="宋体"/>
                <w:szCs w:val="22"/>
              </w:rPr>
              <w:t xml:space="preserve">Deng Yu, Cao Kexin, Chen Mingxing, Liu Ran, Pei Tao, Song Ci, </w:t>
            </w:r>
            <w:r>
              <w:rPr>
                <w:rFonts w:ascii="Times New Roman" w:hAnsi="Times New Roman" w:eastAsia="宋体"/>
                <w:szCs w:val="22"/>
              </w:rPr>
              <w:t>Wan</w:t>
            </w:r>
            <w:r>
              <w:rPr>
                <w:rFonts w:hint="eastAsia" w:ascii="Times New Roman" w:hAnsi="Times New Roman" w:eastAsia="宋体"/>
                <w:szCs w:val="22"/>
              </w:rPr>
              <w:t>g Kaiyong, Tim Schwanen, Wong Cecilia, Zhao Pengjun, Wang Yaping, Fu Bojie</w:t>
            </w:r>
          </w:p>
        </w:tc>
        <w:tc>
          <w:tcPr>
            <w:tcW w:w="0" w:type="auto"/>
            <w:tcBorders>
              <w:top w:val="single" w:color="auto" w:sz="4" w:space="0"/>
              <w:left w:val="single" w:color="auto" w:sz="4" w:space="0"/>
              <w:bottom w:val="single" w:color="auto" w:sz="4" w:space="0"/>
              <w:right w:val="single" w:color="auto" w:sz="4" w:space="0"/>
            </w:tcBorders>
            <w:vAlign w:val="center"/>
          </w:tcPr>
          <w:p w14:paraId="3BBBDB6D">
            <w:pPr>
              <w:jc w:val="center"/>
              <w:rPr>
                <w:rFonts w:ascii="Times New Roman" w:hAnsi="Times New Roman" w:eastAsia="宋体"/>
                <w:szCs w:val="22"/>
              </w:rPr>
            </w:pPr>
            <w:r>
              <w:rPr>
                <w:rFonts w:hint="eastAsia" w:ascii="Times New Roman" w:hAnsi="Times New Roman" w:eastAsia="宋体"/>
                <w:szCs w:val="22"/>
              </w:rPr>
              <w:t>2026年3卷48-57页</w:t>
            </w:r>
          </w:p>
        </w:tc>
      </w:tr>
      <w:tr w14:paraId="27E4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F1505E3">
            <w:pPr>
              <w:jc w:val="center"/>
              <w:rPr>
                <w:rFonts w:ascii="Times New Roman" w:hAnsi="Times New Roman" w:eastAsia="宋体"/>
                <w:szCs w:val="22"/>
              </w:rPr>
            </w:pPr>
            <w:r>
              <w:rPr>
                <w:rFonts w:hint="eastAsia" w:ascii="Times New Roman" w:hAnsi="Times New Roman" w:eastAsia="宋体"/>
                <w:szCs w:val="22"/>
              </w:rPr>
              <w:t>6</w:t>
            </w:r>
          </w:p>
        </w:tc>
        <w:tc>
          <w:tcPr>
            <w:tcW w:w="0" w:type="auto"/>
            <w:tcBorders>
              <w:top w:val="single" w:color="auto" w:sz="4" w:space="0"/>
              <w:left w:val="single" w:color="auto" w:sz="4" w:space="0"/>
              <w:bottom w:val="single" w:color="auto" w:sz="4" w:space="0"/>
              <w:right w:val="single" w:color="auto" w:sz="4" w:space="0"/>
            </w:tcBorders>
            <w:vAlign w:val="center"/>
          </w:tcPr>
          <w:p w14:paraId="648FD06C">
            <w:pPr>
              <w:jc w:val="center"/>
              <w:rPr>
                <w:rFonts w:ascii="Times New Roman" w:hAnsi="Times New Roman" w:eastAsia="宋体"/>
                <w:szCs w:val="22"/>
              </w:rPr>
            </w:pPr>
            <w:r>
              <w:rPr>
                <w:rFonts w:hint="eastAsia" w:ascii="Times New Roman" w:hAnsi="Times New Roman" w:eastAsia="宋体"/>
                <w:szCs w:val="22"/>
              </w:rPr>
              <w:t>Accessibility to urban parks for elderly residents: Perspectives from mobile phone data</w:t>
            </w:r>
          </w:p>
        </w:tc>
        <w:tc>
          <w:tcPr>
            <w:tcW w:w="2404" w:type="dxa"/>
            <w:tcBorders>
              <w:top w:val="single" w:color="auto" w:sz="4" w:space="0"/>
              <w:left w:val="single" w:color="auto" w:sz="4" w:space="0"/>
              <w:bottom w:val="single" w:color="auto" w:sz="4" w:space="0"/>
              <w:right w:val="single" w:color="auto" w:sz="4" w:space="0"/>
            </w:tcBorders>
            <w:vAlign w:val="center"/>
          </w:tcPr>
          <w:p w14:paraId="7C3B9BEB">
            <w:pPr>
              <w:jc w:val="center"/>
              <w:rPr>
                <w:rFonts w:ascii="Times New Roman" w:hAnsi="Times New Roman" w:eastAsia="宋体"/>
                <w:szCs w:val="22"/>
              </w:rPr>
            </w:pPr>
            <w:r>
              <w:rPr>
                <w:rFonts w:hint="eastAsia" w:ascii="Times New Roman" w:hAnsi="Times New Roman" w:eastAsia="宋体"/>
                <w:szCs w:val="22"/>
              </w:rPr>
              <w:t>Landscape and Urban Planning</w:t>
            </w:r>
          </w:p>
        </w:tc>
        <w:tc>
          <w:tcPr>
            <w:tcW w:w="0" w:type="auto"/>
            <w:tcBorders>
              <w:top w:val="single" w:color="auto" w:sz="4" w:space="0"/>
              <w:left w:val="single" w:color="auto" w:sz="4" w:space="0"/>
              <w:bottom w:val="single" w:color="auto" w:sz="4" w:space="0"/>
              <w:right w:val="single" w:color="auto" w:sz="4" w:space="0"/>
            </w:tcBorders>
            <w:vAlign w:val="center"/>
          </w:tcPr>
          <w:p w14:paraId="15D97AAA">
            <w:pPr>
              <w:jc w:val="center"/>
              <w:rPr>
                <w:rFonts w:ascii="Times New Roman" w:hAnsi="Times New Roman" w:eastAsia="宋体"/>
                <w:szCs w:val="22"/>
              </w:rPr>
            </w:pPr>
            <w:r>
              <w:rPr>
                <w:rFonts w:hint="eastAsia" w:ascii="Times New Roman" w:hAnsi="Times New Roman" w:eastAsia="宋体"/>
                <w:szCs w:val="22"/>
              </w:rPr>
              <w:t>Guo Sihui, Song Ci, Pei Tao, Liu Yaxi, Ma Ting, Du yunyan, Chen Jie, Fan Zide, Tang Xianli, Peng Yong, Wang Yanbin</w:t>
            </w:r>
          </w:p>
        </w:tc>
        <w:tc>
          <w:tcPr>
            <w:tcW w:w="0" w:type="auto"/>
            <w:tcBorders>
              <w:top w:val="single" w:color="auto" w:sz="4" w:space="0"/>
              <w:left w:val="single" w:color="auto" w:sz="4" w:space="0"/>
              <w:bottom w:val="single" w:color="auto" w:sz="4" w:space="0"/>
              <w:right w:val="single" w:color="auto" w:sz="4" w:space="0"/>
            </w:tcBorders>
            <w:vAlign w:val="center"/>
          </w:tcPr>
          <w:p w14:paraId="53437BA3">
            <w:pPr>
              <w:jc w:val="center"/>
              <w:rPr>
                <w:rFonts w:ascii="Times New Roman" w:hAnsi="Times New Roman" w:eastAsia="宋体"/>
                <w:szCs w:val="22"/>
              </w:rPr>
            </w:pPr>
            <w:r>
              <w:rPr>
                <w:rFonts w:hint="eastAsia" w:ascii="Times New Roman" w:hAnsi="Times New Roman" w:eastAsia="宋体"/>
                <w:szCs w:val="22"/>
              </w:rPr>
              <w:t>2019年191卷103642</w:t>
            </w:r>
          </w:p>
        </w:tc>
      </w:tr>
      <w:tr w14:paraId="7831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7B132DB0">
            <w:pPr>
              <w:jc w:val="center"/>
              <w:rPr>
                <w:rFonts w:ascii="Times New Roman" w:hAnsi="Times New Roman" w:eastAsia="宋体"/>
                <w:szCs w:val="22"/>
              </w:rPr>
            </w:pPr>
            <w:r>
              <w:rPr>
                <w:rFonts w:hint="eastAsia" w:ascii="Times New Roman" w:hAnsi="Times New Roman" w:eastAsia="宋体"/>
                <w:szCs w:val="22"/>
              </w:rPr>
              <w:t>7</w:t>
            </w:r>
          </w:p>
        </w:tc>
        <w:tc>
          <w:tcPr>
            <w:tcW w:w="0" w:type="auto"/>
            <w:tcBorders>
              <w:top w:val="single" w:color="auto" w:sz="4" w:space="0"/>
              <w:left w:val="single" w:color="auto" w:sz="4" w:space="0"/>
              <w:bottom w:val="single" w:color="auto" w:sz="4" w:space="0"/>
              <w:right w:val="single" w:color="auto" w:sz="4" w:space="0"/>
            </w:tcBorders>
            <w:vAlign w:val="center"/>
          </w:tcPr>
          <w:p w14:paraId="29CCB505">
            <w:pPr>
              <w:jc w:val="center"/>
              <w:rPr>
                <w:rFonts w:ascii="Times New Roman" w:hAnsi="Times New Roman" w:eastAsia="宋体"/>
                <w:szCs w:val="22"/>
              </w:rPr>
            </w:pPr>
            <w:r>
              <w:rPr>
                <w:rFonts w:hint="eastAsia" w:ascii="Times New Roman" w:hAnsi="Times New Roman" w:eastAsia="宋体"/>
                <w:szCs w:val="22"/>
              </w:rPr>
              <w:t>I-index for quantifying an urban location</w:t>
            </w:r>
            <w:r>
              <w:rPr>
                <w:rFonts w:ascii="Times New Roman" w:hAnsi="Times New Roman" w:eastAsia="宋体"/>
                <w:szCs w:val="22"/>
              </w:rPr>
              <w:t>’</w:t>
            </w:r>
            <w:r>
              <w:rPr>
                <w:rFonts w:hint="eastAsia" w:ascii="Times New Roman" w:hAnsi="Times New Roman" w:eastAsia="宋体"/>
                <w:szCs w:val="22"/>
              </w:rPr>
              <w:t xml:space="preserve">s irreplaceability </w:t>
            </w:r>
          </w:p>
        </w:tc>
        <w:tc>
          <w:tcPr>
            <w:tcW w:w="2404" w:type="dxa"/>
            <w:tcBorders>
              <w:top w:val="single" w:color="auto" w:sz="4" w:space="0"/>
              <w:left w:val="single" w:color="auto" w:sz="4" w:space="0"/>
              <w:bottom w:val="single" w:color="auto" w:sz="4" w:space="0"/>
              <w:right w:val="single" w:color="auto" w:sz="4" w:space="0"/>
            </w:tcBorders>
            <w:vAlign w:val="center"/>
          </w:tcPr>
          <w:p w14:paraId="2D4952DD">
            <w:pPr>
              <w:jc w:val="center"/>
              <w:rPr>
                <w:rFonts w:ascii="Times New Roman" w:hAnsi="Times New Roman" w:eastAsia="宋体"/>
                <w:szCs w:val="22"/>
              </w:rPr>
            </w:pPr>
            <w:r>
              <w:rPr>
                <w:rFonts w:hint="eastAsia" w:ascii="Times New Roman" w:hAnsi="Times New Roman" w:eastAsia="宋体"/>
                <w:szCs w:val="22"/>
              </w:rPr>
              <w:t>Computers, Environment and Urban Systems</w:t>
            </w:r>
          </w:p>
        </w:tc>
        <w:tc>
          <w:tcPr>
            <w:tcW w:w="0" w:type="auto"/>
            <w:tcBorders>
              <w:top w:val="single" w:color="auto" w:sz="4" w:space="0"/>
              <w:left w:val="single" w:color="auto" w:sz="4" w:space="0"/>
              <w:bottom w:val="single" w:color="auto" w:sz="4" w:space="0"/>
              <w:right w:val="single" w:color="auto" w:sz="4" w:space="0"/>
            </w:tcBorders>
            <w:vAlign w:val="center"/>
          </w:tcPr>
          <w:p w14:paraId="70FCBE26">
            <w:pPr>
              <w:jc w:val="center"/>
              <w:rPr>
                <w:rFonts w:ascii="Times New Roman" w:hAnsi="Times New Roman" w:eastAsia="宋体"/>
                <w:szCs w:val="22"/>
              </w:rPr>
            </w:pPr>
            <w:r>
              <w:rPr>
                <w:rFonts w:hint="eastAsia" w:ascii="Times New Roman" w:hAnsi="Times New Roman" w:eastAsia="宋体"/>
                <w:szCs w:val="22"/>
              </w:rPr>
              <w:t>Wang Xi, Chen Jie, Pei Tao, Song Ci, Liu Yu, Shu Hua, Guo Sihui, Chen Xiao</w:t>
            </w:r>
          </w:p>
        </w:tc>
        <w:tc>
          <w:tcPr>
            <w:tcW w:w="0" w:type="auto"/>
            <w:tcBorders>
              <w:top w:val="single" w:color="auto" w:sz="4" w:space="0"/>
              <w:left w:val="single" w:color="auto" w:sz="4" w:space="0"/>
              <w:bottom w:val="single" w:color="auto" w:sz="4" w:space="0"/>
              <w:right w:val="single" w:color="auto" w:sz="4" w:space="0"/>
            </w:tcBorders>
            <w:vAlign w:val="center"/>
          </w:tcPr>
          <w:p w14:paraId="2B17BE27">
            <w:pPr>
              <w:jc w:val="center"/>
              <w:rPr>
                <w:rFonts w:ascii="Times New Roman" w:hAnsi="Times New Roman" w:eastAsia="宋体"/>
                <w:szCs w:val="22"/>
              </w:rPr>
            </w:pPr>
            <w:r>
              <w:rPr>
                <w:rFonts w:hint="eastAsia" w:ascii="Times New Roman" w:hAnsi="Times New Roman" w:eastAsia="宋体"/>
                <w:szCs w:val="22"/>
              </w:rPr>
              <w:t>202</w:t>
            </w:r>
            <w:r>
              <w:rPr>
                <w:rFonts w:hint="eastAsia" w:ascii="Times New Roman" w:hAnsi="Times New Roman"/>
                <w:szCs w:val="22"/>
              </w:rPr>
              <w:t>1</w:t>
            </w:r>
            <w:r>
              <w:rPr>
                <w:rFonts w:hint="eastAsia" w:ascii="Times New Roman" w:hAnsi="Times New Roman" w:eastAsia="宋体"/>
                <w:szCs w:val="22"/>
              </w:rPr>
              <w:t>年</w:t>
            </w:r>
            <w:r>
              <w:rPr>
                <w:rFonts w:hint="eastAsia" w:ascii="Times New Roman" w:hAnsi="Times New Roman"/>
                <w:szCs w:val="22"/>
              </w:rPr>
              <w:t>90</w:t>
            </w:r>
            <w:r>
              <w:rPr>
                <w:rFonts w:hint="eastAsia" w:ascii="Times New Roman" w:hAnsi="Times New Roman" w:eastAsia="宋体"/>
                <w:szCs w:val="22"/>
              </w:rPr>
              <w:t>卷</w:t>
            </w:r>
            <w:r>
              <w:rPr>
                <w:rFonts w:hint="eastAsia" w:ascii="Times New Roman" w:hAnsi="Times New Roman"/>
                <w:szCs w:val="22"/>
              </w:rPr>
              <w:t>101711</w:t>
            </w:r>
          </w:p>
        </w:tc>
      </w:tr>
      <w:tr w14:paraId="5F02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CC12FC2">
            <w:pPr>
              <w:jc w:val="center"/>
              <w:rPr>
                <w:rFonts w:ascii="Times New Roman" w:hAnsi="Times New Roman" w:eastAsia="宋体"/>
                <w:szCs w:val="22"/>
              </w:rPr>
            </w:pPr>
            <w:r>
              <w:rPr>
                <w:rFonts w:hint="eastAsia" w:ascii="Times New Roman" w:hAnsi="Times New Roman" w:eastAsia="宋体"/>
                <w:szCs w:val="22"/>
              </w:rPr>
              <w:t>8</w:t>
            </w:r>
          </w:p>
        </w:tc>
        <w:tc>
          <w:tcPr>
            <w:tcW w:w="0" w:type="auto"/>
            <w:tcBorders>
              <w:top w:val="single" w:color="auto" w:sz="4" w:space="0"/>
              <w:left w:val="single" w:color="auto" w:sz="4" w:space="0"/>
              <w:bottom w:val="single" w:color="auto" w:sz="4" w:space="0"/>
              <w:right w:val="single" w:color="auto" w:sz="4" w:space="0"/>
            </w:tcBorders>
            <w:vAlign w:val="center"/>
          </w:tcPr>
          <w:p w14:paraId="6A51DB59">
            <w:pPr>
              <w:jc w:val="center"/>
              <w:rPr>
                <w:rFonts w:ascii="Times New Roman" w:hAnsi="Times New Roman" w:eastAsia="宋体"/>
                <w:szCs w:val="22"/>
              </w:rPr>
            </w:pPr>
            <w:r>
              <w:rPr>
                <w:rFonts w:hint="eastAsia" w:ascii="Times New Roman" w:hAnsi="Times New Roman" w:eastAsia="宋体"/>
                <w:szCs w:val="22"/>
              </w:rPr>
              <w:t>地理流空间分析</w:t>
            </w:r>
          </w:p>
        </w:tc>
        <w:tc>
          <w:tcPr>
            <w:tcW w:w="2404" w:type="dxa"/>
            <w:tcBorders>
              <w:top w:val="single" w:color="auto" w:sz="4" w:space="0"/>
              <w:left w:val="single" w:color="auto" w:sz="4" w:space="0"/>
              <w:bottom w:val="single" w:color="auto" w:sz="4" w:space="0"/>
              <w:right w:val="single" w:color="auto" w:sz="4" w:space="0"/>
            </w:tcBorders>
            <w:vAlign w:val="center"/>
          </w:tcPr>
          <w:p w14:paraId="6158D62C">
            <w:pPr>
              <w:jc w:val="center"/>
              <w:rPr>
                <w:rFonts w:ascii="Times New Roman" w:hAnsi="Times New Roman" w:eastAsia="宋体"/>
                <w:szCs w:val="22"/>
              </w:rPr>
            </w:pPr>
            <w:r>
              <w:rPr>
                <w:rFonts w:hint="eastAsia" w:ascii="Times New Roman" w:hAnsi="Times New Roman" w:eastAsia="宋体"/>
                <w:szCs w:val="22"/>
              </w:rPr>
              <w:t>科学出版社</w:t>
            </w:r>
          </w:p>
        </w:tc>
        <w:tc>
          <w:tcPr>
            <w:tcW w:w="0" w:type="auto"/>
            <w:tcBorders>
              <w:top w:val="single" w:color="auto" w:sz="4" w:space="0"/>
              <w:left w:val="single" w:color="auto" w:sz="4" w:space="0"/>
              <w:bottom w:val="single" w:color="auto" w:sz="4" w:space="0"/>
              <w:right w:val="single" w:color="auto" w:sz="4" w:space="0"/>
            </w:tcBorders>
            <w:vAlign w:val="center"/>
          </w:tcPr>
          <w:p w14:paraId="281D44F4">
            <w:pPr>
              <w:jc w:val="center"/>
              <w:rPr>
                <w:rFonts w:ascii="Times New Roman" w:hAnsi="Times New Roman" w:eastAsia="宋体"/>
                <w:szCs w:val="22"/>
              </w:rPr>
            </w:pPr>
            <w:r>
              <w:rPr>
                <w:rFonts w:hint="eastAsia" w:ascii="Times New Roman" w:hAnsi="Times New Roman" w:eastAsia="宋体"/>
                <w:szCs w:val="22"/>
              </w:rPr>
              <w:t>裴韬</w:t>
            </w:r>
          </w:p>
        </w:tc>
        <w:tc>
          <w:tcPr>
            <w:tcW w:w="0" w:type="auto"/>
            <w:tcBorders>
              <w:top w:val="single" w:color="auto" w:sz="4" w:space="0"/>
              <w:left w:val="single" w:color="auto" w:sz="4" w:space="0"/>
              <w:bottom w:val="single" w:color="auto" w:sz="4" w:space="0"/>
              <w:right w:val="single" w:color="auto" w:sz="4" w:space="0"/>
            </w:tcBorders>
            <w:vAlign w:val="center"/>
          </w:tcPr>
          <w:p w14:paraId="05EB1EDC">
            <w:pPr>
              <w:jc w:val="center"/>
              <w:rPr>
                <w:rFonts w:ascii="Times New Roman" w:hAnsi="Times New Roman" w:eastAsia="宋体"/>
                <w:szCs w:val="22"/>
              </w:rPr>
            </w:pPr>
            <w:r>
              <w:rPr>
                <w:rFonts w:hint="eastAsia" w:ascii="Times New Roman" w:hAnsi="Times New Roman" w:eastAsia="宋体"/>
                <w:szCs w:val="22"/>
              </w:rPr>
              <w:t>2024年</w:t>
            </w:r>
          </w:p>
        </w:tc>
      </w:tr>
    </w:tbl>
    <w:p w14:paraId="6557A0A7">
      <w:pPr>
        <w:jc w:val="both"/>
        <w:rPr>
          <w:rFonts w:hint="eastAsia" w:ascii="宋体" w:hAnsi="宋体" w:eastAsia="宋体"/>
          <w:b/>
          <w:sz w:val="28"/>
          <w:szCs w:val="28"/>
        </w:rPr>
        <w:sectPr>
          <w:pgSz w:w="11906" w:h="16838"/>
          <w:pgMar w:top="1440" w:right="1800" w:bottom="1440" w:left="1800" w:header="851" w:footer="992" w:gutter="0"/>
          <w:cols w:space="425" w:num="1"/>
          <w:docGrid w:type="lines" w:linePitch="312" w:charSpace="0"/>
        </w:sectPr>
      </w:pPr>
    </w:p>
    <w:p w14:paraId="387A4F02">
      <w:pPr>
        <w:jc w:val="both"/>
        <w:rPr>
          <w:rFonts w:hint="eastAsia" w:ascii="宋体" w:hAnsi="宋体" w:eastAsia="宋体"/>
          <w:b/>
          <w:sz w:val="28"/>
          <w:szCs w:val="28"/>
        </w:rPr>
      </w:pPr>
      <w:r>
        <w:rPr>
          <w:rFonts w:hint="eastAsia" w:ascii="宋体" w:hAnsi="宋体" w:eastAsia="宋体"/>
          <w:b/>
          <w:sz w:val="28"/>
          <w:szCs w:val="28"/>
        </w:rPr>
        <w:t>六、主要知识产权目录</w:t>
      </w:r>
    </w:p>
    <w:tbl>
      <w:tblPr>
        <w:tblStyle w:val="1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2220"/>
        <w:gridCol w:w="794"/>
        <w:gridCol w:w="1853"/>
        <w:gridCol w:w="1608"/>
        <w:gridCol w:w="1302"/>
        <w:gridCol w:w="1540"/>
        <w:gridCol w:w="2216"/>
        <w:gridCol w:w="1340"/>
      </w:tblGrid>
      <w:tr w14:paraId="43303F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0" w:type="auto"/>
            <w:tcBorders>
              <w:top w:val="single" w:color="auto" w:sz="8" w:space="0"/>
              <w:left w:val="single" w:color="auto" w:sz="8" w:space="0"/>
              <w:bottom w:val="single" w:color="auto" w:sz="4" w:space="0"/>
              <w:right w:val="single" w:color="auto" w:sz="4" w:space="0"/>
            </w:tcBorders>
            <w:vAlign w:val="center"/>
          </w:tcPr>
          <w:p w14:paraId="066B111F">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知识产权</w:t>
            </w:r>
          </w:p>
          <w:p w14:paraId="547C7A0C">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（标准）类别</w:t>
            </w:r>
          </w:p>
        </w:tc>
        <w:tc>
          <w:tcPr>
            <w:tcW w:w="0" w:type="auto"/>
            <w:tcBorders>
              <w:top w:val="single" w:color="auto" w:sz="8" w:space="0"/>
              <w:left w:val="single" w:color="auto" w:sz="4" w:space="0"/>
              <w:bottom w:val="single" w:color="auto" w:sz="4" w:space="0"/>
              <w:right w:val="single" w:color="auto" w:sz="4" w:space="0"/>
            </w:tcBorders>
            <w:vAlign w:val="center"/>
          </w:tcPr>
          <w:p w14:paraId="46630982">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知识产权（标准）</w:t>
            </w:r>
          </w:p>
          <w:p w14:paraId="60709053">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具体名称</w:t>
            </w:r>
          </w:p>
        </w:tc>
        <w:tc>
          <w:tcPr>
            <w:tcW w:w="0" w:type="auto"/>
            <w:tcBorders>
              <w:top w:val="single" w:color="auto" w:sz="8" w:space="0"/>
              <w:left w:val="single" w:color="auto" w:sz="4" w:space="0"/>
              <w:bottom w:val="single" w:color="auto" w:sz="4" w:space="0"/>
              <w:right w:val="single" w:color="auto" w:sz="4" w:space="0"/>
            </w:tcBorders>
            <w:vAlign w:val="center"/>
          </w:tcPr>
          <w:p w14:paraId="595DA0A9">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国家</w:t>
            </w:r>
          </w:p>
          <w:p w14:paraId="77E94B6F">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（地区）</w:t>
            </w:r>
          </w:p>
        </w:tc>
        <w:tc>
          <w:tcPr>
            <w:tcW w:w="0" w:type="auto"/>
            <w:tcBorders>
              <w:top w:val="single" w:color="auto" w:sz="8" w:space="0"/>
              <w:left w:val="single" w:color="auto" w:sz="4" w:space="0"/>
              <w:bottom w:val="single" w:color="auto" w:sz="4" w:space="0"/>
              <w:right w:val="single" w:color="auto" w:sz="4" w:space="0"/>
            </w:tcBorders>
            <w:vAlign w:val="center"/>
          </w:tcPr>
          <w:p w14:paraId="4BFFCB92">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授权号（标准编号）</w:t>
            </w:r>
          </w:p>
        </w:tc>
        <w:tc>
          <w:tcPr>
            <w:tcW w:w="0" w:type="auto"/>
            <w:tcBorders>
              <w:top w:val="single" w:color="auto" w:sz="8" w:space="0"/>
              <w:left w:val="single" w:color="auto" w:sz="4" w:space="0"/>
              <w:bottom w:val="single" w:color="auto" w:sz="4" w:space="0"/>
              <w:right w:val="single" w:color="auto" w:sz="4" w:space="0"/>
            </w:tcBorders>
            <w:vAlign w:val="center"/>
          </w:tcPr>
          <w:p w14:paraId="2F318FC2">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授权（标准发布）日期</w:t>
            </w:r>
          </w:p>
        </w:tc>
        <w:tc>
          <w:tcPr>
            <w:tcW w:w="0" w:type="auto"/>
            <w:tcBorders>
              <w:top w:val="single" w:color="auto" w:sz="8" w:space="0"/>
              <w:left w:val="single" w:color="auto" w:sz="4" w:space="0"/>
              <w:bottom w:val="single" w:color="auto" w:sz="4" w:space="0"/>
              <w:right w:val="single" w:color="auto" w:sz="4" w:space="0"/>
            </w:tcBorders>
            <w:vAlign w:val="center"/>
          </w:tcPr>
          <w:p w14:paraId="1B64D8A6">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证书编号</w:t>
            </w:r>
          </w:p>
          <w:p w14:paraId="06D8239D">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（标准批准发布</w:t>
            </w:r>
          </w:p>
          <w:p w14:paraId="2CDAE034">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部门）</w:t>
            </w:r>
          </w:p>
        </w:tc>
        <w:tc>
          <w:tcPr>
            <w:tcW w:w="0" w:type="auto"/>
            <w:tcBorders>
              <w:top w:val="single" w:color="auto" w:sz="8" w:space="0"/>
              <w:left w:val="single" w:color="auto" w:sz="4" w:space="0"/>
              <w:bottom w:val="single" w:color="auto" w:sz="4" w:space="0"/>
              <w:right w:val="single" w:color="auto" w:sz="4" w:space="0"/>
            </w:tcBorders>
            <w:vAlign w:val="center"/>
          </w:tcPr>
          <w:p w14:paraId="63D7FE22">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权利人（标准起草</w:t>
            </w:r>
          </w:p>
          <w:p w14:paraId="703D56FC">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单位）</w:t>
            </w:r>
          </w:p>
        </w:tc>
        <w:tc>
          <w:tcPr>
            <w:tcW w:w="0" w:type="auto"/>
            <w:tcBorders>
              <w:top w:val="single" w:color="auto" w:sz="8" w:space="0"/>
              <w:left w:val="single" w:color="auto" w:sz="4" w:space="0"/>
              <w:bottom w:val="single" w:color="auto" w:sz="4" w:space="0"/>
              <w:right w:val="single" w:color="auto" w:sz="4" w:space="0"/>
            </w:tcBorders>
            <w:vAlign w:val="center"/>
          </w:tcPr>
          <w:p w14:paraId="7C3EEC51">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发明人（标准起草人）</w:t>
            </w:r>
          </w:p>
        </w:tc>
        <w:tc>
          <w:tcPr>
            <w:tcW w:w="0" w:type="auto"/>
            <w:tcBorders>
              <w:top w:val="single" w:color="auto" w:sz="8" w:space="0"/>
              <w:left w:val="single" w:color="auto" w:sz="4" w:space="0"/>
              <w:bottom w:val="single" w:color="auto" w:sz="4" w:space="0"/>
              <w:right w:val="single" w:color="auto" w:sz="8" w:space="0"/>
            </w:tcBorders>
            <w:vAlign w:val="center"/>
          </w:tcPr>
          <w:p w14:paraId="14FCD97D">
            <w:pPr>
              <w:pStyle w:val="12"/>
              <w:spacing w:line="390" w:lineRule="exact"/>
              <w:ind w:firstLine="0" w:firstLineChars="0"/>
              <w:jc w:val="center"/>
              <w:rPr>
                <w:rFonts w:ascii="Times New Roman" w:hAnsi="Times New Roman"/>
                <w:b/>
                <w:bCs/>
                <w:color w:val="000000"/>
                <w:sz w:val="22"/>
                <w:szCs w:val="22"/>
              </w:rPr>
            </w:pPr>
            <w:r>
              <w:rPr>
                <w:rFonts w:ascii="Times New Roman" w:hAnsi="Times New Roman"/>
                <w:b/>
                <w:bCs/>
                <w:color w:val="000000"/>
                <w:sz w:val="22"/>
                <w:szCs w:val="22"/>
              </w:rPr>
              <w:t>发明专利（标准）有效状态</w:t>
            </w:r>
          </w:p>
        </w:tc>
      </w:tr>
      <w:tr w14:paraId="0AD2D5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2D0DF41F">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0B5B1B0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一种在低信噪比OD流数据中识别聚类簇的方法</w:t>
            </w:r>
          </w:p>
        </w:tc>
        <w:tc>
          <w:tcPr>
            <w:tcW w:w="0" w:type="auto"/>
            <w:tcBorders>
              <w:top w:val="single" w:color="auto" w:sz="4" w:space="0"/>
              <w:left w:val="single" w:color="auto" w:sz="4" w:space="0"/>
              <w:bottom w:val="single" w:color="auto" w:sz="4" w:space="0"/>
              <w:right w:val="single" w:color="auto" w:sz="4" w:space="0"/>
            </w:tcBorders>
          </w:tcPr>
          <w:p w14:paraId="4127FC16">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35FEA219">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CN121030381B</w:t>
            </w:r>
          </w:p>
        </w:tc>
        <w:tc>
          <w:tcPr>
            <w:tcW w:w="0" w:type="auto"/>
            <w:tcBorders>
              <w:top w:val="single" w:color="auto" w:sz="4" w:space="0"/>
              <w:left w:val="single" w:color="auto" w:sz="4" w:space="0"/>
              <w:bottom w:val="single" w:color="auto" w:sz="4" w:space="0"/>
              <w:right w:val="single" w:color="auto" w:sz="4" w:space="0"/>
            </w:tcBorders>
          </w:tcPr>
          <w:p w14:paraId="049D6537">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2026-04-03</w:t>
            </w:r>
          </w:p>
        </w:tc>
        <w:tc>
          <w:tcPr>
            <w:tcW w:w="0" w:type="auto"/>
            <w:tcBorders>
              <w:top w:val="single" w:color="auto" w:sz="4" w:space="0"/>
              <w:left w:val="single" w:color="auto" w:sz="4" w:space="0"/>
              <w:bottom w:val="single" w:color="auto" w:sz="4" w:space="0"/>
              <w:right w:val="single" w:color="auto" w:sz="4" w:space="0"/>
            </w:tcBorders>
          </w:tcPr>
          <w:p w14:paraId="2540911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8832296</w:t>
            </w:r>
          </w:p>
        </w:tc>
        <w:tc>
          <w:tcPr>
            <w:tcW w:w="0" w:type="auto"/>
            <w:tcBorders>
              <w:top w:val="single" w:color="auto" w:sz="4" w:space="0"/>
              <w:left w:val="single" w:color="auto" w:sz="4" w:space="0"/>
              <w:bottom w:val="single" w:color="auto" w:sz="4" w:space="0"/>
              <w:right w:val="single" w:color="auto" w:sz="4" w:space="0"/>
            </w:tcBorders>
          </w:tcPr>
          <w:p w14:paraId="390A522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5BFF851A">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裴韬;方子东;宋辞;蒋林峰;刘笑寒;刘天宇;陈洁</w:t>
            </w:r>
          </w:p>
        </w:tc>
        <w:tc>
          <w:tcPr>
            <w:tcW w:w="0" w:type="auto"/>
            <w:tcBorders>
              <w:top w:val="single" w:color="auto" w:sz="4" w:space="0"/>
              <w:left w:val="single" w:color="auto" w:sz="4" w:space="0"/>
              <w:bottom w:val="single" w:color="auto" w:sz="4" w:space="0"/>
              <w:right w:val="single" w:color="auto" w:sz="8" w:space="0"/>
            </w:tcBorders>
          </w:tcPr>
          <w:p w14:paraId="74A220D7">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74110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5559A51A">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6B1FB1B5">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一种协同多元数据时空特征的出行流尺度转换方法及系统</w:t>
            </w:r>
          </w:p>
        </w:tc>
        <w:tc>
          <w:tcPr>
            <w:tcW w:w="0" w:type="auto"/>
            <w:tcBorders>
              <w:top w:val="single" w:color="auto" w:sz="4" w:space="0"/>
              <w:left w:val="single" w:color="auto" w:sz="4" w:space="0"/>
              <w:bottom w:val="single" w:color="auto" w:sz="4" w:space="0"/>
              <w:right w:val="single" w:color="auto" w:sz="4" w:space="0"/>
            </w:tcBorders>
          </w:tcPr>
          <w:p w14:paraId="39F14FB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798CB72F">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CN121908220B</w:t>
            </w:r>
          </w:p>
        </w:tc>
        <w:tc>
          <w:tcPr>
            <w:tcW w:w="0" w:type="auto"/>
            <w:tcBorders>
              <w:top w:val="single" w:color="auto" w:sz="4" w:space="0"/>
              <w:left w:val="single" w:color="auto" w:sz="4" w:space="0"/>
              <w:bottom w:val="single" w:color="auto" w:sz="4" w:space="0"/>
              <w:right w:val="single" w:color="auto" w:sz="4" w:space="0"/>
            </w:tcBorders>
          </w:tcPr>
          <w:p w14:paraId="01CE9876">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2026-08-07</w:t>
            </w:r>
          </w:p>
          <w:p w14:paraId="265C88C0">
            <w:pPr>
              <w:rPr>
                <w:rFonts w:hint="eastAsia"/>
              </w:rPr>
            </w:pPr>
          </w:p>
        </w:tc>
        <w:tc>
          <w:tcPr>
            <w:tcW w:w="0" w:type="auto"/>
            <w:tcBorders>
              <w:top w:val="single" w:color="auto" w:sz="4" w:space="0"/>
              <w:left w:val="single" w:color="auto" w:sz="4" w:space="0"/>
              <w:bottom w:val="single" w:color="auto" w:sz="4" w:space="0"/>
              <w:right w:val="single" w:color="auto" w:sz="4" w:space="0"/>
            </w:tcBorders>
          </w:tcPr>
          <w:p w14:paraId="46F6FF32">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9168774</w:t>
            </w:r>
          </w:p>
        </w:tc>
        <w:tc>
          <w:tcPr>
            <w:tcW w:w="0" w:type="auto"/>
            <w:tcBorders>
              <w:top w:val="single" w:color="auto" w:sz="4" w:space="0"/>
              <w:left w:val="single" w:color="auto" w:sz="4" w:space="0"/>
              <w:bottom w:val="single" w:color="auto" w:sz="4" w:space="0"/>
              <w:right w:val="single" w:color="auto" w:sz="4" w:space="0"/>
            </w:tcBorders>
          </w:tcPr>
          <w:p w14:paraId="0CA90C04">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4C3EA9AD">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裴韬;刘笑寒;宋辞;蒋林峰;刘天宇;方子东</w:t>
            </w:r>
          </w:p>
        </w:tc>
        <w:tc>
          <w:tcPr>
            <w:tcW w:w="0" w:type="auto"/>
            <w:tcBorders>
              <w:top w:val="single" w:color="auto" w:sz="4" w:space="0"/>
              <w:left w:val="single" w:color="auto" w:sz="4" w:space="0"/>
              <w:bottom w:val="single" w:color="auto" w:sz="4" w:space="0"/>
              <w:right w:val="single" w:color="auto" w:sz="8" w:space="0"/>
            </w:tcBorders>
          </w:tcPr>
          <w:p w14:paraId="1B0042D8">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32DAB6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4C859A47">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3C7C64D8">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一种基于手机信令数据的用户室内外状态判别方法</w:t>
            </w:r>
          </w:p>
        </w:tc>
        <w:tc>
          <w:tcPr>
            <w:tcW w:w="0" w:type="auto"/>
            <w:tcBorders>
              <w:top w:val="single" w:color="auto" w:sz="4" w:space="0"/>
              <w:left w:val="single" w:color="auto" w:sz="4" w:space="0"/>
              <w:bottom w:val="single" w:color="auto" w:sz="4" w:space="0"/>
              <w:right w:val="single" w:color="auto" w:sz="4" w:space="0"/>
            </w:tcBorders>
          </w:tcPr>
          <w:p w14:paraId="0B357E26">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1E353CD1">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CN116723468B</w:t>
            </w:r>
          </w:p>
        </w:tc>
        <w:tc>
          <w:tcPr>
            <w:tcW w:w="0" w:type="auto"/>
            <w:tcBorders>
              <w:top w:val="single" w:color="auto" w:sz="4" w:space="0"/>
              <w:left w:val="single" w:color="auto" w:sz="4" w:space="0"/>
              <w:bottom w:val="single" w:color="auto" w:sz="4" w:space="0"/>
              <w:right w:val="single" w:color="auto" w:sz="4" w:space="0"/>
            </w:tcBorders>
          </w:tcPr>
          <w:p w14:paraId="7B6ADC9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2026-06-26</w:t>
            </w:r>
          </w:p>
        </w:tc>
        <w:tc>
          <w:tcPr>
            <w:tcW w:w="0" w:type="auto"/>
            <w:tcBorders>
              <w:top w:val="single" w:color="auto" w:sz="4" w:space="0"/>
              <w:left w:val="single" w:color="auto" w:sz="4" w:space="0"/>
              <w:bottom w:val="single" w:color="auto" w:sz="4" w:space="0"/>
              <w:right w:val="single" w:color="auto" w:sz="4" w:space="0"/>
            </w:tcBorders>
          </w:tcPr>
          <w:p w14:paraId="4D9C7AD2">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9050131</w:t>
            </w:r>
          </w:p>
        </w:tc>
        <w:tc>
          <w:tcPr>
            <w:tcW w:w="0" w:type="auto"/>
            <w:tcBorders>
              <w:top w:val="single" w:color="auto" w:sz="4" w:space="0"/>
              <w:left w:val="single" w:color="auto" w:sz="4" w:space="0"/>
              <w:bottom w:val="single" w:color="auto" w:sz="4" w:space="0"/>
              <w:right w:val="single" w:color="auto" w:sz="4" w:space="0"/>
            </w:tcBorders>
          </w:tcPr>
          <w:p w14:paraId="0720A388">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0A2E58B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裴韬;蒋林峰;宋辞</w:t>
            </w:r>
          </w:p>
        </w:tc>
        <w:tc>
          <w:tcPr>
            <w:tcW w:w="0" w:type="auto"/>
            <w:tcBorders>
              <w:top w:val="single" w:color="auto" w:sz="4" w:space="0"/>
              <w:left w:val="single" w:color="auto" w:sz="4" w:space="0"/>
              <w:bottom w:val="single" w:color="auto" w:sz="4" w:space="0"/>
              <w:right w:val="single" w:color="auto" w:sz="8" w:space="0"/>
            </w:tcBorders>
          </w:tcPr>
          <w:p w14:paraId="2F0D78A9">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799D86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0B9CD9B1">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1B580C4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一种基于手机数据的精细尺度城市人群数量预测方法</w:t>
            </w:r>
          </w:p>
        </w:tc>
        <w:tc>
          <w:tcPr>
            <w:tcW w:w="0" w:type="auto"/>
            <w:tcBorders>
              <w:top w:val="single" w:color="auto" w:sz="4" w:space="0"/>
              <w:left w:val="single" w:color="auto" w:sz="4" w:space="0"/>
              <w:bottom w:val="single" w:color="auto" w:sz="4" w:space="0"/>
              <w:right w:val="single" w:color="auto" w:sz="4" w:space="0"/>
            </w:tcBorders>
          </w:tcPr>
          <w:p w14:paraId="1BDCDE3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03466BBB">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CN108021980B</w:t>
            </w:r>
          </w:p>
        </w:tc>
        <w:tc>
          <w:tcPr>
            <w:tcW w:w="0" w:type="auto"/>
            <w:tcBorders>
              <w:top w:val="single" w:color="auto" w:sz="4" w:space="0"/>
              <w:left w:val="single" w:color="auto" w:sz="4" w:space="0"/>
              <w:bottom w:val="single" w:color="auto" w:sz="4" w:space="0"/>
              <w:right w:val="single" w:color="auto" w:sz="4" w:space="0"/>
            </w:tcBorders>
          </w:tcPr>
          <w:p w14:paraId="3F9FA6C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2020-04-17</w:t>
            </w:r>
          </w:p>
        </w:tc>
        <w:tc>
          <w:tcPr>
            <w:tcW w:w="0" w:type="auto"/>
            <w:tcBorders>
              <w:top w:val="single" w:color="auto" w:sz="4" w:space="0"/>
              <w:left w:val="single" w:color="auto" w:sz="4" w:space="0"/>
              <w:bottom w:val="single" w:color="auto" w:sz="4" w:space="0"/>
              <w:right w:val="single" w:color="auto" w:sz="4" w:space="0"/>
            </w:tcBorders>
          </w:tcPr>
          <w:p w14:paraId="6ACEACF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3760752</w:t>
            </w:r>
          </w:p>
        </w:tc>
        <w:tc>
          <w:tcPr>
            <w:tcW w:w="0" w:type="auto"/>
            <w:tcBorders>
              <w:top w:val="single" w:color="auto" w:sz="4" w:space="0"/>
              <w:left w:val="single" w:color="auto" w:sz="4" w:space="0"/>
              <w:bottom w:val="single" w:color="auto" w:sz="4" w:space="0"/>
              <w:right w:val="single" w:color="auto" w:sz="4" w:space="0"/>
            </w:tcBorders>
          </w:tcPr>
          <w:p w14:paraId="15CF3E54">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4A96DCE1">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陈洁;裴韬;陆锋;李明晓;程诗奋</w:t>
            </w:r>
          </w:p>
        </w:tc>
        <w:tc>
          <w:tcPr>
            <w:tcW w:w="0" w:type="auto"/>
            <w:tcBorders>
              <w:top w:val="single" w:color="auto" w:sz="4" w:space="0"/>
              <w:left w:val="single" w:color="auto" w:sz="4" w:space="0"/>
              <w:bottom w:val="single" w:color="auto" w:sz="4" w:space="0"/>
              <w:right w:val="single" w:color="auto" w:sz="8" w:space="0"/>
            </w:tcBorders>
          </w:tcPr>
          <w:p w14:paraId="18A47EB4">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2CC6B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2B3D9E7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75F40287">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一种融合时序街景数据和遥感数据的街面更新识别方法</w:t>
            </w:r>
          </w:p>
        </w:tc>
        <w:tc>
          <w:tcPr>
            <w:tcW w:w="0" w:type="auto"/>
            <w:tcBorders>
              <w:top w:val="single" w:color="auto" w:sz="4" w:space="0"/>
              <w:left w:val="single" w:color="auto" w:sz="4" w:space="0"/>
              <w:bottom w:val="single" w:color="auto" w:sz="4" w:space="0"/>
              <w:right w:val="single" w:color="auto" w:sz="4" w:space="0"/>
            </w:tcBorders>
          </w:tcPr>
          <w:p w14:paraId="2D11FF1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2672D2C5">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CN122368611B</w:t>
            </w:r>
          </w:p>
        </w:tc>
        <w:tc>
          <w:tcPr>
            <w:tcW w:w="0" w:type="auto"/>
            <w:tcBorders>
              <w:top w:val="single" w:color="auto" w:sz="4" w:space="0"/>
              <w:left w:val="single" w:color="auto" w:sz="4" w:space="0"/>
              <w:bottom w:val="single" w:color="auto" w:sz="4" w:space="0"/>
              <w:right w:val="single" w:color="auto" w:sz="4" w:space="0"/>
            </w:tcBorders>
          </w:tcPr>
          <w:p w14:paraId="1E0C8DC2">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2026-09-04</w:t>
            </w:r>
          </w:p>
        </w:tc>
        <w:tc>
          <w:tcPr>
            <w:tcW w:w="0" w:type="auto"/>
            <w:tcBorders>
              <w:top w:val="single" w:color="auto" w:sz="4" w:space="0"/>
              <w:left w:val="single" w:color="auto" w:sz="4" w:space="0"/>
              <w:bottom w:val="single" w:color="auto" w:sz="4" w:space="0"/>
              <w:right w:val="single" w:color="auto" w:sz="4" w:space="0"/>
            </w:tcBorders>
          </w:tcPr>
          <w:p w14:paraId="62A71C2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9243953</w:t>
            </w:r>
          </w:p>
        </w:tc>
        <w:tc>
          <w:tcPr>
            <w:tcW w:w="0" w:type="auto"/>
            <w:tcBorders>
              <w:top w:val="single" w:color="auto" w:sz="4" w:space="0"/>
              <w:left w:val="single" w:color="auto" w:sz="4" w:space="0"/>
              <w:bottom w:val="single" w:color="auto" w:sz="4" w:space="0"/>
              <w:right w:val="single" w:color="auto" w:sz="4" w:space="0"/>
            </w:tcBorders>
          </w:tcPr>
          <w:p w14:paraId="3FF0B5E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107E2FD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宋辞;王筱彤;裴韬;陈洁;杨宗翰;蒋林峰</w:t>
            </w:r>
          </w:p>
        </w:tc>
        <w:tc>
          <w:tcPr>
            <w:tcW w:w="0" w:type="auto"/>
            <w:tcBorders>
              <w:top w:val="single" w:color="auto" w:sz="4" w:space="0"/>
              <w:left w:val="single" w:color="auto" w:sz="4" w:space="0"/>
              <w:bottom w:val="single" w:color="auto" w:sz="4" w:space="0"/>
              <w:right w:val="single" w:color="auto" w:sz="8" w:space="0"/>
            </w:tcBorders>
          </w:tcPr>
          <w:p w14:paraId="53FD0572">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3098AA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4923D1B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7E3231D9">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一种基于图网络层次划分的地理知识关联索引与检索方法</w:t>
            </w:r>
          </w:p>
        </w:tc>
        <w:tc>
          <w:tcPr>
            <w:tcW w:w="0" w:type="auto"/>
            <w:tcBorders>
              <w:top w:val="single" w:color="auto" w:sz="4" w:space="0"/>
              <w:left w:val="single" w:color="auto" w:sz="4" w:space="0"/>
              <w:bottom w:val="single" w:color="auto" w:sz="4" w:space="0"/>
              <w:right w:val="single" w:color="auto" w:sz="4" w:space="0"/>
            </w:tcBorders>
          </w:tcPr>
          <w:p w14:paraId="66AF5986">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700A6815">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CN116860901B</w:t>
            </w:r>
          </w:p>
        </w:tc>
        <w:tc>
          <w:tcPr>
            <w:tcW w:w="0" w:type="auto"/>
            <w:tcBorders>
              <w:top w:val="single" w:color="auto" w:sz="4" w:space="0"/>
              <w:left w:val="single" w:color="auto" w:sz="4" w:space="0"/>
              <w:bottom w:val="single" w:color="auto" w:sz="4" w:space="0"/>
              <w:right w:val="single" w:color="auto" w:sz="4" w:space="0"/>
            </w:tcBorders>
          </w:tcPr>
          <w:p w14:paraId="5A47D7E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2024-07-02</w:t>
            </w:r>
          </w:p>
        </w:tc>
        <w:tc>
          <w:tcPr>
            <w:tcW w:w="0" w:type="auto"/>
            <w:tcBorders>
              <w:top w:val="single" w:color="auto" w:sz="4" w:space="0"/>
              <w:left w:val="single" w:color="auto" w:sz="4" w:space="0"/>
              <w:bottom w:val="single" w:color="auto" w:sz="4" w:space="0"/>
              <w:right w:val="single" w:color="auto" w:sz="4" w:space="0"/>
            </w:tcBorders>
          </w:tcPr>
          <w:p w14:paraId="11319C19">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7153032</w:t>
            </w:r>
          </w:p>
        </w:tc>
        <w:tc>
          <w:tcPr>
            <w:tcW w:w="0" w:type="auto"/>
            <w:tcBorders>
              <w:top w:val="single" w:color="auto" w:sz="4" w:space="0"/>
              <w:left w:val="single" w:color="auto" w:sz="4" w:space="0"/>
              <w:bottom w:val="single" w:color="auto" w:sz="4" w:space="0"/>
              <w:right w:val="single" w:color="auto" w:sz="4" w:space="0"/>
            </w:tcBorders>
          </w:tcPr>
          <w:p w14:paraId="373E17E4">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64275121">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王曙;闵祥强;诸云强</w:t>
            </w:r>
          </w:p>
        </w:tc>
        <w:tc>
          <w:tcPr>
            <w:tcW w:w="0" w:type="auto"/>
            <w:tcBorders>
              <w:top w:val="single" w:color="auto" w:sz="4" w:space="0"/>
              <w:left w:val="single" w:color="auto" w:sz="4" w:space="0"/>
              <w:bottom w:val="single" w:color="auto" w:sz="4" w:space="0"/>
              <w:right w:val="single" w:color="auto" w:sz="8" w:space="0"/>
            </w:tcBorders>
          </w:tcPr>
          <w:p w14:paraId="53604DE2">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040AD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406002A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3E53669D">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基于位置大数据的精细时空尺度动态人口预测方法及系统</w:t>
            </w:r>
          </w:p>
        </w:tc>
        <w:tc>
          <w:tcPr>
            <w:tcW w:w="0" w:type="auto"/>
            <w:tcBorders>
              <w:top w:val="single" w:color="auto" w:sz="4" w:space="0"/>
              <w:left w:val="single" w:color="auto" w:sz="4" w:space="0"/>
              <w:bottom w:val="single" w:color="auto" w:sz="4" w:space="0"/>
              <w:right w:val="single" w:color="auto" w:sz="4" w:space="0"/>
            </w:tcBorders>
          </w:tcPr>
          <w:p w14:paraId="20945E9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76FE951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CN111932036B</w:t>
            </w:r>
          </w:p>
        </w:tc>
        <w:tc>
          <w:tcPr>
            <w:tcW w:w="0" w:type="auto"/>
            <w:tcBorders>
              <w:top w:val="single" w:color="auto" w:sz="4" w:space="0"/>
              <w:left w:val="single" w:color="auto" w:sz="4" w:space="0"/>
              <w:bottom w:val="single" w:color="auto" w:sz="4" w:space="0"/>
              <w:right w:val="single" w:color="auto" w:sz="4" w:space="0"/>
            </w:tcBorders>
          </w:tcPr>
          <w:p w14:paraId="1FAB387A">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2021-01-08</w:t>
            </w:r>
          </w:p>
        </w:tc>
        <w:tc>
          <w:tcPr>
            <w:tcW w:w="0" w:type="auto"/>
            <w:tcBorders>
              <w:top w:val="single" w:color="auto" w:sz="4" w:space="0"/>
              <w:left w:val="single" w:color="auto" w:sz="4" w:space="0"/>
              <w:bottom w:val="single" w:color="auto" w:sz="4" w:space="0"/>
              <w:right w:val="single" w:color="auto" w:sz="4" w:space="0"/>
            </w:tcBorders>
          </w:tcPr>
          <w:p w14:paraId="06A269FB">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4194451</w:t>
            </w:r>
          </w:p>
        </w:tc>
        <w:tc>
          <w:tcPr>
            <w:tcW w:w="0" w:type="auto"/>
            <w:tcBorders>
              <w:top w:val="single" w:color="auto" w:sz="4" w:space="0"/>
              <w:left w:val="single" w:color="auto" w:sz="4" w:space="0"/>
              <w:bottom w:val="single" w:color="auto" w:sz="4" w:space="0"/>
              <w:right w:val="single" w:color="auto" w:sz="4" w:space="0"/>
            </w:tcBorders>
          </w:tcPr>
          <w:p w14:paraId="1FC86481">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4" w:space="0"/>
              <w:right w:val="single" w:color="auto" w:sz="4" w:space="0"/>
            </w:tcBorders>
          </w:tcPr>
          <w:p w14:paraId="65C463A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刘张;杜云艳;易嘉伟</w:t>
            </w:r>
          </w:p>
        </w:tc>
        <w:tc>
          <w:tcPr>
            <w:tcW w:w="0" w:type="auto"/>
            <w:tcBorders>
              <w:top w:val="single" w:color="auto" w:sz="4" w:space="0"/>
              <w:left w:val="single" w:color="auto" w:sz="4" w:space="0"/>
              <w:bottom w:val="single" w:color="auto" w:sz="4" w:space="0"/>
              <w:right w:val="single" w:color="auto" w:sz="8" w:space="0"/>
            </w:tcBorders>
          </w:tcPr>
          <w:p w14:paraId="3A30FA9B">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37630B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2673E771">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4782983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基于全局区间误差的学习型时空索引方法、装置及介质</w:t>
            </w:r>
          </w:p>
        </w:tc>
        <w:tc>
          <w:tcPr>
            <w:tcW w:w="0" w:type="auto"/>
            <w:tcBorders>
              <w:top w:val="single" w:color="auto" w:sz="4" w:space="0"/>
              <w:left w:val="single" w:color="auto" w:sz="4" w:space="0"/>
              <w:bottom w:val="single" w:color="auto" w:sz="4" w:space="0"/>
              <w:right w:val="single" w:color="auto" w:sz="4" w:space="0"/>
            </w:tcBorders>
          </w:tcPr>
          <w:p w14:paraId="78175338">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31E07D3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CN113704565B</w:t>
            </w:r>
          </w:p>
        </w:tc>
        <w:tc>
          <w:tcPr>
            <w:tcW w:w="0" w:type="auto"/>
            <w:tcBorders>
              <w:top w:val="single" w:color="auto" w:sz="4" w:space="0"/>
              <w:left w:val="single" w:color="auto" w:sz="4" w:space="0"/>
              <w:bottom w:val="single" w:color="auto" w:sz="4" w:space="0"/>
              <w:right w:val="single" w:color="auto" w:sz="4" w:space="0"/>
            </w:tcBorders>
          </w:tcPr>
          <w:p w14:paraId="0C31443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2021-10-28</w:t>
            </w:r>
          </w:p>
        </w:tc>
        <w:tc>
          <w:tcPr>
            <w:tcW w:w="0" w:type="auto"/>
            <w:tcBorders>
              <w:top w:val="single" w:color="auto" w:sz="4" w:space="0"/>
              <w:left w:val="single" w:color="auto" w:sz="4" w:space="0"/>
              <w:bottom w:val="single" w:color="auto" w:sz="4" w:space="0"/>
              <w:right w:val="single" w:color="auto" w:sz="4" w:space="0"/>
            </w:tcBorders>
          </w:tcPr>
          <w:p w14:paraId="591378AE">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4943069</w:t>
            </w:r>
          </w:p>
        </w:tc>
        <w:tc>
          <w:tcPr>
            <w:tcW w:w="0" w:type="auto"/>
            <w:tcBorders>
              <w:top w:val="single" w:color="auto" w:sz="4" w:space="0"/>
              <w:left w:val="single" w:color="auto" w:sz="4" w:space="0"/>
              <w:bottom w:val="single" w:color="auto" w:sz="4" w:space="0"/>
              <w:right w:val="single" w:color="auto" w:sz="4" w:space="0"/>
            </w:tcBorders>
          </w:tcPr>
          <w:p w14:paraId="5B097E9B">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浙江大学</w:t>
            </w:r>
          </w:p>
        </w:tc>
        <w:tc>
          <w:tcPr>
            <w:tcW w:w="0" w:type="auto"/>
            <w:tcBorders>
              <w:top w:val="single" w:color="auto" w:sz="4" w:space="0"/>
              <w:left w:val="single" w:color="auto" w:sz="4" w:space="0"/>
              <w:bottom w:val="single" w:color="auto" w:sz="4" w:space="0"/>
              <w:right w:val="single" w:color="auto" w:sz="4" w:space="0"/>
            </w:tcBorders>
          </w:tcPr>
          <w:p w14:paraId="164AE085">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 xml:space="preserve">胡林舒;张丰;陈宁华;覃梦娇;汪愿愿;吴森森;杜震洪;傅晨华 </w:t>
            </w:r>
          </w:p>
        </w:tc>
        <w:tc>
          <w:tcPr>
            <w:tcW w:w="0" w:type="auto"/>
            <w:tcBorders>
              <w:top w:val="single" w:color="auto" w:sz="4" w:space="0"/>
              <w:left w:val="single" w:color="auto" w:sz="4" w:space="0"/>
              <w:bottom w:val="single" w:color="auto" w:sz="4" w:space="0"/>
              <w:right w:val="single" w:color="auto" w:sz="8" w:space="0"/>
            </w:tcBorders>
          </w:tcPr>
          <w:p w14:paraId="51940A7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04D5E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4" w:space="0"/>
              <w:right w:val="single" w:color="auto" w:sz="4" w:space="0"/>
            </w:tcBorders>
          </w:tcPr>
          <w:p w14:paraId="298B3225">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发明专利</w:t>
            </w:r>
          </w:p>
        </w:tc>
        <w:tc>
          <w:tcPr>
            <w:tcW w:w="0" w:type="auto"/>
            <w:tcBorders>
              <w:top w:val="single" w:color="auto" w:sz="4" w:space="0"/>
              <w:left w:val="single" w:color="auto" w:sz="4" w:space="0"/>
              <w:bottom w:val="single" w:color="auto" w:sz="4" w:space="0"/>
              <w:right w:val="single" w:color="auto" w:sz="4" w:space="0"/>
            </w:tcBorders>
          </w:tcPr>
          <w:p w14:paraId="5C0F8709">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一种基于深度神经网络模型的地址信息特征抽取方法</w:t>
            </w:r>
          </w:p>
        </w:tc>
        <w:tc>
          <w:tcPr>
            <w:tcW w:w="0" w:type="auto"/>
            <w:tcBorders>
              <w:top w:val="single" w:color="auto" w:sz="4" w:space="0"/>
              <w:left w:val="single" w:color="auto" w:sz="4" w:space="0"/>
              <w:bottom w:val="single" w:color="auto" w:sz="4" w:space="0"/>
              <w:right w:val="single" w:color="auto" w:sz="4" w:space="0"/>
            </w:tcBorders>
          </w:tcPr>
          <w:p w14:paraId="5ABC5D0D">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4" w:space="0"/>
              <w:right w:val="single" w:color="auto" w:sz="4" w:space="0"/>
            </w:tcBorders>
          </w:tcPr>
          <w:p w14:paraId="074AB47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CN110377686B</w:t>
            </w:r>
          </w:p>
        </w:tc>
        <w:tc>
          <w:tcPr>
            <w:tcW w:w="0" w:type="auto"/>
            <w:tcBorders>
              <w:top w:val="single" w:color="auto" w:sz="4" w:space="0"/>
              <w:left w:val="single" w:color="auto" w:sz="4" w:space="0"/>
              <w:bottom w:val="single" w:color="auto" w:sz="4" w:space="0"/>
              <w:right w:val="single" w:color="auto" w:sz="4" w:space="0"/>
            </w:tcBorders>
          </w:tcPr>
          <w:p w14:paraId="57F8D1B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2021-09-17</w:t>
            </w:r>
          </w:p>
        </w:tc>
        <w:tc>
          <w:tcPr>
            <w:tcW w:w="0" w:type="auto"/>
            <w:tcBorders>
              <w:top w:val="single" w:color="auto" w:sz="4" w:space="0"/>
              <w:left w:val="single" w:color="auto" w:sz="4" w:space="0"/>
              <w:bottom w:val="single" w:color="auto" w:sz="4" w:space="0"/>
              <w:right w:val="single" w:color="auto" w:sz="4" w:space="0"/>
            </w:tcBorders>
          </w:tcPr>
          <w:p w14:paraId="7F91B5E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4687420</w:t>
            </w:r>
          </w:p>
        </w:tc>
        <w:tc>
          <w:tcPr>
            <w:tcW w:w="0" w:type="auto"/>
            <w:tcBorders>
              <w:top w:val="single" w:color="auto" w:sz="4" w:space="0"/>
              <w:left w:val="single" w:color="auto" w:sz="4" w:space="0"/>
              <w:bottom w:val="single" w:color="auto" w:sz="4" w:space="0"/>
              <w:right w:val="single" w:color="auto" w:sz="4" w:space="0"/>
            </w:tcBorders>
          </w:tcPr>
          <w:p w14:paraId="13FBBAF5">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浙江大学</w:t>
            </w:r>
          </w:p>
        </w:tc>
        <w:tc>
          <w:tcPr>
            <w:tcW w:w="0" w:type="auto"/>
            <w:tcBorders>
              <w:top w:val="single" w:color="auto" w:sz="4" w:space="0"/>
              <w:left w:val="single" w:color="auto" w:sz="4" w:space="0"/>
              <w:bottom w:val="single" w:color="auto" w:sz="4" w:space="0"/>
              <w:right w:val="single" w:color="auto" w:sz="4" w:space="0"/>
            </w:tcBorders>
          </w:tcPr>
          <w:p w14:paraId="3B3FF54A">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张丰;毛瑞琛;杜震洪;徐流畅;叶华鑫</w:t>
            </w:r>
          </w:p>
        </w:tc>
        <w:tc>
          <w:tcPr>
            <w:tcW w:w="0" w:type="auto"/>
            <w:tcBorders>
              <w:top w:val="single" w:color="auto" w:sz="4" w:space="0"/>
              <w:left w:val="single" w:color="auto" w:sz="4" w:space="0"/>
              <w:bottom w:val="single" w:color="auto" w:sz="4" w:space="0"/>
              <w:right w:val="single" w:color="auto" w:sz="8" w:space="0"/>
            </w:tcBorders>
          </w:tcPr>
          <w:p w14:paraId="1FB1D8C6">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r w14:paraId="46D68A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0" w:type="auto"/>
            <w:tcBorders>
              <w:top w:val="single" w:color="auto" w:sz="4" w:space="0"/>
              <w:left w:val="single" w:color="auto" w:sz="8" w:space="0"/>
              <w:bottom w:val="single" w:color="auto" w:sz="8" w:space="0"/>
              <w:right w:val="single" w:color="auto" w:sz="4" w:space="0"/>
            </w:tcBorders>
          </w:tcPr>
          <w:p w14:paraId="16A8B9AC">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计算机软件著作权</w:t>
            </w:r>
          </w:p>
        </w:tc>
        <w:tc>
          <w:tcPr>
            <w:tcW w:w="0" w:type="auto"/>
            <w:tcBorders>
              <w:top w:val="single" w:color="auto" w:sz="4" w:space="0"/>
              <w:left w:val="single" w:color="auto" w:sz="4" w:space="0"/>
              <w:bottom w:val="single" w:color="auto" w:sz="8" w:space="0"/>
              <w:right w:val="single" w:color="auto" w:sz="4" w:space="0"/>
            </w:tcBorders>
          </w:tcPr>
          <w:p w14:paraId="61E7BED8">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多源时空流大数据模式挖掘与计算系统V1.0</w:t>
            </w:r>
          </w:p>
        </w:tc>
        <w:tc>
          <w:tcPr>
            <w:tcW w:w="0" w:type="auto"/>
            <w:tcBorders>
              <w:top w:val="single" w:color="auto" w:sz="4" w:space="0"/>
              <w:left w:val="single" w:color="auto" w:sz="4" w:space="0"/>
              <w:bottom w:val="single" w:color="auto" w:sz="8" w:space="0"/>
              <w:right w:val="single" w:color="auto" w:sz="4" w:space="0"/>
            </w:tcBorders>
          </w:tcPr>
          <w:p w14:paraId="129149A0">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w:t>
            </w:r>
          </w:p>
        </w:tc>
        <w:tc>
          <w:tcPr>
            <w:tcW w:w="0" w:type="auto"/>
            <w:tcBorders>
              <w:top w:val="single" w:color="auto" w:sz="4" w:space="0"/>
              <w:left w:val="single" w:color="auto" w:sz="4" w:space="0"/>
              <w:bottom w:val="single" w:color="auto" w:sz="8" w:space="0"/>
              <w:right w:val="single" w:color="auto" w:sz="4" w:space="0"/>
            </w:tcBorders>
          </w:tcPr>
          <w:p w14:paraId="6AC23AD7">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2024SR2022496</w:t>
            </w:r>
          </w:p>
        </w:tc>
        <w:tc>
          <w:tcPr>
            <w:tcW w:w="0" w:type="auto"/>
            <w:tcBorders>
              <w:top w:val="single" w:color="auto" w:sz="4" w:space="0"/>
              <w:left w:val="single" w:color="auto" w:sz="4" w:space="0"/>
              <w:bottom w:val="single" w:color="auto" w:sz="8" w:space="0"/>
              <w:right w:val="single" w:color="auto" w:sz="4" w:space="0"/>
            </w:tcBorders>
          </w:tcPr>
          <w:p w14:paraId="38584164">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2024-12-09</w:t>
            </w:r>
          </w:p>
        </w:tc>
        <w:tc>
          <w:tcPr>
            <w:tcW w:w="0" w:type="auto"/>
            <w:tcBorders>
              <w:top w:val="single" w:color="auto" w:sz="4" w:space="0"/>
              <w:left w:val="single" w:color="auto" w:sz="4" w:space="0"/>
              <w:bottom w:val="single" w:color="auto" w:sz="8" w:space="0"/>
              <w:right w:val="single" w:color="auto" w:sz="4" w:space="0"/>
            </w:tcBorders>
          </w:tcPr>
          <w:p w14:paraId="2CD179C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14426369</w:t>
            </w:r>
          </w:p>
        </w:tc>
        <w:tc>
          <w:tcPr>
            <w:tcW w:w="0" w:type="auto"/>
            <w:tcBorders>
              <w:top w:val="single" w:color="auto" w:sz="4" w:space="0"/>
              <w:left w:val="single" w:color="auto" w:sz="4" w:space="0"/>
              <w:bottom w:val="single" w:color="auto" w:sz="8" w:space="0"/>
              <w:right w:val="single" w:color="auto" w:sz="4" w:space="0"/>
            </w:tcBorders>
          </w:tcPr>
          <w:p w14:paraId="7B38FEE9">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中国科学院地理科学与资源研究所</w:t>
            </w:r>
          </w:p>
        </w:tc>
        <w:tc>
          <w:tcPr>
            <w:tcW w:w="0" w:type="auto"/>
            <w:tcBorders>
              <w:top w:val="single" w:color="auto" w:sz="4" w:space="0"/>
              <w:left w:val="single" w:color="auto" w:sz="4" w:space="0"/>
              <w:bottom w:val="single" w:color="auto" w:sz="8" w:space="0"/>
              <w:right w:val="single" w:color="auto" w:sz="4" w:space="0"/>
            </w:tcBorders>
          </w:tcPr>
          <w:p w14:paraId="54981F03">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宋辞;王席;郑成龙;王筱彤;陈洁;裴韬;任亮;承达瑜</w:t>
            </w:r>
          </w:p>
        </w:tc>
        <w:tc>
          <w:tcPr>
            <w:tcW w:w="0" w:type="auto"/>
            <w:tcBorders>
              <w:top w:val="single" w:color="auto" w:sz="4" w:space="0"/>
              <w:left w:val="single" w:color="auto" w:sz="4" w:space="0"/>
              <w:bottom w:val="single" w:color="auto" w:sz="8" w:space="0"/>
              <w:right w:val="single" w:color="auto" w:sz="8" w:space="0"/>
            </w:tcBorders>
          </w:tcPr>
          <w:p w14:paraId="6AEAA55B">
            <w:pPr>
              <w:pStyle w:val="12"/>
              <w:spacing w:line="390" w:lineRule="exact"/>
              <w:ind w:firstLine="0" w:firstLineChars="0"/>
              <w:rPr>
                <w:rFonts w:ascii="Times New Roman" w:hAnsi="Times New Roman"/>
                <w:color w:val="000000"/>
                <w:sz w:val="22"/>
                <w:szCs w:val="22"/>
              </w:rPr>
            </w:pPr>
            <w:r>
              <w:rPr>
                <w:rFonts w:hint="eastAsia" w:ascii="Times New Roman" w:hAnsi="Times New Roman"/>
                <w:color w:val="000000"/>
                <w:sz w:val="22"/>
                <w:szCs w:val="22"/>
              </w:rPr>
              <w:t>有效</w:t>
            </w:r>
          </w:p>
        </w:tc>
      </w:tr>
    </w:tbl>
    <w:p w14:paraId="2C3CC302">
      <w:pPr>
        <w:jc w:val="both"/>
        <w:rPr>
          <w:rFonts w:hint="eastAsia" w:ascii="宋体" w:hAnsi="宋体" w:eastAsia="宋体"/>
          <w:b/>
          <w:sz w:val="36"/>
          <w:szCs w:val="36"/>
        </w:rPr>
      </w:pP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B4C"/>
    <w:rsid w:val="000063C2"/>
    <w:rsid w:val="000435FC"/>
    <w:rsid w:val="00044E8D"/>
    <w:rsid w:val="000540C1"/>
    <w:rsid w:val="00064986"/>
    <w:rsid w:val="00077934"/>
    <w:rsid w:val="00095669"/>
    <w:rsid w:val="000B0E19"/>
    <w:rsid w:val="000D46E9"/>
    <w:rsid w:val="000F6B60"/>
    <w:rsid w:val="001014AA"/>
    <w:rsid w:val="00103317"/>
    <w:rsid w:val="0010580D"/>
    <w:rsid w:val="00125472"/>
    <w:rsid w:val="001352A6"/>
    <w:rsid w:val="001362B4"/>
    <w:rsid w:val="001654D3"/>
    <w:rsid w:val="001A086A"/>
    <w:rsid w:val="001A7DB8"/>
    <w:rsid w:val="001C1D2B"/>
    <w:rsid w:val="001C5954"/>
    <w:rsid w:val="001D4D34"/>
    <w:rsid w:val="001D646C"/>
    <w:rsid w:val="001E66CB"/>
    <w:rsid w:val="001F1335"/>
    <w:rsid w:val="001F272C"/>
    <w:rsid w:val="001F7F8B"/>
    <w:rsid w:val="002100AE"/>
    <w:rsid w:val="00223294"/>
    <w:rsid w:val="00241A86"/>
    <w:rsid w:val="00266225"/>
    <w:rsid w:val="00292071"/>
    <w:rsid w:val="002C7C0D"/>
    <w:rsid w:val="002D4F78"/>
    <w:rsid w:val="0031319B"/>
    <w:rsid w:val="003239D8"/>
    <w:rsid w:val="0033063E"/>
    <w:rsid w:val="00335043"/>
    <w:rsid w:val="003356E9"/>
    <w:rsid w:val="003470BD"/>
    <w:rsid w:val="003521F6"/>
    <w:rsid w:val="00363455"/>
    <w:rsid w:val="00381470"/>
    <w:rsid w:val="00392C96"/>
    <w:rsid w:val="003A0941"/>
    <w:rsid w:val="003B4CD2"/>
    <w:rsid w:val="00411377"/>
    <w:rsid w:val="004146B9"/>
    <w:rsid w:val="00414F44"/>
    <w:rsid w:val="004205CD"/>
    <w:rsid w:val="00422EEF"/>
    <w:rsid w:val="00446D09"/>
    <w:rsid w:val="0045692C"/>
    <w:rsid w:val="004A3A5A"/>
    <w:rsid w:val="004A5B02"/>
    <w:rsid w:val="004C2169"/>
    <w:rsid w:val="004C3BDC"/>
    <w:rsid w:val="004C653A"/>
    <w:rsid w:val="004F7E9D"/>
    <w:rsid w:val="00504881"/>
    <w:rsid w:val="005105BD"/>
    <w:rsid w:val="005122ED"/>
    <w:rsid w:val="00543622"/>
    <w:rsid w:val="00565D97"/>
    <w:rsid w:val="00587AE1"/>
    <w:rsid w:val="00597ACE"/>
    <w:rsid w:val="005A0887"/>
    <w:rsid w:val="005A12A5"/>
    <w:rsid w:val="005A698B"/>
    <w:rsid w:val="005C1FDB"/>
    <w:rsid w:val="005D1172"/>
    <w:rsid w:val="005F1CB2"/>
    <w:rsid w:val="00600193"/>
    <w:rsid w:val="00621A80"/>
    <w:rsid w:val="006340B4"/>
    <w:rsid w:val="00643053"/>
    <w:rsid w:val="00684769"/>
    <w:rsid w:val="00690039"/>
    <w:rsid w:val="00690C18"/>
    <w:rsid w:val="00697A8F"/>
    <w:rsid w:val="006D322A"/>
    <w:rsid w:val="006E5D88"/>
    <w:rsid w:val="006E6DC6"/>
    <w:rsid w:val="006F1418"/>
    <w:rsid w:val="006F6D99"/>
    <w:rsid w:val="00757311"/>
    <w:rsid w:val="00765B78"/>
    <w:rsid w:val="007802E6"/>
    <w:rsid w:val="0078719F"/>
    <w:rsid w:val="007A0078"/>
    <w:rsid w:val="007A4B56"/>
    <w:rsid w:val="007A67CC"/>
    <w:rsid w:val="007B42F9"/>
    <w:rsid w:val="007B5920"/>
    <w:rsid w:val="007F1027"/>
    <w:rsid w:val="00822E98"/>
    <w:rsid w:val="00860391"/>
    <w:rsid w:val="008767E2"/>
    <w:rsid w:val="008816E5"/>
    <w:rsid w:val="00892D95"/>
    <w:rsid w:val="008C6747"/>
    <w:rsid w:val="008F59A5"/>
    <w:rsid w:val="00910BF7"/>
    <w:rsid w:val="009535CA"/>
    <w:rsid w:val="0099742F"/>
    <w:rsid w:val="009A2810"/>
    <w:rsid w:val="009B2536"/>
    <w:rsid w:val="009B5958"/>
    <w:rsid w:val="009C3052"/>
    <w:rsid w:val="009D2E80"/>
    <w:rsid w:val="009E4BC8"/>
    <w:rsid w:val="00A11517"/>
    <w:rsid w:val="00A202E9"/>
    <w:rsid w:val="00A46117"/>
    <w:rsid w:val="00A92B41"/>
    <w:rsid w:val="00AD24F5"/>
    <w:rsid w:val="00AD6092"/>
    <w:rsid w:val="00AE7829"/>
    <w:rsid w:val="00AF3BC6"/>
    <w:rsid w:val="00B010AD"/>
    <w:rsid w:val="00B033A5"/>
    <w:rsid w:val="00B07082"/>
    <w:rsid w:val="00B15B35"/>
    <w:rsid w:val="00B16CDF"/>
    <w:rsid w:val="00B17628"/>
    <w:rsid w:val="00B2296C"/>
    <w:rsid w:val="00B23C79"/>
    <w:rsid w:val="00B25FD6"/>
    <w:rsid w:val="00B477DA"/>
    <w:rsid w:val="00B62561"/>
    <w:rsid w:val="00B765F2"/>
    <w:rsid w:val="00BC5968"/>
    <w:rsid w:val="00BE6D80"/>
    <w:rsid w:val="00C02E39"/>
    <w:rsid w:val="00C2269E"/>
    <w:rsid w:val="00C239A0"/>
    <w:rsid w:val="00C57B3E"/>
    <w:rsid w:val="00C6193F"/>
    <w:rsid w:val="00C75D4E"/>
    <w:rsid w:val="00C9271E"/>
    <w:rsid w:val="00CB270C"/>
    <w:rsid w:val="00CC02CA"/>
    <w:rsid w:val="00CC4E3D"/>
    <w:rsid w:val="00CC751C"/>
    <w:rsid w:val="00CD4A5C"/>
    <w:rsid w:val="00CD6CBC"/>
    <w:rsid w:val="00CF46B6"/>
    <w:rsid w:val="00D13F35"/>
    <w:rsid w:val="00D23EA3"/>
    <w:rsid w:val="00D26B4C"/>
    <w:rsid w:val="00D436A6"/>
    <w:rsid w:val="00D8637B"/>
    <w:rsid w:val="00D952F1"/>
    <w:rsid w:val="00D95667"/>
    <w:rsid w:val="00DD191F"/>
    <w:rsid w:val="00DF5B8A"/>
    <w:rsid w:val="00E17237"/>
    <w:rsid w:val="00E27FD7"/>
    <w:rsid w:val="00E37A75"/>
    <w:rsid w:val="00E40FAC"/>
    <w:rsid w:val="00E57837"/>
    <w:rsid w:val="00E61D54"/>
    <w:rsid w:val="00E65508"/>
    <w:rsid w:val="00E739BE"/>
    <w:rsid w:val="00E82285"/>
    <w:rsid w:val="00E90D51"/>
    <w:rsid w:val="00E915FE"/>
    <w:rsid w:val="00E94088"/>
    <w:rsid w:val="00EB12AF"/>
    <w:rsid w:val="00EE294B"/>
    <w:rsid w:val="00EE6BC6"/>
    <w:rsid w:val="00F0413E"/>
    <w:rsid w:val="00F36E6B"/>
    <w:rsid w:val="00F46275"/>
    <w:rsid w:val="00F5250A"/>
    <w:rsid w:val="00F549D8"/>
    <w:rsid w:val="00F9269E"/>
    <w:rsid w:val="00FA3780"/>
    <w:rsid w:val="00FA4AB9"/>
    <w:rsid w:val="00FB27B0"/>
    <w:rsid w:val="00FB3936"/>
    <w:rsid w:val="00FB5731"/>
    <w:rsid w:val="00FD4954"/>
    <w:rsid w:val="00FE5D57"/>
    <w:rsid w:val="00FF698C"/>
    <w:rsid w:val="78ED038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30"/>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3"/>
    <w:qFormat/>
    <w:uiPriority w:val="0"/>
    <w:pPr>
      <w:spacing w:after="0" w:line="240" w:lineRule="auto"/>
    </w:pPr>
    <w:rPr>
      <w:rFonts w:ascii="Calibri" w:hAnsi="Calibri" w:eastAsia="宋体" w:cs="Times New Roman"/>
      <w:sz w:val="21"/>
      <w14:ligatures w14:val="none"/>
    </w:rPr>
  </w:style>
  <w:style w:type="paragraph" w:styleId="12">
    <w:name w:val="Plain Text"/>
    <w:basedOn w:val="1"/>
    <w:link w:val="44"/>
    <w:qFormat/>
    <w:uiPriority w:val="0"/>
    <w:pPr>
      <w:spacing w:after="0" w:line="360" w:lineRule="auto"/>
      <w:ind w:firstLine="480" w:firstLineChars="200"/>
      <w:jc w:val="both"/>
    </w:pPr>
    <w:rPr>
      <w:rFonts w:ascii="仿宋_GB2312" w:hAnsi="Calibri" w:eastAsia="宋体" w:cs="Times New Roman"/>
      <w:sz w:val="24"/>
      <w14:ligatures w14:val="none"/>
    </w:rPr>
  </w:style>
  <w:style w:type="paragraph" w:styleId="13">
    <w:name w:val="Balloon Text"/>
    <w:basedOn w:val="1"/>
    <w:link w:val="48"/>
    <w:semiHidden/>
    <w:unhideWhenUsed/>
    <w:qFormat/>
    <w:uiPriority w:val="99"/>
    <w:pPr>
      <w:spacing w:after="0" w:line="240" w:lineRule="auto"/>
    </w:pPr>
    <w:rPr>
      <w:sz w:val="18"/>
      <w:szCs w:val="18"/>
    </w:rPr>
  </w:style>
  <w:style w:type="paragraph" w:styleId="14">
    <w:name w:val="footer"/>
    <w:basedOn w:val="1"/>
    <w:link w:val="46"/>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5"/>
    <w:unhideWhenUsed/>
    <w:qFormat/>
    <w:uiPriority w:val="99"/>
    <w:pPr>
      <w:tabs>
        <w:tab w:val="center" w:pos="4153"/>
        <w:tab w:val="right" w:pos="8306"/>
      </w:tabs>
      <w:snapToGrid w:val="0"/>
      <w:spacing w:line="240" w:lineRule="auto"/>
      <w:jc w:val="center"/>
    </w:pPr>
    <w:rPr>
      <w:sz w:val="18"/>
      <w:szCs w:val="18"/>
    </w:rPr>
  </w:style>
  <w:style w:type="paragraph" w:styleId="16">
    <w:name w:val="Subtitle"/>
    <w:basedOn w:val="1"/>
    <w:next w:val="1"/>
    <w:link w:val="35"/>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3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8">
    <w:name w:val="annotation subject"/>
    <w:basedOn w:val="11"/>
    <w:next w:val="11"/>
    <w:link w:val="47"/>
    <w:semiHidden/>
    <w:unhideWhenUsed/>
    <w:qFormat/>
    <w:uiPriority w:val="99"/>
    <w:pPr>
      <w:spacing w:after="160" w:line="278" w:lineRule="auto"/>
    </w:pPr>
    <w:rPr>
      <w:rFonts w:asciiTheme="minorHAnsi" w:hAnsiTheme="minorHAnsi" w:eastAsiaTheme="minorEastAsia" w:cstheme="minorBidi"/>
      <w:b/>
      <w:bCs/>
      <w:sz w:val="22"/>
      <w14:ligatures w14:val="standardContextual"/>
    </w:rPr>
  </w:style>
  <w:style w:type="table" w:styleId="20">
    <w:name w:val="Table Grid"/>
    <w:basedOn w:val="1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semiHidden/>
    <w:unhideWhenUsed/>
    <w:qFormat/>
    <w:uiPriority w:val="99"/>
    <w:rPr>
      <w:color w:val="96607D" w:themeColor="followedHyperlink"/>
      <w:u w:val="single"/>
      <w14:textFill>
        <w14:solidFill>
          <w14:schemeClr w14:val="folHlink"/>
        </w14:solidFill>
      </w14:textFill>
    </w:rPr>
  </w:style>
  <w:style w:type="character" w:styleId="23">
    <w:name w:val="Hyperlink"/>
    <w:basedOn w:val="21"/>
    <w:unhideWhenUsed/>
    <w:qFormat/>
    <w:uiPriority w:val="99"/>
    <w:rPr>
      <w:color w:val="0000FF"/>
      <w:u w:val="single"/>
    </w:rPr>
  </w:style>
  <w:style w:type="character" w:styleId="24">
    <w:name w:val="annotation reference"/>
    <w:basedOn w:val="21"/>
    <w:qFormat/>
    <w:uiPriority w:val="0"/>
    <w:rPr>
      <w:sz w:val="21"/>
      <w:szCs w:val="21"/>
    </w:rPr>
  </w:style>
  <w:style w:type="character" w:customStyle="1" w:styleId="25">
    <w:name w:val="标题 1 字符"/>
    <w:basedOn w:val="21"/>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1"/>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1"/>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1"/>
    <w:link w:val="5"/>
    <w:semiHidden/>
    <w:qFormat/>
    <w:uiPriority w:val="9"/>
    <w:rPr>
      <w:rFonts w:cstheme="majorBidi"/>
      <w:color w:val="104862" w:themeColor="accent1" w:themeShade="BF"/>
      <w:sz w:val="28"/>
      <w:szCs w:val="28"/>
    </w:rPr>
  </w:style>
  <w:style w:type="character" w:customStyle="1" w:styleId="29">
    <w:name w:val="标题 5 字符"/>
    <w:basedOn w:val="21"/>
    <w:link w:val="6"/>
    <w:semiHidden/>
    <w:qFormat/>
    <w:uiPriority w:val="9"/>
    <w:rPr>
      <w:rFonts w:cstheme="majorBidi"/>
      <w:color w:val="104862" w:themeColor="accent1" w:themeShade="BF"/>
      <w:sz w:val="24"/>
    </w:rPr>
  </w:style>
  <w:style w:type="character" w:customStyle="1" w:styleId="30">
    <w:name w:val="标题 6 字符"/>
    <w:basedOn w:val="21"/>
    <w:link w:val="7"/>
    <w:semiHidden/>
    <w:qFormat/>
    <w:uiPriority w:val="9"/>
    <w:rPr>
      <w:rFonts w:cstheme="majorBidi"/>
      <w:b/>
      <w:bCs/>
      <w:color w:val="104862" w:themeColor="accent1" w:themeShade="BF"/>
    </w:rPr>
  </w:style>
  <w:style w:type="character" w:customStyle="1" w:styleId="31">
    <w:name w:val="标题 7 字符"/>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1"/>
    <w:link w:val="17"/>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1"/>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1"/>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1"/>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1"/>
    <w:link w:val="40"/>
    <w:qFormat/>
    <w:uiPriority w:val="30"/>
    <w:rPr>
      <w:i/>
      <w:iCs/>
      <w:color w:val="104862" w:themeColor="accent1" w:themeShade="BF"/>
    </w:rPr>
  </w:style>
  <w:style w:type="character" w:customStyle="1" w:styleId="42">
    <w:name w:val="Intense Reference"/>
    <w:basedOn w:val="21"/>
    <w:qFormat/>
    <w:uiPriority w:val="32"/>
    <w:rPr>
      <w:b/>
      <w:bCs/>
      <w:smallCaps/>
      <w:color w:val="104862" w:themeColor="accent1" w:themeShade="BF"/>
      <w:spacing w:val="5"/>
    </w:rPr>
  </w:style>
  <w:style w:type="character" w:customStyle="1" w:styleId="43">
    <w:name w:val="批注文字 字符"/>
    <w:basedOn w:val="21"/>
    <w:link w:val="11"/>
    <w:qFormat/>
    <w:uiPriority w:val="0"/>
    <w:rPr>
      <w:rFonts w:ascii="Calibri" w:hAnsi="Calibri" w:eastAsia="宋体" w:cs="Times New Roman"/>
      <w:sz w:val="21"/>
      <w14:ligatures w14:val="none"/>
    </w:rPr>
  </w:style>
  <w:style w:type="character" w:customStyle="1" w:styleId="44">
    <w:name w:val="纯文本 字符"/>
    <w:basedOn w:val="21"/>
    <w:link w:val="12"/>
    <w:qFormat/>
    <w:uiPriority w:val="0"/>
    <w:rPr>
      <w:rFonts w:ascii="仿宋_GB2312" w:hAnsi="Calibri" w:eastAsia="宋体" w:cs="Times New Roman"/>
      <w:sz w:val="24"/>
      <w14:ligatures w14:val="none"/>
    </w:rPr>
  </w:style>
  <w:style w:type="character" w:customStyle="1" w:styleId="45">
    <w:name w:val="页眉 字符"/>
    <w:basedOn w:val="21"/>
    <w:link w:val="15"/>
    <w:qFormat/>
    <w:uiPriority w:val="99"/>
    <w:rPr>
      <w:sz w:val="18"/>
      <w:szCs w:val="18"/>
    </w:rPr>
  </w:style>
  <w:style w:type="character" w:customStyle="1" w:styleId="46">
    <w:name w:val="页脚 字符"/>
    <w:basedOn w:val="21"/>
    <w:link w:val="14"/>
    <w:qFormat/>
    <w:uiPriority w:val="99"/>
    <w:rPr>
      <w:sz w:val="18"/>
      <w:szCs w:val="18"/>
    </w:rPr>
  </w:style>
  <w:style w:type="character" w:customStyle="1" w:styleId="47">
    <w:name w:val="批注主题 字符"/>
    <w:basedOn w:val="43"/>
    <w:link w:val="18"/>
    <w:semiHidden/>
    <w:qFormat/>
    <w:uiPriority w:val="99"/>
    <w:rPr>
      <w:rFonts w:ascii="Calibri" w:hAnsi="Calibri" w:eastAsia="宋体" w:cs="Times New Roman"/>
      <w:b/>
      <w:bCs/>
      <w:sz w:val="21"/>
      <w14:ligatures w14:val="none"/>
    </w:rPr>
  </w:style>
  <w:style w:type="character" w:customStyle="1" w:styleId="48">
    <w:name w:val="批注框文本 字符"/>
    <w:basedOn w:val="21"/>
    <w:link w:val="13"/>
    <w:semiHidden/>
    <w:qFormat/>
    <w:uiPriority w:val="99"/>
    <w:rPr>
      <w:sz w:val="18"/>
      <w:szCs w:val="18"/>
    </w:rPr>
  </w:style>
  <w:style w:type="paragraph" w:customStyle="1" w:styleId="49">
    <w:name w:val="Revision"/>
    <w:hidden/>
    <w:semiHidden/>
    <w:qFormat/>
    <w:uiPriority w:val="99"/>
    <w:pPr>
      <w:spacing w:after="0" w:line="240" w:lineRule="auto"/>
    </w:pPr>
    <w:rPr>
      <w:rFonts w:asciiTheme="minorHAnsi" w:hAnsiTheme="minorHAnsi" w:eastAsiaTheme="minorEastAsia" w:cstheme="minorBidi"/>
      <w:kern w:val="2"/>
      <w:sz w:val="22"/>
      <w:szCs w:val="24"/>
      <w:lang w:val="en-US" w:eastAsia="zh-CN" w:bidi="ar-SA"/>
      <w14:ligatures w14:val="standardContextual"/>
    </w:rPr>
  </w:style>
  <w:style w:type="character" w:customStyle="1" w:styleId="50">
    <w:name w:val="Unresolved Mention"/>
    <w:basedOn w:val="2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3852</Words>
  <Characters>5247</Characters>
  <Lines>47</Lines>
  <Paragraphs>13</Paragraphs>
  <TotalTime>3</TotalTime>
  <ScaleCrop>false</ScaleCrop>
  <LinksUpToDate>false</LinksUpToDate>
  <CharactersWithSpaces>5490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2026-09-14T01:01:00Z</dcterms:created>
  <dc:creator>wangxi</dc:creator>
  <cp:lastModifiedBy>lyj</cp:lastModifiedBy>
  <dcterms:modified xsi:type="dcterms:W3CDTF">2026-09-14T06:17:41Z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0D2A1F8C4C8F453EA2145DDF729BE8C2_13</vt:lpwstr>
  </property>
</Properties>
</file>