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C5E54">
      <w:pPr>
        <w:pStyle w:val="6"/>
        <w:spacing w:line="560" w:lineRule="exact"/>
        <w:ind w:firstLine="640"/>
        <w:rPr>
          <w:rFonts w:ascii="Times New Roman" w:eastAsia="仿宋_GB2312"/>
          <w:sz w:val="32"/>
          <w:szCs w:val="32"/>
        </w:rPr>
      </w:pPr>
    </w:p>
    <w:p w14:paraId="215447AE">
      <w:pPr>
        <w:jc w:val="center"/>
        <w:rPr>
          <w:rFonts w:eastAsia="仿宋_GB2312"/>
          <w:sz w:val="24"/>
          <w:szCs w:val="32"/>
        </w:rPr>
      </w:pPr>
    </w:p>
    <w:p w14:paraId="0BF5050C">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7B66F060">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474C6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269" w:type="dxa"/>
            <w:vAlign w:val="center"/>
          </w:tcPr>
          <w:p w14:paraId="57361E47">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364719FD">
            <w:pPr>
              <w:spacing w:line="440" w:lineRule="exact"/>
              <w:jc w:val="center"/>
              <w:rPr>
                <w:rFonts w:eastAsia="仿宋_GB2312"/>
                <w:bCs/>
                <w:sz w:val="24"/>
                <w:szCs w:val="24"/>
              </w:rPr>
            </w:pPr>
            <w:r>
              <w:rPr>
                <w:rFonts w:hint="eastAsia" w:eastAsia="仿宋_GB2312"/>
                <w:bCs/>
                <w:sz w:val="24"/>
                <w:szCs w:val="24"/>
              </w:rPr>
              <w:t>规模化新型用能主体接入的电网精准规划与安全管控关键技术及装备</w:t>
            </w:r>
          </w:p>
        </w:tc>
      </w:tr>
      <w:tr w14:paraId="6B4CB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2269" w:type="dxa"/>
            <w:vAlign w:val="center"/>
          </w:tcPr>
          <w:p w14:paraId="42D6EEC8">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508C3FD0">
            <w:pPr>
              <w:spacing w:line="440" w:lineRule="exact"/>
              <w:jc w:val="center"/>
              <w:rPr>
                <w:rFonts w:hint="eastAsia" w:eastAsia="仿宋_GB2312"/>
                <w:bCs/>
                <w:sz w:val="24"/>
                <w:szCs w:val="24"/>
                <w:lang w:val="en-US" w:eastAsia="zh-CN"/>
              </w:rPr>
            </w:pPr>
            <w:r>
              <w:rPr>
                <w:rFonts w:hint="eastAsia" w:eastAsia="仿宋_GB2312"/>
                <w:bCs/>
                <w:sz w:val="24"/>
                <w:szCs w:val="24"/>
                <w:lang w:val="en-US" w:eastAsia="zh-CN"/>
              </w:rPr>
              <w:t>一等奖</w:t>
            </w:r>
          </w:p>
        </w:tc>
      </w:tr>
      <w:tr w14:paraId="529A0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trPr>
        <w:tc>
          <w:tcPr>
            <w:tcW w:w="2269" w:type="dxa"/>
            <w:vAlign w:val="center"/>
          </w:tcPr>
          <w:p w14:paraId="363AA6F3">
            <w:pPr>
              <w:spacing w:line="440" w:lineRule="exact"/>
              <w:jc w:val="center"/>
              <w:rPr>
                <w:rFonts w:eastAsia="仿宋_GB2312"/>
                <w:bCs/>
                <w:sz w:val="28"/>
                <w:szCs w:val="24"/>
              </w:rPr>
            </w:pPr>
            <w:r>
              <w:rPr>
                <w:rFonts w:eastAsia="仿宋_GB2312"/>
                <w:bCs/>
                <w:sz w:val="28"/>
                <w:szCs w:val="24"/>
              </w:rPr>
              <w:t>提名书</w:t>
            </w:r>
          </w:p>
          <w:p w14:paraId="2EE69BD4">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15290A7E">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14:paraId="3C373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312D7F41">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4167C8FD">
            <w:pPr>
              <w:spacing w:line="440" w:lineRule="exact"/>
              <w:rPr>
                <w:rFonts w:eastAsia="仿宋_GB2312"/>
                <w:bCs/>
                <w:sz w:val="24"/>
                <w:szCs w:val="24"/>
              </w:rPr>
            </w:pPr>
            <w:r>
              <w:rPr>
                <w:rFonts w:hint="eastAsia" w:eastAsia="仿宋_GB2312"/>
                <w:bCs/>
                <w:sz w:val="24"/>
                <w:szCs w:val="24"/>
                <w:lang w:val="en-US" w:eastAsia="zh-CN"/>
              </w:rPr>
              <w:t>叶承晋</w:t>
            </w:r>
            <w:r>
              <w:rPr>
                <w:rFonts w:eastAsia="仿宋_GB2312"/>
                <w:bCs/>
                <w:sz w:val="24"/>
                <w:szCs w:val="24"/>
              </w:rPr>
              <w:t>，排名1，</w:t>
            </w:r>
            <w:r>
              <w:rPr>
                <w:rFonts w:hint="eastAsia" w:eastAsia="仿宋_GB2312"/>
                <w:bCs/>
                <w:sz w:val="24"/>
                <w:szCs w:val="24"/>
                <w:lang w:val="en-US" w:eastAsia="zh-CN"/>
              </w:rPr>
              <w:t>百人计划研究员</w:t>
            </w:r>
            <w:r>
              <w:rPr>
                <w:rFonts w:eastAsia="仿宋_GB2312"/>
                <w:bCs/>
                <w:sz w:val="24"/>
                <w:szCs w:val="24"/>
              </w:rPr>
              <w:t>，</w:t>
            </w:r>
            <w:r>
              <w:rPr>
                <w:rFonts w:hint="eastAsia" w:eastAsia="仿宋_GB2312"/>
                <w:bCs/>
                <w:sz w:val="24"/>
                <w:szCs w:val="24"/>
                <w:lang w:val="en-US" w:eastAsia="zh-CN"/>
              </w:rPr>
              <w:t>浙江大学</w:t>
            </w:r>
            <w:r>
              <w:rPr>
                <w:rFonts w:eastAsia="仿宋_GB2312"/>
                <w:bCs/>
                <w:sz w:val="24"/>
                <w:szCs w:val="24"/>
              </w:rPr>
              <w:t>；</w:t>
            </w:r>
          </w:p>
          <w:p w14:paraId="119FF7AF">
            <w:pPr>
              <w:spacing w:line="440" w:lineRule="exact"/>
              <w:rPr>
                <w:rFonts w:eastAsia="仿宋_GB2312"/>
                <w:bCs/>
                <w:sz w:val="24"/>
                <w:szCs w:val="24"/>
                <w:highlight w:val="none"/>
              </w:rPr>
            </w:pPr>
            <w:r>
              <w:rPr>
                <w:rFonts w:hint="eastAsia" w:eastAsia="仿宋_GB2312"/>
                <w:bCs/>
                <w:sz w:val="24"/>
                <w:szCs w:val="24"/>
                <w:highlight w:val="none"/>
                <w:lang w:val="en-US" w:eastAsia="zh-CN"/>
              </w:rPr>
              <w:t>丁一</w:t>
            </w:r>
            <w:r>
              <w:rPr>
                <w:rFonts w:eastAsia="仿宋_GB2312"/>
                <w:bCs/>
                <w:sz w:val="24"/>
                <w:szCs w:val="24"/>
                <w:highlight w:val="none"/>
              </w:rPr>
              <w:t>，排名2，</w:t>
            </w:r>
            <w:r>
              <w:rPr>
                <w:rFonts w:hint="eastAsia" w:eastAsia="仿宋_GB2312"/>
                <w:bCs/>
                <w:sz w:val="24"/>
                <w:szCs w:val="24"/>
                <w:highlight w:val="none"/>
                <w:lang w:val="en-US" w:eastAsia="zh-CN"/>
              </w:rPr>
              <w:t>教授</w:t>
            </w:r>
            <w:r>
              <w:rPr>
                <w:rFonts w:eastAsia="仿宋_GB2312"/>
                <w:bCs/>
                <w:sz w:val="24"/>
                <w:szCs w:val="24"/>
                <w:highlight w:val="none"/>
              </w:rPr>
              <w:t>，</w:t>
            </w:r>
            <w:r>
              <w:rPr>
                <w:rFonts w:hint="eastAsia" w:eastAsia="仿宋_GB2312"/>
                <w:bCs/>
                <w:sz w:val="24"/>
                <w:szCs w:val="24"/>
                <w:highlight w:val="none"/>
                <w:lang w:val="en-US" w:eastAsia="zh-CN"/>
              </w:rPr>
              <w:t>浙江大学；</w:t>
            </w:r>
          </w:p>
          <w:p w14:paraId="2B9C123E">
            <w:pPr>
              <w:spacing w:line="440" w:lineRule="exact"/>
              <w:rPr>
                <w:rFonts w:hint="eastAsia" w:eastAsia="仿宋_GB2312"/>
                <w:bCs/>
                <w:sz w:val="24"/>
                <w:szCs w:val="24"/>
                <w:highlight w:val="none"/>
                <w:lang w:eastAsia="zh-CN"/>
              </w:rPr>
            </w:pPr>
            <w:r>
              <w:rPr>
                <w:rFonts w:hint="eastAsia" w:eastAsia="仿宋_GB2312"/>
                <w:bCs/>
                <w:sz w:val="24"/>
                <w:szCs w:val="24"/>
                <w:highlight w:val="none"/>
                <w:lang w:val="en-US" w:eastAsia="zh-CN"/>
              </w:rPr>
              <w:t>何英静</w:t>
            </w:r>
            <w:r>
              <w:rPr>
                <w:rFonts w:eastAsia="仿宋_GB2312"/>
                <w:bCs/>
                <w:sz w:val="24"/>
                <w:szCs w:val="24"/>
                <w:highlight w:val="none"/>
              </w:rPr>
              <w:t>，排名3，</w:t>
            </w:r>
            <w:r>
              <w:rPr>
                <w:rFonts w:hint="eastAsia" w:eastAsia="仿宋_GB2312"/>
                <w:bCs/>
                <w:sz w:val="24"/>
                <w:szCs w:val="24"/>
                <w:highlight w:val="none"/>
                <w:lang w:val="en-US" w:eastAsia="zh-CN"/>
              </w:rPr>
              <w:t>正高级工程师</w:t>
            </w:r>
            <w:r>
              <w:rPr>
                <w:rFonts w:eastAsia="仿宋_GB2312"/>
                <w:bCs/>
                <w:sz w:val="24"/>
                <w:szCs w:val="24"/>
                <w:highlight w:val="none"/>
              </w:rPr>
              <w:t>，</w:t>
            </w:r>
            <w:r>
              <w:rPr>
                <w:rFonts w:hint="eastAsia" w:eastAsia="仿宋_GB2312"/>
                <w:bCs/>
                <w:sz w:val="24"/>
                <w:szCs w:val="24"/>
                <w:highlight w:val="none"/>
              </w:rPr>
              <w:t>国网浙江省电力有限公司经济技术研究院</w:t>
            </w:r>
            <w:r>
              <w:rPr>
                <w:rFonts w:hint="eastAsia" w:eastAsia="仿宋_GB2312"/>
                <w:bCs/>
                <w:sz w:val="24"/>
                <w:szCs w:val="24"/>
                <w:highlight w:val="none"/>
                <w:lang w:eastAsia="zh-CN"/>
              </w:rPr>
              <w:t>；</w:t>
            </w:r>
          </w:p>
          <w:p w14:paraId="05458FEF">
            <w:pPr>
              <w:spacing w:line="440" w:lineRule="exact"/>
              <w:rPr>
                <w:rFonts w:hint="eastAsia" w:eastAsia="仿宋_GB2312"/>
                <w:bCs/>
                <w:sz w:val="24"/>
                <w:szCs w:val="24"/>
                <w:highlight w:val="none"/>
                <w:lang w:val="en-US" w:eastAsia="zh-CN"/>
              </w:rPr>
            </w:pPr>
            <w:r>
              <w:rPr>
                <w:rFonts w:hint="eastAsia" w:eastAsia="仿宋_GB2312"/>
                <w:bCs/>
                <w:sz w:val="24"/>
                <w:szCs w:val="24"/>
                <w:highlight w:val="none"/>
                <w:lang w:val="en-US" w:eastAsia="zh-CN"/>
              </w:rPr>
              <w:t>马腾飞</w:t>
            </w:r>
            <w:r>
              <w:rPr>
                <w:rFonts w:hint="eastAsia" w:eastAsia="仿宋_GB2312"/>
                <w:bCs/>
                <w:sz w:val="24"/>
                <w:szCs w:val="24"/>
                <w:highlight w:val="none"/>
                <w:lang w:eastAsia="zh-CN"/>
              </w:rPr>
              <w:t>，</w:t>
            </w:r>
            <w:r>
              <w:rPr>
                <w:rFonts w:hint="eastAsia" w:eastAsia="仿宋_GB2312"/>
                <w:bCs/>
                <w:sz w:val="24"/>
                <w:szCs w:val="24"/>
                <w:highlight w:val="none"/>
                <w:lang w:val="en-US" w:eastAsia="zh-CN"/>
              </w:rPr>
              <w:t>排名4，副研究员，中国科学院电工研究所；</w:t>
            </w:r>
          </w:p>
          <w:p w14:paraId="1D68F11B">
            <w:pPr>
              <w:spacing w:line="440" w:lineRule="exact"/>
              <w:rPr>
                <w:rFonts w:eastAsia="仿宋_GB2312"/>
                <w:bCs/>
                <w:sz w:val="24"/>
                <w:szCs w:val="24"/>
                <w:highlight w:val="none"/>
              </w:rPr>
            </w:pPr>
            <w:r>
              <w:rPr>
                <w:rFonts w:hint="eastAsia" w:eastAsia="仿宋_GB2312"/>
                <w:bCs/>
                <w:sz w:val="24"/>
                <w:szCs w:val="24"/>
                <w:highlight w:val="none"/>
                <w:lang w:val="en-US" w:eastAsia="zh-CN"/>
              </w:rPr>
              <w:t>朱超</w:t>
            </w:r>
            <w:r>
              <w:rPr>
                <w:rFonts w:eastAsia="仿宋_GB2312"/>
                <w:bCs/>
                <w:sz w:val="24"/>
                <w:szCs w:val="24"/>
                <w:highlight w:val="none"/>
              </w:rPr>
              <w:t>，排名</w:t>
            </w:r>
            <w:r>
              <w:rPr>
                <w:rFonts w:hint="eastAsia" w:eastAsia="仿宋_GB2312"/>
                <w:bCs/>
                <w:sz w:val="24"/>
                <w:szCs w:val="24"/>
                <w:highlight w:val="none"/>
                <w:lang w:val="en-US" w:eastAsia="zh-CN"/>
              </w:rPr>
              <w:t>5</w:t>
            </w:r>
            <w:r>
              <w:rPr>
                <w:rFonts w:eastAsia="仿宋_GB2312"/>
                <w:bCs/>
                <w:sz w:val="24"/>
                <w:szCs w:val="24"/>
                <w:highlight w:val="none"/>
              </w:rPr>
              <w:t>，</w:t>
            </w:r>
            <w:r>
              <w:rPr>
                <w:rFonts w:hint="eastAsia" w:eastAsia="仿宋_GB2312"/>
                <w:bCs/>
                <w:sz w:val="24"/>
                <w:szCs w:val="24"/>
                <w:highlight w:val="none"/>
                <w:lang w:val="en-US" w:eastAsia="zh-CN"/>
              </w:rPr>
              <w:t>正高级工程师</w:t>
            </w:r>
            <w:r>
              <w:rPr>
                <w:rFonts w:eastAsia="仿宋_GB2312"/>
                <w:bCs/>
                <w:sz w:val="24"/>
                <w:szCs w:val="24"/>
                <w:highlight w:val="none"/>
              </w:rPr>
              <w:t>，</w:t>
            </w:r>
            <w:r>
              <w:rPr>
                <w:rFonts w:hint="eastAsia" w:eastAsia="仿宋_GB2312"/>
                <w:bCs/>
                <w:sz w:val="24"/>
                <w:szCs w:val="24"/>
                <w:highlight w:val="none"/>
              </w:rPr>
              <w:t>国网浙江省电力有限公司经济技术研究院</w:t>
            </w:r>
            <w:r>
              <w:rPr>
                <w:rFonts w:eastAsia="仿宋_GB2312"/>
                <w:bCs/>
                <w:sz w:val="24"/>
                <w:szCs w:val="24"/>
                <w:highlight w:val="none"/>
              </w:rPr>
              <w:t>；</w:t>
            </w:r>
          </w:p>
          <w:p w14:paraId="4908A9A9">
            <w:pPr>
              <w:spacing w:line="440" w:lineRule="exact"/>
              <w:rPr>
                <w:rFonts w:eastAsia="仿宋_GB2312"/>
                <w:bCs/>
                <w:sz w:val="24"/>
                <w:szCs w:val="24"/>
                <w:highlight w:val="none"/>
              </w:rPr>
            </w:pPr>
            <w:r>
              <w:rPr>
                <w:rFonts w:hint="eastAsia" w:eastAsia="仿宋_GB2312"/>
                <w:bCs/>
                <w:sz w:val="24"/>
                <w:szCs w:val="24"/>
                <w:highlight w:val="none"/>
                <w:lang w:val="en-US" w:eastAsia="zh-CN"/>
              </w:rPr>
              <w:t>任雷</w:t>
            </w:r>
            <w:r>
              <w:rPr>
                <w:rFonts w:eastAsia="仿宋_GB2312"/>
                <w:bCs/>
                <w:sz w:val="24"/>
                <w:szCs w:val="24"/>
                <w:highlight w:val="none"/>
              </w:rPr>
              <w:t>，排名</w:t>
            </w:r>
            <w:r>
              <w:rPr>
                <w:rFonts w:hint="eastAsia" w:eastAsia="仿宋_GB2312"/>
                <w:bCs/>
                <w:sz w:val="24"/>
                <w:szCs w:val="24"/>
                <w:highlight w:val="none"/>
                <w:lang w:val="en-US" w:eastAsia="zh-CN"/>
              </w:rPr>
              <w:t>6</w:t>
            </w:r>
            <w:r>
              <w:rPr>
                <w:rFonts w:eastAsia="仿宋_GB2312"/>
                <w:bCs/>
                <w:sz w:val="24"/>
                <w:szCs w:val="24"/>
                <w:highlight w:val="none"/>
              </w:rPr>
              <w:t>，</w:t>
            </w:r>
            <w:r>
              <w:rPr>
                <w:rFonts w:hint="eastAsia" w:eastAsia="仿宋_GB2312"/>
                <w:bCs/>
                <w:sz w:val="24"/>
                <w:szCs w:val="24"/>
                <w:highlight w:val="none"/>
                <w:lang w:val="en-US" w:eastAsia="zh-CN"/>
              </w:rPr>
              <w:t>高级工程师</w:t>
            </w:r>
            <w:r>
              <w:rPr>
                <w:rFonts w:eastAsia="仿宋_GB2312"/>
                <w:bCs/>
                <w:sz w:val="24"/>
                <w:szCs w:val="24"/>
                <w:highlight w:val="none"/>
              </w:rPr>
              <w:t>，</w:t>
            </w:r>
            <w:r>
              <w:rPr>
                <w:rFonts w:hint="eastAsia" w:eastAsia="仿宋_GB2312"/>
                <w:bCs/>
                <w:sz w:val="24"/>
                <w:szCs w:val="24"/>
                <w:highlight w:val="none"/>
              </w:rPr>
              <w:t>国网浙江省电力有限公司经济技术研究院</w:t>
            </w:r>
            <w:r>
              <w:rPr>
                <w:rFonts w:eastAsia="仿宋_GB2312"/>
                <w:bCs/>
                <w:sz w:val="24"/>
                <w:szCs w:val="24"/>
                <w:highlight w:val="none"/>
              </w:rPr>
              <w:t>；</w:t>
            </w:r>
          </w:p>
          <w:p w14:paraId="35C0A1DB">
            <w:pPr>
              <w:spacing w:line="440" w:lineRule="exact"/>
              <w:rPr>
                <w:rFonts w:eastAsia="仿宋_GB2312"/>
                <w:bCs/>
                <w:sz w:val="24"/>
                <w:szCs w:val="24"/>
                <w:highlight w:val="none"/>
              </w:rPr>
            </w:pPr>
            <w:r>
              <w:rPr>
                <w:rFonts w:hint="eastAsia" w:eastAsia="仿宋_GB2312"/>
                <w:bCs/>
                <w:sz w:val="24"/>
                <w:szCs w:val="24"/>
                <w:highlight w:val="none"/>
                <w:lang w:val="en-US" w:eastAsia="zh-CN"/>
              </w:rPr>
              <w:t>周丹</w:t>
            </w:r>
            <w:r>
              <w:rPr>
                <w:rFonts w:eastAsia="仿宋_GB2312"/>
                <w:bCs/>
                <w:sz w:val="24"/>
                <w:szCs w:val="24"/>
                <w:highlight w:val="none"/>
              </w:rPr>
              <w:t>，排名</w:t>
            </w:r>
            <w:r>
              <w:rPr>
                <w:rFonts w:hint="eastAsia" w:eastAsia="仿宋_GB2312"/>
                <w:bCs/>
                <w:sz w:val="24"/>
                <w:szCs w:val="24"/>
                <w:highlight w:val="none"/>
                <w:lang w:val="en-US" w:eastAsia="zh-CN"/>
              </w:rPr>
              <w:t>7</w:t>
            </w:r>
            <w:r>
              <w:rPr>
                <w:rFonts w:eastAsia="仿宋_GB2312"/>
                <w:bCs/>
                <w:sz w:val="24"/>
                <w:szCs w:val="24"/>
                <w:highlight w:val="none"/>
              </w:rPr>
              <w:t>，</w:t>
            </w:r>
            <w:r>
              <w:rPr>
                <w:rFonts w:hint="eastAsia" w:eastAsia="仿宋_GB2312"/>
                <w:bCs/>
                <w:sz w:val="24"/>
                <w:szCs w:val="24"/>
                <w:highlight w:val="none"/>
                <w:lang w:val="en-US" w:eastAsia="zh-CN"/>
              </w:rPr>
              <w:t>总经理</w:t>
            </w:r>
            <w:r>
              <w:rPr>
                <w:rFonts w:eastAsia="仿宋_GB2312"/>
                <w:bCs/>
                <w:sz w:val="24"/>
                <w:szCs w:val="24"/>
                <w:highlight w:val="none"/>
              </w:rPr>
              <w:t>，</w:t>
            </w:r>
            <w:r>
              <w:rPr>
                <w:rFonts w:hint="eastAsia" w:eastAsia="仿宋_GB2312"/>
                <w:bCs/>
                <w:sz w:val="24"/>
                <w:szCs w:val="24"/>
                <w:highlight w:val="none"/>
              </w:rPr>
              <w:t>杭州盛星能源技术有限公司</w:t>
            </w:r>
            <w:r>
              <w:rPr>
                <w:rFonts w:eastAsia="仿宋_GB2312"/>
                <w:bCs/>
                <w:sz w:val="24"/>
                <w:szCs w:val="24"/>
                <w:highlight w:val="none"/>
              </w:rPr>
              <w:t>；</w:t>
            </w:r>
          </w:p>
          <w:p w14:paraId="2D92A46E">
            <w:pPr>
              <w:spacing w:line="440" w:lineRule="exact"/>
              <w:rPr>
                <w:rFonts w:eastAsia="仿宋_GB2312"/>
                <w:bCs/>
                <w:sz w:val="24"/>
                <w:szCs w:val="24"/>
                <w:highlight w:val="none"/>
              </w:rPr>
            </w:pPr>
            <w:r>
              <w:rPr>
                <w:rFonts w:hint="eastAsia" w:eastAsia="仿宋_GB2312"/>
                <w:bCs/>
                <w:sz w:val="24"/>
                <w:szCs w:val="24"/>
                <w:lang w:val="en-US" w:eastAsia="zh-CN"/>
              </w:rPr>
              <w:t>郭超，排名8，讲师，浙</w:t>
            </w:r>
            <w:r>
              <w:rPr>
                <w:rFonts w:hint="eastAsia" w:eastAsia="仿宋_GB2312"/>
                <w:bCs/>
                <w:sz w:val="24"/>
                <w:szCs w:val="24"/>
                <w:highlight w:val="none"/>
                <w:lang w:val="en-US" w:eastAsia="zh-CN"/>
              </w:rPr>
              <w:t>大</w:t>
            </w:r>
            <w:r>
              <w:rPr>
                <w:rFonts w:hint="eastAsia" w:eastAsia="仿宋_GB2312"/>
                <w:bCs/>
                <w:sz w:val="24"/>
                <w:szCs w:val="24"/>
                <w:lang w:val="en-US" w:eastAsia="zh-CN"/>
              </w:rPr>
              <w:t>城市学院；</w:t>
            </w:r>
          </w:p>
          <w:p w14:paraId="6F6450D1">
            <w:pPr>
              <w:spacing w:line="440" w:lineRule="exact"/>
              <w:rPr>
                <w:rFonts w:eastAsia="仿宋_GB2312"/>
                <w:bCs/>
                <w:sz w:val="24"/>
                <w:szCs w:val="24"/>
              </w:rPr>
            </w:pPr>
            <w:r>
              <w:rPr>
                <w:rFonts w:hint="eastAsia" w:eastAsia="仿宋_GB2312"/>
                <w:bCs/>
                <w:sz w:val="24"/>
                <w:szCs w:val="24"/>
                <w:lang w:val="en-US" w:eastAsia="zh-CN"/>
              </w:rPr>
              <w:t>刘思</w:t>
            </w:r>
            <w:r>
              <w:rPr>
                <w:rFonts w:eastAsia="仿宋_GB2312"/>
                <w:bCs/>
                <w:sz w:val="24"/>
                <w:szCs w:val="24"/>
              </w:rPr>
              <w:t>，排名</w:t>
            </w:r>
            <w:r>
              <w:rPr>
                <w:rFonts w:hint="eastAsia" w:eastAsia="仿宋_GB2312"/>
                <w:bCs/>
                <w:sz w:val="24"/>
                <w:szCs w:val="24"/>
                <w:lang w:val="en-US" w:eastAsia="zh-CN"/>
              </w:rPr>
              <w:t>9</w:t>
            </w:r>
            <w:r>
              <w:rPr>
                <w:rFonts w:eastAsia="仿宋_GB2312"/>
                <w:bCs/>
                <w:sz w:val="24"/>
                <w:szCs w:val="24"/>
              </w:rPr>
              <w:t>，</w:t>
            </w:r>
            <w:r>
              <w:rPr>
                <w:rFonts w:hint="eastAsia" w:eastAsia="仿宋_GB2312"/>
                <w:bCs/>
                <w:sz w:val="24"/>
                <w:szCs w:val="24"/>
                <w:lang w:val="en-US" w:eastAsia="zh-CN"/>
              </w:rPr>
              <w:t>高级工程师</w:t>
            </w:r>
            <w:r>
              <w:rPr>
                <w:rFonts w:hint="eastAsia" w:eastAsia="仿宋_GB2312"/>
                <w:bCs/>
                <w:sz w:val="24"/>
                <w:szCs w:val="24"/>
              </w:rPr>
              <w:t>，国网浙江省电力有限公司营销服务中心</w:t>
            </w:r>
            <w:r>
              <w:rPr>
                <w:rFonts w:eastAsia="仿宋_GB2312"/>
                <w:bCs/>
                <w:sz w:val="24"/>
                <w:szCs w:val="24"/>
              </w:rPr>
              <w:t>；</w:t>
            </w:r>
          </w:p>
          <w:p w14:paraId="744AA9D1">
            <w:pPr>
              <w:spacing w:line="440" w:lineRule="exact"/>
              <w:rPr>
                <w:rFonts w:eastAsia="仿宋_GB2312"/>
                <w:bCs/>
                <w:sz w:val="24"/>
                <w:szCs w:val="24"/>
              </w:rPr>
            </w:pPr>
            <w:r>
              <w:rPr>
                <w:rFonts w:hint="eastAsia" w:eastAsia="仿宋_GB2312"/>
                <w:bCs/>
                <w:sz w:val="24"/>
                <w:szCs w:val="24"/>
              </w:rPr>
              <w:t>赵亮</w:t>
            </w:r>
            <w:r>
              <w:rPr>
                <w:rFonts w:eastAsia="仿宋_GB2312"/>
                <w:bCs/>
                <w:sz w:val="24"/>
                <w:szCs w:val="24"/>
              </w:rPr>
              <w:t>，排名</w:t>
            </w:r>
            <w:r>
              <w:rPr>
                <w:rFonts w:hint="eastAsia" w:eastAsia="仿宋_GB2312"/>
                <w:bCs/>
                <w:sz w:val="24"/>
                <w:szCs w:val="24"/>
                <w:lang w:val="en-US" w:eastAsia="zh-CN"/>
              </w:rPr>
              <w:t>10</w:t>
            </w:r>
            <w:r>
              <w:rPr>
                <w:rFonts w:eastAsia="仿宋_GB2312"/>
                <w:bCs/>
                <w:sz w:val="24"/>
                <w:szCs w:val="24"/>
              </w:rPr>
              <w:t>，</w:t>
            </w:r>
            <w:r>
              <w:rPr>
                <w:rFonts w:hint="eastAsia" w:eastAsia="仿宋_GB2312"/>
                <w:bCs/>
                <w:sz w:val="24"/>
                <w:szCs w:val="24"/>
                <w:lang w:val="en-US" w:eastAsia="zh-CN"/>
              </w:rPr>
              <w:t>正高级工程师</w:t>
            </w:r>
            <w:r>
              <w:rPr>
                <w:rFonts w:eastAsia="仿宋_GB2312"/>
                <w:bCs/>
                <w:sz w:val="24"/>
                <w:szCs w:val="24"/>
              </w:rPr>
              <w:t>，</w:t>
            </w:r>
            <w:r>
              <w:rPr>
                <w:rFonts w:hint="eastAsia" w:eastAsia="仿宋_GB2312"/>
                <w:bCs/>
                <w:sz w:val="24"/>
                <w:szCs w:val="24"/>
              </w:rPr>
              <w:t>南方电网数字电网研究院股份有限公司</w:t>
            </w:r>
            <w:r>
              <w:rPr>
                <w:rFonts w:eastAsia="仿宋_GB2312"/>
                <w:bCs/>
                <w:sz w:val="24"/>
                <w:szCs w:val="24"/>
              </w:rPr>
              <w:t>；</w:t>
            </w:r>
          </w:p>
          <w:p w14:paraId="63E2B2D6">
            <w:pPr>
              <w:spacing w:line="440" w:lineRule="exact"/>
              <w:rPr>
                <w:rFonts w:hint="eastAsia" w:eastAsia="仿宋_GB2312"/>
                <w:bCs/>
                <w:sz w:val="24"/>
                <w:szCs w:val="24"/>
                <w:lang w:val="en-US" w:eastAsia="zh-CN"/>
              </w:rPr>
            </w:pPr>
            <w:r>
              <w:rPr>
                <w:rFonts w:hint="eastAsia" w:eastAsia="仿宋_GB2312"/>
                <w:bCs/>
                <w:sz w:val="24"/>
                <w:szCs w:val="24"/>
                <w:lang w:val="en-US" w:eastAsia="zh-CN"/>
              </w:rPr>
              <w:t>段祥骏，排名11，高级工程师，中国电力科学研究院有限公司；</w:t>
            </w:r>
          </w:p>
          <w:p w14:paraId="515DA1C3">
            <w:pPr>
              <w:spacing w:line="440" w:lineRule="exact"/>
              <w:rPr>
                <w:rFonts w:hint="default" w:eastAsia="仿宋_GB2312"/>
                <w:bCs/>
                <w:sz w:val="24"/>
                <w:szCs w:val="24"/>
                <w:lang w:val="en-US" w:eastAsia="zh-CN"/>
              </w:rPr>
            </w:pPr>
            <w:r>
              <w:rPr>
                <w:rFonts w:hint="eastAsia" w:eastAsia="仿宋_GB2312"/>
                <w:bCs/>
                <w:sz w:val="24"/>
                <w:szCs w:val="24"/>
                <w:highlight w:val="none"/>
                <w:lang w:val="en-US" w:eastAsia="zh-CN"/>
              </w:rPr>
              <w:t>胡哲晟</w:t>
            </w:r>
            <w:r>
              <w:rPr>
                <w:rFonts w:eastAsia="仿宋_GB2312"/>
                <w:bCs/>
                <w:sz w:val="24"/>
                <w:szCs w:val="24"/>
                <w:highlight w:val="none"/>
              </w:rPr>
              <w:t>，排名</w:t>
            </w:r>
            <w:r>
              <w:rPr>
                <w:rFonts w:hint="eastAsia" w:eastAsia="仿宋_GB2312"/>
                <w:bCs/>
                <w:sz w:val="24"/>
                <w:szCs w:val="24"/>
                <w:highlight w:val="none"/>
                <w:lang w:val="en-US" w:eastAsia="zh-CN"/>
              </w:rPr>
              <w:t>12</w:t>
            </w:r>
            <w:r>
              <w:rPr>
                <w:rFonts w:eastAsia="仿宋_GB2312"/>
                <w:bCs/>
                <w:sz w:val="24"/>
                <w:szCs w:val="24"/>
                <w:highlight w:val="none"/>
              </w:rPr>
              <w:t>，</w:t>
            </w:r>
            <w:r>
              <w:rPr>
                <w:rFonts w:hint="eastAsia" w:eastAsia="仿宋_GB2312"/>
                <w:bCs/>
                <w:sz w:val="24"/>
                <w:szCs w:val="24"/>
                <w:highlight w:val="none"/>
                <w:lang w:val="en-US" w:eastAsia="zh-CN"/>
              </w:rPr>
              <w:t>高级工程师</w:t>
            </w:r>
            <w:r>
              <w:rPr>
                <w:rFonts w:eastAsia="仿宋_GB2312"/>
                <w:bCs/>
                <w:sz w:val="24"/>
                <w:szCs w:val="24"/>
                <w:highlight w:val="none"/>
              </w:rPr>
              <w:t>，</w:t>
            </w:r>
            <w:r>
              <w:rPr>
                <w:rFonts w:hint="eastAsia" w:eastAsia="仿宋_GB2312"/>
                <w:bCs/>
                <w:sz w:val="24"/>
                <w:szCs w:val="24"/>
                <w:highlight w:val="none"/>
              </w:rPr>
              <w:t>国网浙江省电力有限公司经济技术研究院；</w:t>
            </w:r>
          </w:p>
          <w:p w14:paraId="37C0B793">
            <w:pPr>
              <w:spacing w:line="440" w:lineRule="exact"/>
              <w:rPr>
                <w:rFonts w:hint="default" w:eastAsia="仿宋_GB2312"/>
                <w:bCs/>
                <w:sz w:val="24"/>
                <w:szCs w:val="24"/>
                <w:lang w:val="en-US" w:eastAsia="zh-CN"/>
              </w:rPr>
            </w:pPr>
            <w:r>
              <w:rPr>
                <w:rFonts w:hint="eastAsia" w:eastAsia="仿宋_GB2312"/>
                <w:bCs/>
                <w:sz w:val="24"/>
                <w:szCs w:val="24"/>
                <w:lang w:val="en-US" w:eastAsia="zh-CN"/>
              </w:rPr>
              <w:t>陈美信，排名13，</w:t>
            </w:r>
            <w:r>
              <w:rPr>
                <w:rFonts w:hint="eastAsia" w:eastAsia="仿宋_GB2312"/>
                <w:bCs/>
                <w:sz w:val="24"/>
                <w:szCs w:val="24"/>
                <w:highlight w:val="none"/>
                <w:lang w:val="en-US" w:eastAsia="zh-CN"/>
              </w:rPr>
              <w:t>工程师</w:t>
            </w:r>
            <w:r>
              <w:rPr>
                <w:rFonts w:hint="eastAsia" w:eastAsia="仿宋_GB2312"/>
                <w:bCs/>
                <w:sz w:val="24"/>
                <w:szCs w:val="24"/>
                <w:lang w:val="en-US" w:eastAsia="zh-CN"/>
              </w:rPr>
              <w:t>，浙江正泰电气科技有限公司。</w:t>
            </w:r>
          </w:p>
        </w:tc>
      </w:tr>
      <w:tr w14:paraId="4A565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6AE6FB93">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5702E6E5">
            <w:pPr>
              <w:spacing w:line="440" w:lineRule="exact"/>
              <w:jc w:val="left"/>
              <w:rPr>
                <w:rFonts w:hint="default" w:eastAsia="仿宋_GB2312"/>
                <w:bCs/>
                <w:sz w:val="24"/>
                <w:szCs w:val="24"/>
                <w:lang w:val="en-US" w:eastAsia="zh-CN"/>
              </w:rPr>
            </w:pPr>
            <w:r>
              <w:rPr>
                <w:rFonts w:eastAsia="仿宋_GB2312"/>
                <w:bCs/>
                <w:sz w:val="24"/>
                <w:szCs w:val="24"/>
              </w:rPr>
              <w:t>1.</w:t>
            </w:r>
            <w:r>
              <w:rPr>
                <w:rFonts w:hint="eastAsia" w:eastAsia="仿宋_GB2312"/>
                <w:bCs/>
                <w:sz w:val="24"/>
                <w:szCs w:val="24"/>
                <w:lang w:val="en-US" w:eastAsia="zh-CN"/>
              </w:rPr>
              <w:t>国网浙江省电力有限公司</w:t>
            </w:r>
          </w:p>
          <w:p w14:paraId="21D91C83">
            <w:pPr>
              <w:spacing w:line="440" w:lineRule="exact"/>
              <w:jc w:val="left"/>
              <w:rPr>
                <w:rFonts w:hint="default" w:eastAsia="仿宋_GB2312"/>
                <w:bCs/>
                <w:sz w:val="24"/>
                <w:szCs w:val="24"/>
                <w:lang w:val="en-US" w:eastAsia="zh-CN"/>
              </w:rPr>
            </w:pPr>
            <w:r>
              <w:rPr>
                <w:rFonts w:eastAsia="仿宋_GB2312"/>
                <w:bCs/>
                <w:sz w:val="24"/>
                <w:szCs w:val="24"/>
              </w:rPr>
              <w:t>2.</w:t>
            </w:r>
            <w:r>
              <w:rPr>
                <w:rFonts w:hint="eastAsia" w:eastAsia="仿宋_GB2312"/>
                <w:bCs/>
                <w:sz w:val="24"/>
                <w:szCs w:val="24"/>
                <w:lang w:val="en-US" w:eastAsia="zh-CN"/>
              </w:rPr>
              <w:t>浙江大学</w:t>
            </w:r>
          </w:p>
          <w:p w14:paraId="3FF269B2">
            <w:pPr>
              <w:spacing w:line="440" w:lineRule="exact"/>
              <w:jc w:val="left"/>
              <w:rPr>
                <w:rFonts w:hint="eastAsia" w:eastAsia="仿宋_GB2312"/>
                <w:bCs/>
                <w:sz w:val="24"/>
                <w:szCs w:val="24"/>
                <w:lang w:eastAsia="zh-CN"/>
              </w:rPr>
            </w:pPr>
            <w:r>
              <w:rPr>
                <w:rFonts w:eastAsia="仿宋_GB2312"/>
                <w:bCs/>
                <w:sz w:val="24"/>
                <w:szCs w:val="24"/>
              </w:rPr>
              <w:t>3.</w:t>
            </w:r>
            <w:r>
              <w:rPr>
                <w:rFonts w:hint="eastAsia" w:eastAsia="仿宋_GB2312"/>
                <w:bCs/>
                <w:sz w:val="24"/>
                <w:szCs w:val="24"/>
              </w:rPr>
              <w:t>南方电网数字电网研究院股份有限公司</w:t>
            </w:r>
            <w:r>
              <w:rPr>
                <w:rFonts w:hint="eastAsia" w:eastAsia="仿宋_GB2312"/>
                <w:bCs/>
                <w:sz w:val="24"/>
                <w:szCs w:val="24"/>
                <w:lang w:eastAsia="zh-CN"/>
              </w:rPr>
              <w:t>（南方电网电算科技数字工程（广东）有限公司）</w:t>
            </w:r>
          </w:p>
          <w:p w14:paraId="654375C0">
            <w:pPr>
              <w:spacing w:line="440" w:lineRule="exact"/>
              <w:jc w:val="left"/>
              <w:rPr>
                <w:rFonts w:hint="eastAsia" w:eastAsia="仿宋_GB2312"/>
                <w:bCs/>
                <w:sz w:val="24"/>
                <w:szCs w:val="24"/>
                <w:lang w:val="en-US" w:eastAsia="zh-CN"/>
              </w:rPr>
            </w:pPr>
            <w:r>
              <w:rPr>
                <w:rFonts w:hint="eastAsia" w:eastAsia="仿宋_GB2312"/>
                <w:bCs/>
                <w:sz w:val="24"/>
                <w:szCs w:val="24"/>
                <w:lang w:val="en-US" w:eastAsia="zh-CN"/>
              </w:rPr>
              <w:t>4.中国科学院电工研究所</w:t>
            </w:r>
          </w:p>
          <w:p w14:paraId="203A1138">
            <w:pPr>
              <w:spacing w:line="440" w:lineRule="exact"/>
              <w:jc w:val="left"/>
              <w:rPr>
                <w:rFonts w:hint="eastAsia" w:eastAsia="仿宋_GB2312"/>
                <w:bCs/>
                <w:sz w:val="24"/>
                <w:szCs w:val="24"/>
                <w:lang w:val="en-US" w:eastAsia="zh-CN"/>
              </w:rPr>
            </w:pPr>
            <w:r>
              <w:rPr>
                <w:rFonts w:hint="eastAsia" w:eastAsia="仿宋_GB2312"/>
                <w:bCs/>
                <w:sz w:val="24"/>
                <w:szCs w:val="24"/>
                <w:lang w:val="en-US" w:eastAsia="zh-CN"/>
              </w:rPr>
              <w:t>5.杭州盛星能源技术有限公司</w:t>
            </w:r>
          </w:p>
          <w:p w14:paraId="38C275C0">
            <w:pPr>
              <w:spacing w:line="440" w:lineRule="exact"/>
              <w:jc w:val="left"/>
              <w:rPr>
                <w:rFonts w:hint="default" w:eastAsia="仿宋_GB2312"/>
                <w:bCs/>
                <w:sz w:val="24"/>
                <w:szCs w:val="24"/>
                <w:lang w:val="en-US" w:eastAsia="zh-CN"/>
              </w:rPr>
            </w:pPr>
            <w:r>
              <w:rPr>
                <w:rFonts w:hint="eastAsia" w:eastAsia="仿宋_GB2312"/>
                <w:bCs/>
                <w:sz w:val="24"/>
                <w:szCs w:val="24"/>
                <w:lang w:val="en-US" w:eastAsia="zh-CN"/>
              </w:rPr>
              <w:t>6.中国电力科学研究院有限公司</w:t>
            </w:r>
          </w:p>
          <w:p w14:paraId="6348C595">
            <w:pPr>
              <w:spacing w:line="440" w:lineRule="exact"/>
              <w:jc w:val="left"/>
              <w:rPr>
                <w:rFonts w:hint="eastAsia" w:eastAsia="仿宋_GB2312"/>
                <w:bCs/>
                <w:sz w:val="24"/>
                <w:szCs w:val="24"/>
                <w:lang w:val="en-US" w:eastAsia="zh-CN"/>
              </w:rPr>
            </w:pPr>
            <w:r>
              <w:rPr>
                <w:rFonts w:hint="eastAsia" w:eastAsia="仿宋_GB2312"/>
                <w:bCs/>
                <w:sz w:val="24"/>
                <w:szCs w:val="24"/>
                <w:lang w:val="en-US" w:eastAsia="zh-CN"/>
              </w:rPr>
              <w:t>7.浙江正泰电气科技有限公司</w:t>
            </w:r>
          </w:p>
          <w:p w14:paraId="0AF26EE1">
            <w:pPr>
              <w:spacing w:line="440" w:lineRule="exact"/>
              <w:jc w:val="left"/>
              <w:rPr>
                <w:rFonts w:hint="eastAsia" w:eastAsia="仿宋_GB2312"/>
                <w:bCs/>
                <w:sz w:val="24"/>
                <w:szCs w:val="24"/>
                <w:lang w:val="en-US" w:eastAsia="zh-CN"/>
              </w:rPr>
            </w:pPr>
            <w:r>
              <w:rPr>
                <w:rFonts w:hint="eastAsia" w:eastAsia="仿宋_GB2312"/>
                <w:bCs/>
                <w:sz w:val="24"/>
                <w:szCs w:val="24"/>
                <w:lang w:val="en-US" w:eastAsia="zh-CN"/>
              </w:rPr>
              <w:t>8.南京南瑞继保电气有限公司‌</w:t>
            </w:r>
          </w:p>
          <w:p w14:paraId="40AB1B80">
            <w:pPr>
              <w:spacing w:line="440" w:lineRule="exact"/>
              <w:jc w:val="left"/>
              <w:rPr>
                <w:rFonts w:hint="default" w:eastAsia="仿宋_GB2312"/>
                <w:bCs/>
                <w:sz w:val="24"/>
                <w:szCs w:val="24"/>
                <w:lang w:val="en-US" w:eastAsia="zh-CN"/>
              </w:rPr>
            </w:pPr>
            <w:r>
              <w:rPr>
                <w:rFonts w:hint="eastAsia" w:eastAsia="仿宋_GB2312"/>
                <w:bCs/>
                <w:sz w:val="24"/>
                <w:szCs w:val="24"/>
                <w:lang w:val="en-US" w:eastAsia="zh-CN"/>
              </w:rPr>
              <w:t>9.浙大城市学院</w:t>
            </w:r>
          </w:p>
        </w:tc>
      </w:tr>
      <w:tr w14:paraId="12B1F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2A300FD1">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04765E0B">
            <w:pPr>
              <w:spacing w:line="440" w:lineRule="exact"/>
              <w:jc w:val="center"/>
              <w:rPr>
                <w:rStyle w:val="36"/>
                <w:rFonts w:hint="default" w:eastAsia="宋体"/>
                <w:b w:val="0"/>
                <w:color w:val="auto"/>
                <w:lang w:val="en-US" w:eastAsia="zh-CN"/>
              </w:rPr>
            </w:pPr>
            <w:r>
              <w:rPr>
                <w:rFonts w:hint="eastAsia" w:ascii="Times New Roman" w:hAnsi="Times New Roman" w:eastAsia="仿宋_GB2312" w:cs="Times New Roman"/>
                <w:bCs/>
                <w:sz w:val="24"/>
                <w:szCs w:val="24"/>
                <w:lang w:val="en-US" w:eastAsia="zh-CN"/>
              </w:rPr>
              <w:t>浙江省电力学会</w:t>
            </w:r>
          </w:p>
        </w:tc>
      </w:tr>
      <w:tr w14:paraId="2D15E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9" w:hRule="atLeast"/>
        </w:trPr>
        <w:tc>
          <w:tcPr>
            <w:tcW w:w="2269" w:type="dxa"/>
            <w:vAlign w:val="center"/>
          </w:tcPr>
          <w:p w14:paraId="5471701E">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00C4F0ED">
            <w:pPr>
              <w:keepNext w:val="0"/>
              <w:keepLines w:val="0"/>
              <w:pageBreakBefore w:val="0"/>
              <w:widowControl w:val="0"/>
              <w:kinsoku/>
              <w:wordWrap/>
              <w:overflowPunct/>
              <w:topLinePunct w:val="0"/>
              <w:autoSpaceDE/>
              <w:autoSpaceDN/>
              <w:bidi w:val="0"/>
              <w:adjustRightInd/>
              <w:snapToGrid/>
              <w:spacing w:after="157" w:afterLines="50" w:line="440" w:lineRule="exact"/>
              <w:ind w:firstLine="480" w:firstLineChars="200"/>
              <w:textAlignment w:val="auto"/>
              <w:rPr>
                <w:rFonts w:hint="eastAsia" w:eastAsia="仿宋_GB2312"/>
                <w:bCs/>
                <w:sz w:val="24"/>
                <w:szCs w:val="24"/>
              </w:rPr>
            </w:pPr>
            <w:r>
              <w:rPr>
                <w:rFonts w:hint="eastAsia" w:eastAsia="仿宋_GB2312"/>
                <w:bCs/>
                <w:sz w:val="24"/>
                <w:szCs w:val="24"/>
              </w:rPr>
              <w:t>该项目</w:t>
            </w:r>
            <w:r>
              <w:rPr>
                <w:rFonts w:hint="eastAsia" w:eastAsia="仿宋_GB2312"/>
                <w:bCs/>
                <w:sz w:val="24"/>
                <w:szCs w:val="24"/>
                <w:lang w:val="en-US" w:eastAsia="zh-CN"/>
              </w:rPr>
              <w:t>针对</w:t>
            </w:r>
            <w:r>
              <w:rPr>
                <w:rFonts w:hint="eastAsia" w:eastAsia="仿宋_GB2312"/>
                <w:bCs/>
                <w:sz w:val="24"/>
                <w:szCs w:val="24"/>
              </w:rPr>
              <w:t>数据中心、超充等</w:t>
            </w:r>
            <w:r>
              <w:rPr>
                <w:rFonts w:hint="eastAsia" w:eastAsia="仿宋_GB2312"/>
                <w:bCs/>
                <w:sz w:val="24"/>
                <w:szCs w:val="24"/>
                <w:lang w:val="en-US" w:eastAsia="zh-CN"/>
              </w:rPr>
              <w:t>高能量密度</w:t>
            </w:r>
            <w:r>
              <w:rPr>
                <w:rFonts w:hint="eastAsia" w:eastAsia="仿宋_GB2312"/>
                <w:bCs/>
                <w:sz w:val="24"/>
                <w:szCs w:val="24"/>
              </w:rPr>
              <w:t>新型用能主体宽幅、快速工况切换引发</w:t>
            </w:r>
            <w:r>
              <w:rPr>
                <w:rFonts w:hint="eastAsia" w:eastAsia="仿宋_GB2312"/>
                <w:bCs/>
                <w:sz w:val="24"/>
                <w:szCs w:val="24"/>
                <w:lang w:val="en-US" w:eastAsia="zh-CN"/>
              </w:rPr>
              <w:t>电网</w:t>
            </w:r>
            <w:r>
              <w:rPr>
                <w:rFonts w:hint="eastAsia" w:eastAsia="仿宋_GB2312"/>
                <w:bCs/>
                <w:sz w:val="24"/>
                <w:szCs w:val="24"/>
              </w:rPr>
              <w:t>设备过载、电压越限乃至系统失稳等问题，开展了规模化新型用能主体接入的电网精准规划与安全管控关键技术研究及装备研发，构建了主配</w:t>
            </w:r>
            <w:r>
              <w:rPr>
                <w:rFonts w:hint="eastAsia" w:eastAsia="仿宋_GB2312"/>
                <w:bCs/>
                <w:sz w:val="24"/>
                <w:szCs w:val="24"/>
                <w:lang w:val="en-US" w:eastAsia="zh-CN"/>
              </w:rPr>
              <w:t>微</w:t>
            </w:r>
            <w:r>
              <w:rPr>
                <w:rFonts w:hint="eastAsia" w:eastAsia="仿宋_GB2312"/>
                <w:bCs/>
                <w:sz w:val="24"/>
                <w:szCs w:val="24"/>
              </w:rPr>
              <w:t>协同的系统动态承载力分析</w:t>
            </w:r>
            <w:r>
              <w:rPr>
                <w:rFonts w:hint="eastAsia" w:eastAsia="仿宋_GB2312"/>
                <w:bCs/>
                <w:sz w:val="24"/>
                <w:szCs w:val="24"/>
                <w:lang w:val="en-US" w:eastAsia="zh-CN"/>
              </w:rPr>
              <w:t>和优化</w:t>
            </w:r>
            <w:r>
              <w:rPr>
                <w:rFonts w:hint="eastAsia" w:eastAsia="仿宋_GB2312"/>
                <w:bCs/>
                <w:sz w:val="24"/>
                <w:szCs w:val="24"/>
              </w:rPr>
              <w:t>理论</w:t>
            </w:r>
            <w:r>
              <w:rPr>
                <w:rFonts w:hint="eastAsia" w:eastAsia="仿宋_GB2312"/>
                <w:bCs/>
                <w:sz w:val="24"/>
                <w:szCs w:val="24"/>
                <w:lang w:eastAsia="zh-CN"/>
              </w:rPr>
              <w:t>，</w:t>
            </w:r>
            <w:r>
              <w:rPr>
                <w:rFonts w:hint="eastAsia" w:eastAsia="仿宋_GB2312"/>
                <w:bCs/>
                <w:sz w:val="24"/>
                <w:szCs w:val="24"/>
                <w:lang w:val="en-US" w:eastAsia="zh-CN"/>
              </w:rPr>
              <w:t>提出了电磁暂态仿真内嵌的接入规划方法，</w:t>
            </w:r>
            <w:r>
              <w:rPr>
                <w:rFonts w:hint="eastAsia" w:eastAsia="仿宋_GB2312"/>
                <w:bCs/>
                <w:sz w:val="24"/>
                <w:szCs w:val="24"/>
                <w:lang w:eastAsia="zh-CN"/>
              </w:rPr>
              <w:t>研制了先兆指标驱动的高灵敏保护装备，提出了数据中心</w:t>
            </w:r>
            <w:bookmarkStart w:id="0" w:name="_GoBack"/>
            <w:bookmarkEnd w:id="0"/>
            <w:r>
              <w:rPr>
                <w:rFonts w:hint="eastAsia" w:eastAsia="仿宋_GB2312"/>
                <w:bCs/>
                <w:sz w:val="24"/>
                <w:szCs w:val="24"/>
                <w:lang w:eastAsia="zh-CN"/>
              </w:rPr>
              <w:t>电-算-热耦合灵活域辨识</w:t>
            </w:r>
            <w:r>
              <w:rPr>
                <w:rFonts w:hint="eastAsia" w:eastAsia="仿宋_GB2312"/>
                <w:bCs/>
                <w:sz w:val="24"/>
                <w:szCs w:val="24"/>
                <w:lang w:val="en-US" w:eastAsia="zh-CN"/>
              </w:rPr>
              <w:t>和多主体协同调控</w:t>
            </w:r>
            <w:r>
              <w:rPr>
                <w:rFonts w:hint="eastAsia" w:eastAsia="仿宋_GB2312"/>
                <w:bCs/>
                <w:sz w:val="24"/>
                <w:szCs w:val="24"/>
                <w:lang w:eastAsia="zh-CN"/>
              </w:rPr>
              <w:t>技术。程时杰院士、郑玉平院士领衔的鉴定委员会认为，项目整体</w:t>
            </w:r>
            <w:r>
              <w:rPr>
                <w:rFonts w:hint="eastAsia" w:eastAsia="仿宋_GB2312"/>
                <w:bCs/>
                <w:sz w:val="24"/>
                <w:szCs w:val="24"/>
                <w:lang w:val="en-US" w:eastAsia="zh-CN"/>
              </w:rPr>
              <w:t>处于</w:t>
            </w:r>
            <w:r>
              <w:rPr>
                <w:rFonts w:hint="eastAsia" w:eastAsia="仿宋_GB2312"/>
                <w:bCs/>
                <w:sz w:val="24"/>
                <w:szCs w:val="24"/>
                <w:lang w:eastAsia="zh-CN"/>
              </w:rPr>
              <w:t>国际领先</w:t>
            </w:r>
            <w:r>
              <w:rPr>
                <w:rFonts w:hint="eastAsia" w:eastAsia="仿宋_GB2312"/>
                <w:bCs/>
                <w:sz w:val="24"/>
                <w:szCs w:val="24"/>
                <w:lang w:val="en-US" w:eastAsia="zh-CN"/>
              </w:rPr>
              <w:t>水平</w:t>
            </w:r>
            <w:r>
              <w:rPr>
                <w:rFonts w:hint="eastAsia" w:eastAsia="仿宋_GB2312"/>
                <w:bCs/>
                <w:sz w:val="24"/>
                <w:szCs w:val="24"/>
                <w:lang w:eastAsia="zh-CN"/>
              </w:rPr>
              <w:t>。</w:t>
            </w:r>
            <w:r>
              <w:rPr>
                <w:rFonts w:hint="eastAsia" w:eastAsia="仿宋_GB2312"/>
                <w:bCs/>
                <w:sz w:val="24"/>
                <w:szCs w:val="24"/>
                <w:lang w:val="en-US" w:eastAsia="zh-CN"/>
              </w:rPr>
              <w:t>项目</w:t>
            </w:r>
            <w:r>
              <w:rPr>
                <w:rFonts w:hint="eastAsia" w:eastAsia="仿宋_GB2312"/>
                <w:bCs/>
                <w:sz w:val="24"/>
                <w:szCs w:val="24"/>
                <w:lang w:eastAsia="zh-CN"/>
              </w:rPr>
              <w:t>在浙江</w:t>
            </w:r>
            <w:r>
              <w:rPr>
                <w:rFonts w:hint="eastAsia" w:eastAsia="仿宋_GB2312"/>
                <w:bCs/>
                <w:sz w:val="24"/>
                <w:szCs w:val="24"/>
                <w:lang w:val="en-US" w:eastAsia="zh-CN"/>
              </w:rPr>
              <w:t>省实现</w:t>
            </w:r>
            <w:r>
              <w:rPr>
                <w:rFonts w:hint="eastAsia" w:eastAsia="仿宋_GB2312"/>
                <w:bCs/>
                <w:sz w:val="24"/>
                <w:szCs w:val="24"/>
                <w:lang w:eastAsia="zh-CN"/>
              </w:rPr>
              <w:t>全面应用，支撑了规模化新型用能主体友好接入，</w:t>
            </w:r>
            <w:r>
              <w:rPr>
                <w:rFonts w:hint="eastAsia" w:eastAsia="仿宋_GB2312"/>
                <w:bCs/>
                <w:sz w:val="24"/>
                <w:szCs w:val="24"/>
                <w:lang w:val="en-US" w:eastAsia="zh-CN"/>
              </w:rPr>
              <w:t>并进一步</w:t>
            </w:r>
            <w:r>
              <w:rPr>
                <w:rFonts w:hint="eastAsia" w:eastAsia="仿宋_GB2312"/>
                <w:bCs/>
                <w:sz w:val="24"/>
                <w:szCs w:val="24"/>
                <w:lang w:eastAsia="zh-CN"/>
              </w:rPr>
              <w:t>推广至十余个省市电网，经济和社会效益显著</w:t>
            </w:r>
            <w:r>
              <w:rPr>
                <w:rFonts w:hint="eastAsia" w:eastAsia="仿宋_GB2312"/>
                <w:bCs/>
                <w:sz w:val="24"/>
                <w:szCs w:val="24"/>
              </w:rPr>
              <w:t>，具有大范围推广应用价值。</w:t>
            </w:r>
          </w:p>
          <w:p w14:paraId="7A231FCA">
            <w:pPr>
              <w:keepNext w:val="0"/>
              <w:keepLines w:val="0"/>
              <w:pageBreakBefore w:val="0"/>
              <w:widowControl w:val="0"/>
              <w:kinsoku/>
              <w:wordWrap/>
              <w:overflowPunct/>
              <w:topLinePunct w:val="0"/>
              <w:autoSpaceDE/>
              <w:autoSpaceDN/>
              <w:bidi w:val="0"/>
              <w:adjustRightInd/>
              <w:snapToGrid/>
              <w:spacing w:before="157" w:beforeLines="50"/>
              <w:ind w:firstLine="480" w:firstLineChars="200"/>
              <w:contextualSpacing/>
              <w:jc w:val="center"/>
              <w:textAlignment w:val="auto"/>
              <w:rPr>
                <w:rStyle w:val="36"/>
                <w:rFonts w:hint="eastAsia"/>
                <w:b w:val="0"/>
                <w:color w:val="auto"/>
              </w:rPr>
            </w:pPr>
            <w:r>
              <w:rPr>
                <w:rFonts w:hint="eastAsia" w:eastAsia="仿宋_GB2312"/>
                <w:bCs/>
                <w:sz w:val="24"/>
                <w:szCs w:val="24"/>
              </w:rPr>
              <w:t>推荐等级：推荐该项目为浙江省科学技术奖一等奖。</w:t>
            </w:r>
          </w:p>
        </w:tc>
      </w:tr>
    </w:tbl>
    <w:p w14:paraId="0D9DDE87">
      <w:pPr>
        <w:adjustRightInd w:val="0"/>
        <w:snapToGrid w:val="0"/>
        <w:spacing w:line="560" w:lineRule="exact"/>
        <w:rPr>
          <w:rFonts w:eastAsia="仿宋_GB2312"/>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34BC6797">
      <w:pPr>
        <w:pStyle w:val="4"/>
        <w:jc w:val="center"/>
        <w:rPr>
          <w:rFonts w:eastAsia="方正黑体简体"/>
          <w:sz w:val="32"/>
          <w:szCs w:val="22"/>
        </w:rPr>
      </w:pPr>
      <w:r>
        <w:rPr>
          <w:rFonts w:hint="eastAsia" w:eastAsia="仿宋"/>
          <w:sz w:val="32"/>
          <w:szCs w:val="22"/>
        </w:rPr>
        <w:t>主要知识产权和标准规范</w:t>
      </w:r>
      <w:r>
        <w:rPr>
          <w:rFonts w:eastAsia="仿宋"/>
          <w:sz w:val="32"/>
          <w:szCs w:val="22"/>
        </w:rPr>
        <w:t>目录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416"/>
        <w:gridCol w:w="819"/>
        <w:gridCol w:w="1309"/>
        <w:gridCol w:w="1527"/>
        <w:gridCol w:w="1262"/>
        <w:gridCol w:w="1948"/>
        <w:gridCol w:w="2899"/>
        <w:gridCol w:w="696"/>
      </w:tblGrid>
      <w:tr w14:paraId="6491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14:paraId="7D7D97C8">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知识产权（标准规范）类别</w:t>
            </w:r>
          </w:p>
        </w:tc>
        <w:tc>
          <w:tcPr>
            <w:tcW w:w="2416" w:type="dxa"/>
            <w:tcBorders>
              <w:top w:val="single" w:color="auto" w:sz="4" w:space="0"/>
              <w:left w:val="single" w:color="auto" w:sz="4" w:space="0"/>
              <w:bottom w:val="single" w:color="auto" w:sz="4" w:space="0"/>
              <w:right w:val="single" w:color="auto" w:sz="4" w:space="0"/>
            </w:tcBorders>
            <w:vAlign w:val="center"/>
          </w:tcPr>
          <w:p w14:paraId="5CFABC8A">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知识产权（标准规范）具体名称</w:t>
            </w:r>
          </w:p>
        </w:tc>
        <w:tc>
          <w:tcPr>
            <w:tcW w:w="819" w:type="dxa"/>
            <w:tcBorders>
              <w:top w:val="single" w:color="auto" w:sz="4" w:space="0"/>
              <w:left w:val="single" w:color="auto" w:sz="4" w:space="0"/>
              <w:bottom w:val="single" w:color="auto" w:sz="4" w:space="0"/>
              <w:right w:val="single" w:color="auto" w:sz="4" w:space="0"/>
            </w:tcBorders>
            <w:vAlign w:val="center"/>
          </w:tcPr>
          <w:p w14:paraId="0577A9A7">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国家</w:t>
            </w:r>
          </w:p>
          <w:p w14:paraId="1455D822">
            <w:pPr>
              <w:snapToGrid w:val="0"/>
              <w:jc w:val="center"/>
              <w:rPr>
                <w:rFonts w:hint="default" w:ascii="Calibri" w:hAnsi="Calibri" w:eastAsia="仿宋_GB2312" w:cs="Calibri"/>
                <w:bCs/>
                <w:snapToGrid w:val="0"/>
                <w:kern w:val="0"/>
                <w:sz w:val="24"/>
                <w:szCs w:val="21"/>
              </w:rPr>
            </w:pPr>
            <w:r>
              <w:rPr>
                <w:rFonts w:hint="default" w:ascii="Calibri" w:hAnsi="Calibri" w:eastAsia="仿宋_GB2312" w:cs="Calibri"/>
                <w:bCs/>
                <w:snapToGrid w:val="0"/>
                <w:kern w:val="0"/>
                <w:sz w:val="24"/>
                <w:szCs w:val="21"/>
              </w:rPr>
              <w:t>（地区）</w:t>
            </w:r>
          </w:p>
        </w:tc>
        <w:tc>
          <w:tcPr>
            <w:tcW w:w="1309" w:type="dxa"/>
            <w:tcBorders>
              <w:top w:val="single" w:color="auto" w:sz="4" w:space="0"/>
              <w:left w:val="single" w:color="auto" w:sz="4" w:space="0"/>
              <w:bottom w:val="single" w:color="auto" w:sz="4" w:space="0"/>
              <w:right w:val="single" w:color="auto" w:sz="4" w:space="0"/>
            </w:tcBorders>
            <w:vAlign w:val="center"/>
          </w:tcPr>
          <w:p w14:paraId="4CAFEC56">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授权号</w:t>
            </w:r>
          </w:p>
          <w:p w14:paraId="7884DD4D">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（标准规范编号）</w:t>
            </w:r>
          </w:p>
        </w:tc>
        <w:tc>
          <w:tcPr>
            <w:tcW w:w="1527" w:type="dxa"/>
            <w:tcBorders>
              <w:top w:val="single" w:color="auto" w:sz="4" w:space="0"/>
              <w:left w:val="single" w:color="auto" w:sz="4" w:space="0"/>
              <w:bottom w:val="single" w:color="auto" w:sz="4" w:space="0"/>
              <w:right w:val="single" w:color="auto" w:sz="4" w:space="0"/>
            </w:tcBorders>
            <w:vAlign w:val="center"/>
          </w:tcPr>
          <w:p w14:paraId="3438C38F">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授权（标准发布）日期</w:t>
            </w:r>
          </w:p>
        </w:tc>
        <w:tc>
          <w:tcPr>
            <w:tcW w:w="1262" w:type="dxa"/>
            <w:tcBorders>
              <w:top w:val="single" w:color="auto" w:sz="4" w:space="0"/>
              <w:left w:val="single" w:color="auto" w:sz="4" w:space="0"/>
              <w:bottom w:val="single" w:color="auto" w:sz="4" w:space="0"/>
              <w:right w:val="single" w:color="auto" w:sz="4" w:space="0"/>
            </w:tcBorders>
            <w:vAlign w:val="center"/>
          </w:tcPr>
          <w:p w14:paraId="057AB55E">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证书编号（标准规范批准发布部门）</w:t>
            </w:r>
          </w:p>
        </w:tc>
        <w:tc>
          <w:tcPr>
            <w:tcW w:w="1948" w:type="dxa"/>
            <w:tcBorders>
              <w:top w:val="single" w:color="auto" w:sz="4" w:space="0"/>
              <w:left w:val="single" w:color="auto" w:sz="4" w:space="0"/>
              <w:bottom w:val="single" w:color="auto" w:sz="4" w:space="0"/>
              <w:right w:val="single" w:color="auto" w:sz="4" w:space="0"/>
            </w:tcBorders>
            <w:vAlign w:val="center"/>
          </w:tcPr>
          <w:p w14:paraId="5381DFFC">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权利人（标准规范起草单位）</w:t>
            </w:r>
          </w:p>
        </w:tc>
        <w:tc>
          <w:tcPr>
            <w:tcW w:w="2899" w:type="dxa"/>
            <w:tcBorders>
              <w:top w:val="single" w:color="auto" w:sz="4" w:space="0"/>
              <w:left w:val="single" w:color="auto" w:sz="4" w:space="0"/>
              <w:bottom w:val="single" w:color="auto" w:sz="4" w:space="0"/>
              <w:right w:val="single" w:color="auto" w:sz="4" w:space="0"/>
            </w:tcBorders>
            <w:vAlign w:val="center"/>
          </w:tcPr>
          <w:p w14:paraId="3BF336AC">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发明人（标准规范起草人）</w:t>
            </w:r>
          </w:p>
        </w:tc>
        <w:tc>
          <w:tcPr>
            <w:tcW w:w="696" w:type="dxa"/>
            <w:tcBorders>
              <w:top w:val="single" w:color="auto" w:sz="4" w:space="0"/>
              <w:left w:val="single" w:color="auto" w:sz="4" w:space="0"/>
              <w:bottom w:val="single" w:color="auto" w:sz="4" w:space="0"/>
              <w:right w:val="single" w:color="auto" w:sz="4" w:space="0"/>
            </w:tcBorders>
            <w:vAlign w:val="center"/>
          </w:tcPr>
          <w:p w14:paraId="429793A7">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发明专利有效状态</w:t>
            </w:r>
          </w:p>
        </w:tc>
      </w:tr>
      <w:tr w14:paraId="411A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14:paraId="5B3406A9">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发明专利</w:t>
            </w:r>
          </w:p>
        </w:tc>
        <w:tc>
          <w:tcPr>
            <w:tcW w:w="2416" w:type="dxa"/>
            <w:tcBorders>
              <w:top w:val="single" w:color="auto" w:sz="4" w:space="0"/>
              <w:left w:val="single" w:color="auto" w:sz="4" w:space="0"/>
              <w:bottom w:val="single" w:color="auto" w:sz="4" w:space="0"/>
              <w:right w:val="single" w:color="auto" w:sz="4" w:space="0"/>
            </w:tcBorders>
            <w:vAlign w:val="center"/>
          </w:tcPr>
          <w:p w14:paraId="33DE793F">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lang w:val="en-US" w:eastAsia="zh-CN"/>
              </w:rPr>
              <w:t>一种基于数据处理的数据中心电-热能量调度方法</w:t>
            </w:r>
          </w:p>
        </w:tc>
        <w:tc>
          <w:tcPr>
            <w:tcW w:w="819" w:type="dxa"/>
            <w:tcBorders>
              <w:top w:val="single" w:color="auto" w:sz="4" w:space="0"/>
              <w:left w:val="single" w:color="auto" w:sz="4" w:space="0"/>
              <w:bottom w:val="single" w:color="auto" w:sz="4" w:space="0"/>
              <w:right w:val="single" w:color="auto" w:sz="4" w:space="0"/>
            </w:tcBorders>
            <w:vAlign w:val="center"/>
          </w:tcPr>
          <w:p w14:paraId="131B483F">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中国</w:t>
            </w:r>
          </w:p>
        </w:tc>
        <w:tc>
          <w:tcPr>
            <w:tcW w:w="1309" w:type="dxa"/>
            <w:tcBorders>
              <w:top w:val="single" w:color="auto" w:sz="4" w:space="0"/>
              <w:left w:val="single" w:color="auto" w:sz="4" w:space="0"/>
              <w:bottom w:val="single" w:color="auto" w:sz="4" w:space="0"/>
              <w:right w:val="single" w:color="auto" w:sz="4" w:space="0"/>
            </w:tcBorders>
            <w:vAlign w:val="center"/>
          </w:tcPr>
          <w:p w14:paraId="234B3320">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lang w:val="en-US" w:eastAsia="zh-CN"/>
              </w:rPr>
              <w:t>ZL202210835728.0</w:t>
            </w:r>
          </w:p>
        </w:tc>
        <w:tc>
          <w:tcPr>
            <w:tcW w:w="1527" w:type="dxa"/>
            <w:tcBorders>
              <w:top w:val="single" w:color="auto" w:sz="4" w:space="0"/>
              <w:left w:val="single" w:color="auto" w:sz="4" w:space="0"/>
              <w:bottom w:val="single" w:color="auto" w:sz="4" w:space="0"/>
              <w:right w:val="single" w:color="auto" w:sz="4" w:space="0"/>
            </w:tcBorders>
            <w:vAlign w:val="center"/>
          </w:tcPr>
          <w:p w14:paraId="36FD7180">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2022年10月</w:t>
            </w:r>
          </w:p>
        </w:tc>
        <w:tc>
          <w:tcPr>
            <w:tcW w:w="1262" w:type="dxa"/>
            <w:tcBorders>
              <w:top w:val="single" w:color="auto" w:sz="4" w:space="0"/>
              <w:left w:val="single" w:color="auto" w:sz="4" w:space="0"/>
              <w:bottom w:val="single" w:color="auto" w:sz="4" w:space="0"/>
              <w:right w:val="single" w:color="auto" w:sz="4" w:space="0"/>
            </w:tcBorders>
            <w:vAlign w:val="center"/>
          </w:tcPr>
          <w:p w14:paraId="48CEB483">
            <w:pPr>
              <w:snapToGrid w:val="0"/>
              <w:jc w:val="center"/>
              <w:rPr>
                <w:rFonts w:hint="default" w:ascii="Calibri" w:hAnsi="Calibri" w:eastAsia="仿宋_GB2312" w:cs="Calibri"/>
                <w:sz w:val="24"/>
                <w:szCs w:val="21"/>
              </w:rPr>
            </w:pPr>
            <w:r>
              <w:rPr>
                <w:rFonts w:hint="default" w:ascii="Calibri" w:hAnsi="Calibri" w:eastAsia="仿宋_GB2312" w:cs="Calibri"/>
                <w:color w:val="auto"/>
                <w:kern w:val="2"/>
                <w:sz w:val="24"/>
                <w:szCs w:val="21"/>
                <w:lang w:val="en-US" w:eastAsia="zh-CN" w:bidi="ar"/>
              </w:rPr>
              <w:t>7392983</w:t>
            </w:r>
          </w:p>
        </w:tc>
        <w:tc>
          <w:tcPr>
            <w:tcW w:w="1948" w:type="dxa"/>
            <w:tcBorders>
              <w:top w:val="single" w:color="auto" w:sz="4" w:space="0"/>
              <w:left w:val="single" w:color="auto" w:sz="4" w:space="0"/>
              <w:bottom w:val="single" w:color="auto" w:sz="4" w:space="0"/>
              <w:right w:val="single" w:color="auto" w:sz="4" w:space="0"/>
            </w:tcBorders>
            <w:vAlign w:val="center"/>
          </w:tcPr>
          <w:p w14:paraId="4E616326">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lang w:val="en-US" w:eastAsia="zh-CN"/>
              </w:rPr>
              <w:t>浙江大学</w:t>
            </w:r>
          </w:p>
        </w:tc>
        <w:tc>
          <w:tcPr>
            <w:tcW w:w="2899" w:type="dxa"/>
            <w:tcBorders>
              <w:top w:val="single" w:color="auto" w:sz="4" w:space="0"/>
              <w:left w:val="single" w:color="auto" w:sz="4" w:space="0"/>
              <w:bottom w:val="single" w:color="auto" w:sz="4" w:space="0"/>
              <w:right w:val="single" w:color="auto" w:sz="4" w:space="0"/>
            </w:tcBorders>
            <w:vAlign w:val="center"/>
          </w:tcPr>
          <w:p w14:paraId="435B3E7E">
            <w:pPr>
              <w:snapToGrid w:val="0"/>
              <w:jc w:val="center"/>
              <w:rPr>
                <w:rFonts w:hint="default" w:ascii="Calibri" w:hAnsi="Calibri" w:eastAsia="仿宋_GB2312" w:cs="Calibri"/>
                <w:sz w:val="24"/>
                <w:szCs w:val="21"/>
              </w:rPr>
            </w:pPr>
            <w:r>
              <w:rPr>
                <w:rFonts w:hint="default" w:ascii="Calibri" w:hAnsi="Calibri" w:eastAsia="仿宋_GB2312" w:cs="Calibri"/>
                <w:b/>
                <w:bCs/>
                <w:sz w:val="24"/>
                <w:szCs w:val="21"/>
                <w:highlight w:val="none"/>
                <w:lang w:val="en-US" w:eastAsia="zh-CN"/>
              </w:rPr>
              <w:t>叶承晋</w:t>
            </w:r>
            <w:r>
              <w:rPr>
                <w:rFonts w:hint="default" w:ascii="Calibri" w:hAnsi="Calibri" w:eastAsia="仿宋_GB2312" w:cs="Calibri"/>
                <w:sz w:val="24"/>
                <w:szCs w:val="21"/>
                <w:highlight w:val="none"/>
                <w:lang w:val="en-US" w:eastAsia="zh-CN"/>
              </w:rPr>
              <w:t>、尹逊虎、</w:t>
            </w:r>
            <w:r>
              <w:rPr>
                <w:rFonts w:hint="default" w:ascii="Calibri" w:hAnsi="Calibri" w:eastAsia="仿宋_GB2312" w:cs="Calibri"/>
                <w:b/>
                <w:bCs/>
                <w:sz w:val="24"/>
                <w:szCs w:val="21"/>
                <w:highlight w:val="none"/>
                <w:lang w:val="en-US" w:eastAsia="zh-CN"/>
              </w:rPr>
              <w:t>丁一</w:t>
            </w:r>
            <w:r>
              <w:rPr>
                <w:rFonts w:hint="default" w:ascii="Calibri" w:hAnsi="Calibri" w:eastAsia="仿宋_GB2312" w:cs="Calibri"/>
                <w:sz w:val="24"/>
                <w:szCs w:val="21"/>
                <w:highlight w:val="none"/>
                <w:lang w:val="en-US" w:eastAsia="zh-CN"/>
              </w:rPr>
              <w:t>、宋永华</w:t>
            </w:r>
          </w:p>
        </w:tc>
        <w:tc>
          <w:tcPr>
            <w:tcW w:w="696" w:type="dxa"/>
            <w:tcBorders>
              <w:top w:val="single" w:color="auto" w:sz="4" w:space="0"/>
              <w:left w:val="single" w:color="auto" w:sz="4" w:space="0"/>
              <w:bottom w:val="single" w:color="auto" w:sz="4" w:space="0"/>
              <w:right w:val="single" w:color="auto" w:sz="4" w:space="0"/>
            </w:tcBorders>
            <w:vAlign w:val="center"/>
          </w:tcPr>
          <w:p w14:paraId="6742D651">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有效</w:t>
            </w:r>
          </w:p>
        </w:tc>
      </w:tr>
      <w:tr w14:paraId="71B4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14:paraId="49890CC6">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发明专利</w:t>
            </w:r>
          </w:p>
        </w:tc>
        <w:tc>
          <w:tcPr>
            <w:tcW w:w="2416" w:type="dxa"/>
            <w:tcBorders>
              <w:top w:val="single" w:color="auto" w:sz="4" w:space="0"/>
              <w:left w:val="single" w:color="auto" w:sz="4" w:space="0"/>
              <w:bottom w:val="single" w:color="auto" w:sz="4" w:space="0"/>
              <w:right w:val="single" w:color="auto" w:sz="4" w:space="0"/>
            </w:tcBorders>
            <w:vAlign w:val="center"/>
          </w:tcPr>
          <w:p w14:paraId="02D09FC6">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lang w:val="en-US" w:eastAsia="zh-CN"/>
              </w:rPr>
              <w:t>一种基于第五代通信系统的故障限流器在线调度控制方法</w:t>
            </w:r>
          </w:p>
        </w:tc>
        <w:tc>
          <w:tcPr>
            <w:tcW w:w="819" w:type="dxa"/>
            <w:tcBorders>
              <w:top w:val="single" w:color="auto" w:sz="4" w:space="0"/>
              <w:left w:val="single" w:color="auto" w:sz="4" w:space="0"/>
              <w:bottom w:val="single" w:color="auto" w:sz="4" w:space="0"/>
              <w:right w:val="single" w:color="auto" w:sz="4" w:space="0"/>
            </w:tcBorders>
            <w:vAlign w:val="center"/>
          </w:tcPr>
          <w:p w14:paraId="752FAFEE">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中国</w:t>
            </w:r>
          </w:p>
        </w:tc>
        <w:tc>
          <w:tcPr>
            <w:tcW w:w="1309" w:type="dxa"/>
            <w:tcBorders>
              <w:top w:val="single" w:color="auto" w:sz="4" w:space="0"/>
              <w:left w:val="single" w:color="auto" w:sz="4" w:space="0"/>
              <w:bottom w:val="single" w:color="auto" w:sz="4" w:space="0"/>
              <w:right w:val="single" w:color="auto" w:sz="4" w:space="0"/>
            </w:tcBorders>
            <w:vAlign w:val="center"/>
          </w:tcPr>
          <w:p w14:paraId="50EE9BED">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lang w:val="en-US" w:eastAsia="zh-CN"/>
              </w:rPr>
              <w:t>ZL202011211032.8</w:t>
            </w:r>
          </w:p>
        </w:tc>
        <w:tc>
          <w:tcPr>
            <w:tcW w:w="1527" w:type="dxa"/>
            <w:tcBorders>
              <w:top w:val="single" w:color="auto" w:sz="4" w:space="0"/>
              <w:left w:val="single" w:color="auto" w:sz="4" w:space="0"/>
              <w:bottom w:val="single" w:color="auto" w:sz="4" w:space="0"/>
              <w:right w:val="single" w:color="auto" w:sz="4" w:space="0"/>
            </w:tcBorders>
            <w:vAlign w:val="center"/>
          </w:tcPr>
          <w:p w14:paraId="333905B5">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2020年11月</w:t>
            </w:r>
          </w:p>
        </w:tc>
        <w:tc>
          <w:tcPr>
            <w:tcW w:w="1262" w:type="dxa"/>
            <w:tcBorders>
              <w:top w:val="single" w:color="auto" w:sz="4" w:space="0"/>
              <w:left w:val="single" w:color="auto" w:sz="4" w:space="0"/>
              <w:bottom w:val="single" w:color="auto" w:sz="4" w:space="0"/>
              <w:right w:val="single" w:color="auto" w:sz="4" w:space="0"/>
            </w:tcBorders>
            <w:vAlign w:val="center"/>
          </w:tcPr>
          <w:p w14:paraId="7DCD9192">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5256519</w:t>
            </w:r>
          </w:p>
        </w:tc>
        <w:tc>
          <w:tcPr>
            <w:tcW w:w="1948" w:type="dxa"/>
            <w:tcBorders>
              <w:top w:val="single" w:color="auto" w:sz="4" w:space="0"/>
              <w:left w:val="single" w:color="auto" w:sz="4" w:space="0"/>
              <w:bottom w:val="single" w:color="auto" w:sz="4" w:space="0"/>
              <w:right w:val="single" w:color="auto" w:sz="4" w:space="0"/>
            </w:tcBorders>
            <w:vAlign w:val="center"/>
          </w:tcPr>
          <w:p w14:paraId="2B16DCE2">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lang w:val="en-US" w:eastAsia="zh-CN"/>
              </w:rPr>
              <w:t>浙江大学</w:t>
            </w:r>
          </w:p>
        </w:tc>
        <w:tc>
          <w:tcPr>
            <w:tcW w:w="2899" w:type="dxa"/>
            <w:tcBorders>
              <w:top w:val="single" w:color="auto" w:sz="4" w:space="0"/>
              <w:left w:val="single" w:color="auto" w:sz="4" w:space="0"/>
              <w:bottom w:val="single" w:color="auto" w:sz="4" w:space="0"/>
              <w:right w:val="single" w:color="auto" w:sz="4" w:space="0"/>
            </w:tcBorders>
            <w:vAlign w:val="center"/>
          </w:tcPr>
          <w:p w14:paraId="0C6043B8">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lang w:val="en-US" w:eastAsia="zh-CN"/>
              </w:rPr>
              <w:t>郭立邦、</w:t>
            </w:r>
            <w:r>
              <w:rPr>
                <w:rFonts w:hint="default" w:ascii="Calibri" w:hAnsi="Calibri" w:eastAsia="仿宋_GB2312" w:cs="Calibri"/>
                <w:b/>
                <w:bCs/>
                <w:sz w:val="24"/>
                <w:szCs w:val="21"/>
                <w:highlight w:val="none"/>
                <w:lang w:val="en-US" w:eastAsia="zh-CN"/>
              </w:rPr>
              <w:t>叶承晋</w:t>
            </w:r>
            <w:r>
              <w:rPr>
                <w:rFonts w:hint="default" w:ascii="Calibri" w:hAnsi="Calibri" w:eastAsia="仿宋_GB2312" w:cs="Calibri"/>
                <w:sz w:val="24"/>
                <w:szCs w:val="21"/>
                <w:highlight w:val="none"/>
                <w:lang w:val="en-US" w:eastAsia="zh-CN"/>
              </w:rPr>
              <w:t>、</w:t>
            </w:r>
            <w:r>
              <w:rPr>
                <w:rFonts w:hint="default" w:ascii="Calibri" w:hAnsi="Calibri" w:eastAsia="仿宋_GB2312" w:cs="Calibri"/>
                <w:b/>
                <w:bCs/>
                <w:sz w:val="24"/>
                <w:szCs w:val="21"/>
                <w:highlight w:val="none"/>
                <w:lang w:val="en-US" w:eastAsia="zh-CN"/>
              </w:rPr>
              <w:t>丁一</w:t>
            </w:r>
          </w:p>
        </w:tc>
        <w:tc>
          <w:tcPr>
            <w:tcW w:w="696" w:type="dxa"/>
            <w:tcBorders>
              <w:top w:val="single" w:color="auto" w:sz="4" w:space="0"/>
              <w:left w:val="single" w:color="auto" w:sz="4" w:space="0"/>
              <w:bottom w:val="single" w:color="auto" w:sz="4" w:space="0"/>
              <w:right w:val="single" w:color="auto" w:sz="4" w:space="0"/>
            </w:tcBorders>
            <w:vAlign w:val="center"/>
          </w:tcPr>
          <w:p w14:paraId="0038B19C">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有效</w:t>
            </w:r>
          </w:p>
        </w:tc>
      </w:tr>
      <w:tr w14:paraId="0884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14:paraId="66F208A5">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发明专利</w:t>
            </w:r>
          </w:p>
        </w:tc>
        <w:tc>
          <w:tcPr>
            <w:tcW w:w="2416" w:type="dxa"/>
            <w:tcBorders>
              <w:top w:val="single" w:color="auto" w:sz="4" w:space="0"/>
              <w:left w:val="single" w:color="auto" w:sz="4" w:space="0"/>
              <w:bottom w:val="single" w:color="auto" w:sz="4" w:space="0"/>
              <w:right w:val="single" w:color="auto" w:sz="4" w:space="0"/>
            </w:tcBorders>
            <w:vAlign w:val="center"/>
          </w:tcPr>
          <w:p w14:paraId="363B9AE5">
            <w:pPr>
              <w:snapToGrid w:val="0"/>
              <w:jc w:val="center"/>
              <w:rPr>
                <w:rFonts w:hint="default" w:ascii="Calibri" w:hAnsi="Calibri" w:eastAsia="仿宋_GB2312" w:cs="Calibri"/>
                <w:sz w:val="24"/>
                <w:szCs w:val="21"/>
              </w:rPr>
            </w:pPr>
            <w:r>
              <w:rPr>
                <w:rFonts w:hint="eastAsia" w:eastAsia="仿宋_GB2312"/>
                <w:sz w:val="24"/>
                <w:szCs w:val="21"/>
              </w:rPr>
              <w:t>一种用于多仿真装置的联合运行与信息数据交互处理方法</w:t>
            </w:r>
          </w:p>
        </w:tc>
        <w:tc>
          <w:tcPr>
            <w:tcW w:w="819" w:type="dxa"/>
            <w:tcBorders>
              <w:top w:val="single" w:color="auto" w:sz="4" w:space="0"/>
              <w:left w:val="single" w:color="auto" w:sz="4" w:space="0"/>
              <w:bottom w:val="single" w:color="auto" w:sz="4" w:space="0"/>
              <w:right w:val="single" w:color="auto" w:sz="4" w:space="0"/>
            </w:tcBorders>
            <w:vAlign w:val="center"/>
          </w:tcPr>
          <w:p w14:paraId="59264D40">
            <w:pPr>
              <w:snapToGrid w:val="0"/>
              <w:jc w:val="center"/>
              <w:rPr>
                <w:rFonts w:hint="default" w:ascii="Calibri" w:hAnsi="Calibri" w:eastAsia="仿宋_GB2312" w:cs="Calibri"/>
                <w:sz w:val="24"/>
                <w:szCs w:val="21"/>
              </w:rPr>
            </w:pPr>
            <w:r>
              <w:rPr>
                <w:rFonts w:hint="default" w:eastAsia="仿宋_GB2312"/>
                <w:sz w:val="24"/>
                <w:szCs w:val="21"/>
                <w:lang w:val="en-US" w:eastAsia="zh-CN"/>
              </w:rPr>
              <w:t>中国</w:t>
            </w:r>
          </w:p>
        </w:tc>
        <w:tc>
          <w:tcPr>
            <w:tcW w:w="1309" w:type="dxa"/>
            <w:tcBorders>
              <w:top w:val="single" w:color="auto" w:sz="4" w:space="0"/>
              <w:left w:val="single" w:color="auto" w:sz="4" w:space="0"/>
              <w:bottom w:val="single" w:color="auto" w:sz="4" w:space="0"/>
              <w:right w:val="single" w:color="auto" w:sz="4" w:space="0"/>
            </w:tcBorders>
            <w:vAlign w:val="center"/>
          </w:tcPr>
          <w:p w14:paraId="3A7CB6EC">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sz w:val="24"/>
                <w:szCs w:val="21"/>
                <w:highlight w:val="none"/>
                <w:lang w:val="en-US" w:eastAsia="zh-CN"/>
              </w:rPr>
              <w:t>ZL202511366043.6</w:t>
            </w:r>
          </w:p>
        </w:tc>
        <w:tc>
          <w:tcPr>
            <w:tcW w:w="1527" w:type="dxa"/>
            <w:tcBorders>
              <w:top w:val="single" w:color="auto" w:sz="4" w:space="0"/>
              <w:left w:val="single" w:color="auto" w:sz="4" w:space="0"/>
              <w:bottom w:val="single" w:color="auto" w:sz="4" w:space="0"/>
              <w:right w:val="single" w:color="auto" w:sz="4" w:space="0"/>
            </w:tcBorders>
            <w:vAlign w:val="center"/>
          </w:tcPr>
          <w:p w14:paraId="5A493460">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2025年</w:t>
            </w:r>
            <w:r>
              <w:rPr>
                <w:rFonts w:hint="eastAsia" w:ascii="Calibri" w:hAnsi="Calibri" w:eastAsia="仿宋_GB2312" w:cs="Calibri"/>
                <w:sz w:val="24"/>
                <w:szCs w:val="21"/>
                <w:lang w:val="en-US" w:eastAsia="zh-CN"/>
              </w:rPr>
              <w:t>12</w:t>
            </w:r>
            <w:r>
              <w:rPr>
                <w:rFonts w:hint="default" w:ascii="Calibri" w:hAnsi="Calibri" w:eastAsia="仿宋_GB2312" w:cs="Calibri"/>
                <w:sz w:val="24"/>
                <w:szCs w:val="21"/>
                <w:lang w:val="en-US" w:eastAsia="zh-CN"/>
              </w:rPr>
              <w:t>月</w:t>
            </w:r>
          </w:p>
        </w:tc>
        <w:tc>
          <w:tcPr>
            <w:tcW w:w="1262" w:type="dxa"/>
            <w:tcBorders>
              <w:top w:val="single" w:color="auto" w:sz="4" w:space="0"/>
              <w:left w:val="single" w:color="auto" w:sz="4" w:space="0"/>
              <w:bottom w:val="single" w:color="auto" w:sz="4" w:space="0"/>
              <w:right w:val="single" w:color="auto" w:sz="4" w:space="0"/>
            </w:tcBorders>
            <w:vAlign w:val="center"/>
          </w:tcPr>
          <w:p w14:paraId="6A718CAC">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5055028</w:t>
            </w:r>
          </w:p>
        </w:tc>
        <w:tc>
          <w:tcPr>
            <w:tcW w:w="1948" w:type="dxa"/>
            <w:tcBorders>
              <w:top w:val="single" w:color="auto" w:sz="4" w:space="0"/>
              <w:left w:val="single" w:color="auto" w:sz="4" w:space="0"/>
              <w:bottom w:val="single" w:color="auto" w:sz="4" w:space="0"/>
              <w:right w:val="single" w:color="auto" w:sz="4" w:space="0"/>
            </w:tcBorders>
            <w:vAlign w:val="center"/>
          </w:tcPr>
          <w:p w14:paraId="2AAAA5BA">
            <w:pPr>
              <w:snapToGrid w:val="0"/>
              <w:jc w:val="center"/>
              <w:rPr>
                <w:rFonts w:hint="default" w:ascii="Calibri" w:hAnsi="Calibri" w:eastAsia="仿宋_GB2312" w:cs="Calibri"/>
                <w:sz w:val="24"/>
                <w:szCs w:val="21"/>
              </w:rPr>
            </w:pPr>
            <w:r>
              <w:rPr>
                <w:rFonts w:hint="eastAsia" w:eastAsia="仿宋_GB2312"/>
                <w:sz w:val="24"/>
                <w:szCs w:val="21"/>
              </w:rPr>
              <w:t>杭州盛星能源技术有限公司</w:t>
            </w:r>
            <w:r>
              <w:rPr>
                <w:rFonts w:hint="eastAsia" w:eastAsia="仿宋_GB2312"/>
                <w:sz w:val="24"/>
                <w:szCs w:val="21"/>
                <w:lang w:eastAsia="zh-CN"/>
              </w:rPr>
              <w:t>、</w:t>
            </w:r>
            <w:r>
              <w:rPr>
                <w:rFonts w:hint="eastAsia" w:eastAsia="仿宋_GB2312"/>
                <w:sz w:val="24"/>
                <w:szCs w:val="21"/>
              </w:rPr>
              <w:t>国网浙江省电力有限公司经济技术研究院</w:t>
            </w:r>
          </w:p>
        </w:tc>
        <w:tc>
          <w:tcPr>
            <w:tcW w:w="2899" w:type="dxa"/>
            <w:tcBorders>
              <w:top w:val="single" w:color="auto" w:sz="4" w:space="0"/>
              <w:left w:val="single" w:color="auto" w:sz="4" w:space="0"/>
              <w:bottom w:val="single" w:color="auto" w:sz="4" w:space="0"/>
              <w:right w:val="single" w:color="auto" w:sz="4" w:space="0"/>
            </w:tcBorders>
            <w:vAlign w:val="center"/>
          </w:tcPr>
          <w:p w14:paraId="12ED35C2">
            <w:pPr>
              <w:snapToGrid w:val="0"/>
              <w:jc w:val="center"/>
              <w:rPr>
                <w:rFonts w:hint="default" w:ascii="Calibri" w:hAnsi="Calibri" w:eastAsia="仿宋_GB2312" w:cs="Calibri"/>
                <w:sz w:val="24"/>
                <w:szCs w:val="21"/>
              </w:rPr>
            </w:pPr>
            <w:r>
              <w:rPr>
                <w:rFonts w:hint="eastAsia" w:eastAsia="仿宋_GB2312"/>
                <w:b/>
                <w:bCs/>
                <w:sz w:val="24"/>
                <w:szCs w:val="21"/>
              </w:rPr>
              <w:t>周丹</w:t>
            </w:r>
            <w:r>
              <w:rPr>
                <w:rFonts w:hint="eastAsia" w:eastAsia="仿宋_GB2312"/>
                <w:sz w:val="24"/>
                <w:szCs w:val="21"/>
                <w:lang w:eastAsia="zh-CN"/>
              </w:rPr>
              <w:t>、</w:t>
            </w:r>
            <w:r>
              <w:rPr>
                <w:rFonts w:hint="eastAsia" w:eastAsia="仿宋_GB2312"/>
                <w:sz w:val="24"/>
                <w:szCs w:val="21"/>
              </w:rPr>
              <w:t>钟晖</w:t>
            </w:r>
            <w:r>
              <w:rPr>
                <w:rFonts w:hint="eastAsia" w:eastAsia="仿宋_GB2312"/>
                <w:sz w:val="24"/>
                <w:szCs w:val="21"/>
                <w:lang w:eastAsia="zh-CN"/>
              </w:rPr>
              <w:t>、</w:t>
            </w:r>
            <w:r>
              <w:rPr>
                <w:rFonts w:hint="eastAsia" w:eastAsia="仿宋_GB2312"/>
                <w:sz w:val="24"/>
                <w:szCs w:val="21"/>
              </w:rPr>
              <w:t>戚军</w:t>
            </w:r>
            <w:r>
              <w:rPr>
                <w:rFonts w:hint="eastAsia" w:eastAsia="仿宋_GB2312"/>
                <w:sz w:val="24"/>
                <w:szCs w:val="21"/>
                <w:lang w:eastAsia="zh-CN"/>
              </w:rPr>
              <w:t>、</w:t>
            </w:r>
            <w:r>
              <w:rPr>
                <w:rFonts w:hint="eastAsia" w:eastAsia="仿宋_GB2312"/>
                <w:sz w:val="24"/>
                <w:szCs w:val="21"/>
              </w:rPr>
              <w:t>但扬清</w:t>
            </w:r>
            <w:r>
              <w:rPr>
                <w:rFonts w:hint="eastAsia" w:eastAsia="仿宋_GB2312"/>
                <w:sz w:val="24"/>
                <w:szCs w:val="21"/>
                <w:lang w:eastAsia="zh-CN"/>
              </w:rPr>
              <w:t>、</w:t>
            </w:r>
            <w:r>
              <w:rPr>
                <w:rFonts w:hint="eastAsia" w:eastAsia="仿宋_GB2312"/>
                <w:sz w:val="24"/>
                <w:szCs w:val="21"/>
              </w:rPr>
              <w:t>周文委</w:t>
            </w:r>
            <w:r>
              <w:rPr>
                <w:rFonts w:hint="eastAsia" w:eastAsia="仿宋_GB2312"/>
                <w:sz w:val="24"/>
                <w:szCs w:val="21"/>
                <w:lang w:eastAsia="zh-CN"/>
              </w:rPr>
              <w:t>、</w:t>
            </w:r>
            <w:r>
              <w:rPr>
                <w:rFonts w:hint="eastAsia" w:eastAsia="仿宋_GB2312"/>
                <w:sz w:val="24"/>
                <w:szCs w:val="21"/>
              </w:rPr>
              <w:t>黄锦华</w:t>
            </w:r>
            <w:r>
              <w:rPr>
                <w:rFonts w:hint="eastAsia" w:eastAsia="仿宋_GB2312"/>
                <w:sz w:val="24"/>
                <w:szCs w:val="21"/>
                <w:lang w:eastAsia="zh-CN"/>
              </w:rPr>
              <w:t>、</w:t>
            </w:r>
            <w:r>
              <w:rPr>
                <w:rFonts w:hint="eastAsia" w:eastAsia="仿宋_GB2312"/>
                <w:sz w:val="24"/>
                <w:szCs w:val="21"/>
              </w:rPr>
              <w:t>谢路耀</w:t>
            </w:r>
            <w:r>
              <w:rPr>
                <w:rFonts w:hint="eastAsia" w:eastAsia="仿宋_GB2312"/>
                <w:sz w:val="24"/>
                <w:szCs w:val="21"/>
                <w:lang w:eastAsia="zh-CN"/>
              </w:rPr>
              <w:t>、</w:t>
            </w:r>
            <w:r>
              <w:rPr>
                <w:rFonts w:hint="eastAsia" w:eastAsia="仿宋_GB2312"/>
                <w:sz w:val="24"/>
                <w:szCs w:val="21"/>
              </w:rPr>
              <w:t>滕陈源</w:t>
            </w:r>
            <w:r>
              <w:rPr>
                <w:rFonts w:hint="eastAsia" w:eastAsia="仿宋_GB2312"/>
                <w:sz w:val="24"/>
                <w:szCs w:val="21"/>
                <w:lang w:eastAsia="zh-CN"/>
              </w:rPr>
              <w:t>、</w:t>
            </w:r>
            <w:r>
              <w:rPr>
                <w:rFonts w:hint="eastAsia" w:eastAsia="仿宋_GB2312"/>
                <w:sz w:val="24"/>
                <w:szCs w:val="21"/>
              </w:rPr>
              <w:t>戚笑愚</w:t>
            </w:r>
            <w:r>
              <w:rPr>
                <w:rFonts w:hint="eastAsia" w:eastAsia="仿宋_GB2312"/>
                <w:sz w:val="24"/>
                <w:szCs w:val="21"/>
                <w:lang w:eastAsia="zh-CN"/>
              </w:rPr>
              <w:t>、</w:t>
            </w:r>
            <w:r>
              <w:rPr>
                <w:rFonts w:hint="eastAsia" w:eastAsia="仿宋_GB2312"/>
                <w:sz w:val="24"/>
                <w:szCs w:val="21"/>
              </w:rPr>
              <w:t>陈海明</w:t>
            </w:r>
          </w:p>
        </w:tc>
        <w:tc>
          <w:tcPr>
            <w:tcW w:w="696" w:type="dxa"/>
            <w:tcBorders>
              <w:top w:val="single" w:color="auto" w:sz="4" w:space="0"/>
              <w:left w:val="single" w:color="auto" w:sz="4" w:space="0"/>
              <w:bottom w:val="single" w:color="auto" w:sz="4" w:space="0"/>
              <w:right w:val="single" w:color="auto" w:sz="4" w:space="0"/>
            </w:tcBorders>
            <w:vAlign w:val="center"/>
          </w:tcPr>
          <w:p w14:paraId="43456690">
            <w:pPr>
              <w:snapToGrid w:val="0"/>
              <w:jc w:val="center"/>
              <w:rPr>
                <w:rFonts w:hint="default" w:ascii="Calibri" w:hAnsi="Calibri" w:eastAsia="仿宋_GB2312" w:cs="Calibri"/>
                <w:sz w:val="24"/>
                <w:szCs w:val="21"/>
              </w:rPr>
            </w:pPr>
            <w:r>
              <w:rPr>
                <w:rFonts w:hint="default" w:eastAsia="仿宋_GB2312"/>
                <w:sz w:val="24"/>
                <w:szCs w:val="21"/>
                <w:lang w:val="en-US" w:eastAsia="zh-CN"/>
              </w:rPr>
              <w:t>有效</w:t>
            </w:r>
          </w:p>
        </w:tc>
      </w:tr>
      <w:tr w14:paraId="2D96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14:paraId="6B7D8F53">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发明专利</w:t>
            </w:r>
          </w:p>
        </w:tc>
        <w:tc>
          <w:tcPr>
            <w:tcW w:w="2416" w:type="dxa"/>
            <w:tcBorders>
              <w:top w:val="single" w:color="auto" w:sz="4" w:space="0"/>
              <w:left w:val="single" w:color="auto" w:sz="4" w:space="0"/>
              <w:bottom w:val="single" w:color="auto" w:sz="4" w:space="0"/>
              <w:right w:val="single" w:color="auto" w:sz="4" w:space="0"/>
            </w:tcBorders>
            <w:vAlign w:val="center"/>
          </w:tcPr>
          <w:p w14:paraId="28202AE3">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rPr>
              <w:t>采用SNOP进行供电恢复的辐射式无环路配电网孤岛生成方法</w:t>
            </w:r>
          </w:p>
        </w:tc>
        <w:tc>
          <w:tcPr>
            <w:tcW w:w="819" w:type="dxa"/>
            <w:tcBorders>
              <w:top w:val="single" w:color="auto" w:sz="4" w:space="0"/>
              <w:left w:val="single" w:color="auto" w:sz="4" w:space="0"/>
              <w:bottom w:val="single" w:color="auto" w:sz="4" w:space="0"/>
              <w:right w:val="single" w:color="auto" w:sz="4" w:space="0"/>
            </w:tcBorders>
            <w:vAlign w:val="center"/>
          </w:tcPr>
          <w:p w14:paraId="44BA4880">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中国</w:t>
            </w:r>
          </w:p>
        </w:tc>
        <w:tc>
          <w:tcPr>
            <w:tcW w:w="1309" w:type="dxa"/>
            <w:tcBorders>
              <w:top w:val="single" w:color="auto" w:sz="4" w:space="0"/>
              <w:left w:val="single" w:color="auto" w:sz="4" w:space="0"/>
              <w:bottom w:val="single" w:color="auto" w:sz="4" w:space="0"/>
              <w:right w:val="single" w:color="auto" w:sz="4" w:space="0"/>
            </w:tcBorders>
            <w:vAlign w:val="center"/>
          </w:tcPr>
          <w:p w14:paraId="2B72D3D3">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sz w:val="24"/>
                <w:szCs w:val="21"/>
                <w:highlight w:val="none"/>
                <w:lang w:val="en-US" w:eastAsia="zh-CN"/>
              </w:rPr>
              <w:t>ZL202010913602.1</w:t>
            </w:r>
          </w:p>
        </w:tc>
        <w:tc>
          <w:tcPr>
            <w:tcW w:w="1527" w:type="dxa"/>
            <w:tcBorders>
              <w:top w:val="single" w:color="auto" w:sz="4" w:space="0"/>
              <w:left w:val="single" w:color="auto" w:sz="4" w:space="0"/>
              <w:bottom w:val="single" w:color="auto" w:sz="4" w:space="0"/>
              <w:right w:val="single" w:color="auto" w:sz="4" w:space="0"/>
            </w:tcBorders>
            <w:vAlign w:val="center"/>
          </w:tcPr>
          <w:p w14:paraId="2F35402E">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2021年</w:t>
            </w:r>
            <w:r>
              <w:rPr>
                <w:rFonts w:hint="eastAsia" w:ascii="Calibri" w:hAnsi="Calibri" w:eastAsia="仿宋_GB2312" w:cs="Calibri"/>
                <w:sz w:val="24"/>
                <w:szCs w:val="21"/>
                <w:lang w:val="en-US" w:eastAsia="zh-CN"/>
              </w:rPr>
              <w:t>10</w:t>
            </w:r>
            <w:r>
              <w:rPr>
                <w:rFonts w:hint="default" w:ascii="Calibri" w:hAnsi="Calibri" w:eastAsia="仿宋_GB2312" w:cs="Calibri"/>
                <w:sz w:val="24"/>
                <w:szCs w:val="21"/>
                <w:lang w:val="en-US" w:eastAsia="zh-CN"/>
              </w:rPr>
              <w:t>月</w:t>
            </w:r>
          </w:p>
        </w:tc>
        <w:tc>
          <w:tcPr>
            <w:tcW w:w="1262" w:type="dxa"/>
            <w:tcBorders>
              <w:top w:val="single" w:color="auto" w:sz="4" w:space="0"/>
              <w:left w:val="single" w:color="auto" w:sz="4" w:space="0"/>
              <w:bottom w:val="single" w:color="auto" w:sz="4" w:space="0"/>
              <w:right w:val="single" w:color="auto" w:sz="4" w:space="0"/>
            </w:tcBorders>
            <w:vAlign w:val="center"/>
          </w:tcPr>
          <w:p w14:paraId="3C3FFF1E">
            <w:pPr>
              <w:snapToGrid w:val="0"/>
              <w:jc w:val="center"/>
              <w:rPr>
                <w:rFonts w:hint="default" w:ascii="Calibri" w:hAnsi="Calibri" w:eastAsia="仿宋_GB2312" w:cs="Calibri"/>
                <w:sz w:val="24"/>
                <w:szCs w:val="21"/>
                <w:lang w:val="en-US" w:eastAsia="zh-CN"/>
              </w:rPr>
            </w:pPr>
            <w:r>
              <w:rPr>
                <w:rFonts w:hint="eastAsia" w:ascii="Calibri" w:hAnsi="Calibri" w:eastAsia="仿宋_GB2312" w:cs="Calibri"/>
                <w:sz w:val="24"/>
                <w:szCs w:val="21"/>
                <w:lang w:val="en-US" w:eastAsia="zh-CN"/>
              </w:rPr>
              <w:t>4756264</w:t>
            </w:r>
          </w:p>
        </w:tc>
        <w:tc>
          <w:tcPr>
            <w:tcW w:w="1948" w:type="dxa"/>
            <w:tcBorders>
              <w:top w:val="single" w:color="auto" w:sz="4" w:space="0"/>
              <w:left w:val="single" w:color="auto" w:sz="4" w:space="0"/>
              <w:bottom w:val="single" w:color="auto" w:sz="4" w:space="0"/>
              <w:right w:val="single" w:color="auto" w:sz="4" w:space="0"/>
            </w:tcBorders>
            <w:vAlign w:val="center"/>
          </w:tcPr>
          <w:p w14:paraId="55A6011F">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rPr>
              <w:t>国网浙江省电力有限公司经济技术研究院</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黑龙江省工业技术研究院</w:t>
            </w:r>
          </w:p>
        </w:tc>
        <w:tc>
          <w:tcPr>
            <w:tcW w:w="2899" w:type="dxa"/>
            <w:tcBorders>
              <w:top w:val="single" w:color="auto" w:sz="4" w:space="0"/>
              <w:left w:val="single" w:color="auto" w:sz="4" w:space="0"/>
              <w:bottom w:val="single" w:color="auto" w:sz="4" w:space="0"/>
              <w:right w:val="single" w:color="auto" w:sz="4" w:space="0"/>
            </w:tcBorders>
            <w:vAlign w:val="center"/>
          </w:tcPr>
          <w:p w14:paraId="2D0C805C">
            <w:pPr>
              <w:snapToGrid w:val="0"/>
              <w:jc w:val="center"/>
              <w:rPr>
                <w:rFonts w:hint="default" w:ascii="Calibri" w:hAnsi="Calibri" w:eastAsia="仿宋_GB2312" w:cs="Calibri"/>
                <w:sz w:val="24"/>
                <w:szCs w:val="21"/>
              </w:rPr>
            </w:pPr>
            <w:r>
              <w:rPr>
                <w:rFonts w:hint="default" w:ascii="Calibri" w:hAnsi="Calibri" w:eastAsia="仿宋_GB2312" w:cs="Calibri"/>
                <w:sz w:val="24"/>
                <w:szCs w:val="21"/>
                <w:highlight w:val="none"/>
              </w:rPr>
              <w:t>沈舒仪</w:t>
            </w:r>
            <w:r>
              <w:rPr>
                <w:rFonts w:hint="eastAsia" w:ascii="Calibri" w:hAnsi="Calibri" w:eastAsia="仿宋_GB2312" w:cs="Calibri"/>
                <w:sz w:val="24"/>
                <w:szCs w:val="21"/>
                <w:highlight w:val="none"/>
                <w:lang w:eastAsia="zh-CN"/>
              </w:rPr>
              <w:t>、</w:t>
            </w:r>
            <w:r>
              <w:rPr>
                <w:rFonts w:hint="default" w:ascii="Calibri" w:hAnsi="Calibri" w:eastAsia="仿宋_GB2312" w:cs="Calibri"/>
                <w:b/>
                <w:bCs/>
                <w:sz w:val="24"/>
                <w:szCs w:val="21"/>
                <w:highlight w:val="none"/>
              </w:rPr>
              <w:t>何英静</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何东</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黄锦华</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兰洲</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朱克平</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李帆</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周林</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但扬清</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王曦冉</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梁婧</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王竹静</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葛菊女</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邢红敏</w:t>
            </w:r>
            <w:r>
              <w:rPr>
                <w:rFonts w:hint="eastAsia" w:ascii="Calibri" w:hAnsi="Calibri" w:eastAsia="仿宋_GB2312" w:cs="Calibri"/>
                <w:sz w:val="24"/>
                <w:szCs w:val="21"/>
                <w:highlight w:val="none"/>
                <w:lang w:eastAsia="zh-CN"/>
              </w:rPr>
              <w:t>、</w:t>
            </w:r>
            <w:r>
              <w:rPr>
                <w:rFonts w:hint="default" w:ascii="Calibri" w:hAnsi="Calibri" w:eastAsia="仿宋_GB2312" w:cs="Calibri"/>
                <w:sz w:val="24"/>
                <w:szCs w:val="21"/>
                <w:highlight w:val="none"/>
              </w:rPr>
              <w:t>邬樵风</w:t>
            </w:r>
          </w:p>
        </w:tc>
        <w:tc>
          <w:tcPr>
            <w:tcW w:w="696" w:type="dxa"/>
            <w:tcBorders>
              <w:top w:val="single" w:color="auto" w:sz="4" w:space="0"/>
              <w:left w:val="single" w:color="auto" w:sz="4" w:space="0"/>
              <w:bottom w:val="single" w:color="auto" w:sz="4" w:space="0"/>
              <w:right w:val="single" w:color="auto" w:sz="4" w:space="0"/>
            </w:tcBorders>
            <w:vAlign w:val="center"/>
          </w:tcPr>
          <w:p w14:paraId="4F46F7E7">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有效</w:t>
            </w:r>
          </w:p>
        </w:tc>
      </w:tr>
      <w:tr w14:paraId="75A8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14:paraId="2437B6CA">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发明专利</w:t>
            </w:r>
          </w:p>
        </w:tc>
        <w:tc>
          <w:tcPr>
            <w:tcW w:w="2416" w:type="dxa"/>
            <w:tcBorders>
              <w:top w:val="single" w:color="auto" w:sz="4" w:space="0"/>
              <w:left w:val="single" w:color="auto" w:sz="4" w:space="0"/>
              <w:bottom w:val="single" w:color="auto" w:sz="4" w:space="0"/>
              <w:right w:val="single" w:color="auto" w:sz="4" w:space="0"/>
            </w:tcBorders>
            <w:vAlign w:val="center"/>
          </w:tcPr>
          <w:p w14:paraId="4509464F">
            <w:pPr>
              <w:snapToGrid w:val="0"/>
              <w:jc w:val="center"/>
              <w:rPr>
                <w:rFonts w:hint="default" w:ascii="Calibri" w:hAnsi="Calibri" w:eastAsia="仿宋_GB2312" w:cs="Calibri"/>
                <w:sz w:val="24"/>
                <w:szCs w:val="21"/>
              </w:rPr>
            </w:pPr>
            <w:r>
              <w:rPr>
                <w:rFonts w:hint="default" w:ascii="Calibri" w:hAnsi="Calibri" w:eastAsia="仿宋_GB2312" w:cs="Calibri"/>
                <w:sz w:val="24"/>
                <w:szCs w:val="21"/>
              </w:rPr>
              <w:t>支撑城市电网电压韧性的充电桩代价调节评估方法及装置</w:t>
            </w:r>
          </w:p>
        </w:tc>
        <w:tc>
          <w:tcPr>
            <w:tcW w:w="819" w:type="dxa"/>
            <w:tcBorders>
              <w:top w:val="single" w:color="auto" w:sz="4" w:space="0"/>
              <w:left w:val="single" w:color="auto" w:sz="4" w:space="0"/>
              <w:bottom w:val="single" w:color="auto" w:sz="4" w:space="0"/>
              <w:right w:val="single" w:color="auto" w:sz="4" w:space="0"/>
            </w:tcBorders>
            <w:vAlign w:val="center"/>
          </w:tcPr>
          <w:p w14:paraId="5C7CB561">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中国</w:t>
            </w:r>
          </w:p>
        </w:tc>
        <w:tc>
          <w:tcPr>
            <w:tcW w:w="1309" w:type="dxa"/>
            <w:tcBorders>
              <w:top w:val="single" w:color="auto" w:sz="4" w:space="0"/>
              <w:left w:val="single" w:color="auto" w:sz="4" w:space="0"/>
              <w:bottom w:val="single" w:color="auto" w:sz="4" w:space="0"/>
              <w:right w:val="single" w:color="auto" w:sz="4" w:space="0"/>
            </w:tcBorders>
            <w:vAlign w:val="center"/>
          </w:tcPr>
          <w:p w14:paraId="2467B7D9">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sz w:val="24"/>
                <w:szCs w:val="21"/>
                <w:highlight w:val="none"/>
                <w:lang w:val="en-US" w:eastAsia="zh-CN"/>
              </w:rPr>
              <w:t>ZL202210410696.X</w:t>
            </w:r>
          </w:p>
        </w:tc>
        <w:tc>
          <w:tcPr>
            <w:tcW w:w="1527" w:type="dxa"/>
            <w:tcBorders>
              <w:top w:val="single" w:color="auto" w:sz="4" w:space="0"/>
              <w:left w:val="single" w:color="auto" w:sz="4" w:space="0"/>
              <w:bottom w:val="single" w:color="auto" w:sz="4" w:space="0"/>
              <w:right w:val="single" w:color="auto" w:sz="4" w:space="0"/>
            </w:tcBorders>
            <w:vAlign w:val="center"/>
          </w:tcPr>
          <w:p w14:paraId="1F32655E">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202</w:t>
            </w:r>
            <w:r>
              <w:rPr>
                <w:rFonts w:hint="eastAsia" w:ascii="Calibri" w:hAnsi="Calibri" w:eastAsia="仿宋_GB2312" w:cs="Calibri"/>
                <w:sz w:val="24"/>
                <w:szCs w:val="21"/>
                <w:lang w:val="en-US" w:eastAsia="zh-CN"/>
              </w:rPr>
              <w:t>4</w:t>
            </w:r>
            <w:r>
              <w:rPr>
                <w:rFonts w:hint="default" w:ascii="Calibri" w:hAnsi="Calibri" w:eastAsia="仿宋_GB2312" w:cs="Calibri"/>
                <w:sz w:val="24"/>
                <w:szCs w:val="21"/>
                <w:lang w:val="en-US" w:eastAsia="zh-CN"/>
              </w:rPr>
              <w:t>年</w:t>
            </w:r>
            <w:r>
              <w:rPr>
                <w:rFonts w:hint="eastAsia" w:ascii="Calibri" w:hAnsi="Calibri" w:eastAsia="仿宋_GB2312" w:cs="Calibri"/>
                <w:sz w:val="24"/>
                <w:szCs w:val="21"/>
                <w:lang w:val="en-US" w:eastAsia="zh-CN"/>
              </w:rPr>
              <w:t>7</w:t>
            </w:r>
            <w:r>
              <w:rPr>
                <w:rFonts w:hint="default" w:ascii="Calibri" w:hAnsi="Calibri" w:eastAsia="仿宋_GB2312" w:cs="Calibri"/>
                <w:sz w:val="24"/>
                <w:szCs w:val="21"/>
                <w:lang w:val="en-US" w:eastAsia="zh-CN"/>
              </w:rPr>
              <w:t>月</w:t>
            </w:r>
          </w:p>
        </w:tc>
        <w:tc>
          <w:tcPr>
            <w:tcW w:w="1262" w:type="dxa"/>
            <w:tcBorders>
              <w:top w:val="single" w:color="auto" w:sz="4" w:space="0"/>
              <w:left w:val="single" w:color="auto" w:sz="4" w:space="0"/>
              <w:bottom w:val="single" w:color="auto" w:sz="4" w:space="0"/>
              <w:right w:val="single" w:color="auto" w:sz="4" w:space="0"/>
            </w:tcBorders>
            <w:vAlign w:val="center"/>
          </w:tcPr>
          <w:p w14:paraId="52952BC2">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4329027</w:t>
            </w:r>
          </w:p>
        </w:tc>
        <w:tc>
          <w:tcPr>
            <w:tcW w:w="1948" w:type="dxa"/>
            <w:tcBorders>
              <w:top w:val="single" w:color="auto" w:sz="4" w:space="0"/>
              <w:left w:val="single" w:color="auto" w:sz="4" w:space="0"/>
              <w:bottom w:val="single" w:color="auto" w:sz="4" w:space="0"/>
              <w:right w:val="single" w:color="auto" w:sz="4" w:space="0"/>
            </w:tcBorders>
            <w:vAlign w:val="center"/>
          </w:tcPr>
          <w:p w14:paraId="05E2FEBA">
            <w:pPr>
              <w:snapToGrid w:val="0"/>
              <w:jc w:val="center"/>
              <w:rPr>
                <w:rFonts w:hint="eastAsia" w:ascii="Calibri" w:hAnsi="Calibri" w:eastAsia="仿宋_GB2312" w:cs="Calibri"/>
                <w:sz w:val="24"/>
                <w:szCs w:val="21"/>
                <w:lang w:val="en-US" w:eastAsia="zh-CN"/>
              </w:rPr>
            </w:pPr>
            <w:r>
              <w:rPr>
                <w:rFonts w:hint="eastAsia" w:ascii="Calibri" w:hAnsi="Calibri" w:eastAsia="仿宋_GB2312" w:cs="Calibri"/>
                <w:sz w:val="24"/>
                <w:szCs w:val="21"/>
                <w:lang w:val="en-US" w:eastAsia="zh-CN"/>
              </w:rPr>
              <w:t>浙江大学</w:t>
            </w:r>
          </w:p>
        </w:tc>
        <w:tc>
          <w:tcPr>
            <w:tcW w:w="2899" w:type="dxa"/>
            <w:tcBorders>
              <w:top w:val="single" w:color="auto" w:sz="4" w:space="0"/>
              <w:left w:val="single" w:color="auto" w:sz="4" w:space="0"/>
              <w:bottom w:val="single" w:color="auto" w:sz="4" w:space="0"/>
              <w:right w:val="single" w:color="auto" w:sz="4" w:space="0"/>
            </w:tcBorders>
            <w:vAlign w:val="center"/>
          </w:tcPr>
          <w:p w14:paraId="7CB3DA7C">
            <w:pPr>
              <w:snapToGrid w:val="0"/>
              <w:jc w:val="center"/>
              <w:rPr>
                <w:rFonts w:hint="default" w:ascii="Calibri" w:hAnsi="Calibri" w:eastAsia="仿宋_GB2312" w:cs="Calibri"/>
                <w:sz w:val="24"/>
                <w:szCs w:val="21"/>
              </w:rPr>
            </w:pPr>
            <w:r>
              <w:rPr>
                <w:rFonts w:hint="default" w:ascii="Calibri" w:hAnsi="Calibri" w:eastAsia="仿宋_GB2312" w:cs="Calibri"/>
                <w:b/>
                <w:bCs/>
                <w:sz w:val="24"/>
                <w:szCs w:val="21"/>
              </w:rPr>
              <w:t>郭超</w:t>
            </w:r>
            <w:r>
              <w:rPr>
                <w:rFonts w:hint="eastAsia" w:ascii="Calibri" w:hAnsi="Calibri" w:eastAsia="仿宋_GB2312" w:cs="Calibri"/>
                <w:sz w:val="24"/>
                <w:szCs w:val="21"/>
                <w:lang w:eastAsia="zh-CN"/>
              </w:rPr>
              <w:t>、</w:t>
            </w:r>
            <w:r>
              <w:rPr>
                <w:rFonts w:hint="default" w:ascii="Calibri" w:hAnsi="Calibri" w:eastAsia="仿宋_GB2312" w:cs="Calibri"/>
                <w:b/>
                <w:bCs/>
                <w:sz w:val="24"/>
                <w:szCs w:val="21"/>
              </w:rPr>
              <w:t>叶承晋</w:t>
            </w:r>
            <w:r>
              <w:rPr>
                <w:rFonts w:hint="eastAsia" w:ascii="Calibri" w:hAnsi="Calibri" w:eastAsia="仿宋_GB2312" w:cs="Calibri"/>
                <w:sz w:val="24"/>
                <w:szCs w:val="21"/>
                <w:lang w:eastAsia="zh-CN"/>
              </w:rPr>
              <w:t>、</w:t>
            </w:r>
            <w:r>
              <w:rPr>
                <w:rFonts w:hint="default" w:ascii="Calibri" w:hAnsi="Calibri" w:eastAsia="仿宋_GB2312" w:cs="Calibri"/>
                <w:b/>
                <w:bCs/>
                <w:sz w:val="24"/>
                <w:szCs w:val="21"/>
              </w:rPr>
              <w:t>丁一</w:t>
            </w:r>
            <w:r>
              <w:rPr>
                <w:rFonts w:hint="eastAsia" w:ascii="Calibri" w:hAnsi="Calibri" w:eastAsia="仿宋_GB2312" w:cs="Calibri"/>
                <w:sz w:val="24"/>
                <w:szCs w:val="21"/>
                <w:lang w:eastAsia="zh-CN"/>
              </w:rPr>
              <w:t>、</w:t>
            </w:r>
            <w:r>
              <w:rPr>
                <w:rFonts w:hint="default" w:ascii="Calibri" w:hAnsi="Calibri" w:eastAsia="仿宋_GB2312" w:cs="Calibri"/>
                <w:sz w:val="24"/>
                <w:szCs w:val="21"/>
              </w:rPr>
              <w:t>李静</w:t>
            </w:r>
          </w:p>
        </w:tc>
        <w:tc>
          <w:tcPr>
            <w:tcW w:w="696" w:type="dxa"/>
            <w:tcBorders>
              <w:top w:val="single" w:color="auto" w:sz="4" w:space="0"/>
              <w:left w:val="single" w:color="auto" w:sz="4" w:space="0"/>
              <w:bottom w:val="single" w:color="auto" w:sz="4" w:space="0"/>
              <w:right w:val="single" w:color="auto" w:sz="4" w:space="0"/>
            </w:tcBorders>
            <w:vAlign w:val="center"/>
          </w:tcPr>
          <w:p w14:paraId="034E42B9">
            <w:pPr>
              <w:snapToGrid w:val="0"/>
              <w:jc w:val="center"/>
              <w:rPr>
                <w:rFonts w:hint="default" w:ascii="Calibri" w:hAnsi="Calibri" w:eastAsia="仿宋_GB2312" w:cs="Calibri"/>
                <w:sz w:val="24"/>
                <w:szCs w:val="21"/>
              </w:rPr>
            </w:pPr>
            <w:r>
              <w:rPr>
                <w:rFonts w:hint="default" w:ascii="Calibri" w:hAnsi="Calibri" w:eastAsia="仿宋_GB2312" w:cs="Calibri"/>
                <w:sz w:val="24"/>
                <w:szCs w:val="21"/>
                <w:lang w:val="en-US" w:eastAsia="zh-CN"/>
              </w:rPr>
              <w:t>有效</w:t>
            </w:r>
          </w:p>
        </w:tc>
      </w:tr>
      <w:tr w14:paraId="498F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14:paraId="01AC3673">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发明专利</w:t>
            </w:r>
          </w:p>
        </w:tc>
        <w:tc>
          <w:tcPr>
            <w:tcW w:w="2416" w:type="dxa"/>
            <w:tcBorders>
              <w:top w:val="single" w:color="auto" w:sz="4" w:space="0"/>
              <w:left w:val="single" w:color="auto" w:sz="4" w:space="0"/>
              <w:bottom w:val="single" w:color="auto" w:sz="4" w:space="0"/>
              <w:right w:val="single" w:color="auto" w:sz="4" w:space="0"/>
            </w:tcBorders>
            <w:vAlign w:val="center"/>
          </w:tcPr>
          <w:p w14:paraId="01BDF42F">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sz w:val="24"/>
                <w:szCs w:val="21"/>
                <w:highlight w:val="none"/>
                <w:lang w:val="en-US" w:eastAsia="zh-CN"/>
              </w:rPr>
              <w:t>一种快速测量kA级直流电流突变的方法</w:t>
            </w:r>
          </w:p>
        </w:tc>
        <w:tc>
          <w:tcPr>
            <w:tcW w:w="819" w:type="dxa"/>
            <w:tcBorders>
              <w:top w:val="single" w:color="auto" w:sz="4" w:space="0"/>
              <w:left w:val="single" w:color="auto" w:sz="4" w:space="0"/>
              <w:bottom w:val="single" w:color="auto" w:sz="4" w:space="0"/>
              <w:right w:val="single" w:color="auto" w:sz="4" w:space="0"/>
            </w:tcBorders>
            <w:vAlign w:val="center"/>
          </w:tcPr>
          <w:p w14:paraId="3D43ED82">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中国</w:t>
            </w:r>
          </w:p>
        </w:tc>
        <w:tc>
          <w:tcPr>
            <w:tcW w:w="1309" w:type="dxa"/>
            <w:tcBorders>
              <w:top w:val="single" w:color="auto" w:sz="4" w:space="0"/>
              <w:left w:val="single" w:color="auto" w:sz="4" w:space="0"/>
              <w:bottom w:val="single" w:color="auto" w:sz="4" w:space="0"/>
              <w:right w:val="single" w:color="auto" w:sz="4" w:space="0"/>
            </w:tcBorders>
            <w:vAlign w:val="center"/>
          </w:tcPr>
          <w:p w14:paraId="7584B7C8">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sz w:val="24"/>
                <w:szCs w:val="21"/>
                <w:highlight w:val="none"/>
                <w:lang w:val="en-US" w:eastAsia="zh-CN"/>
              </w:rPr>
              <w:t>ZL202011296143.3</w:t>
            </w:r>
          </w:p>
        </w:tc>
        <w:tc>
          <w:tcPr>
            <w:tcW w:w="1527" w:type="dxa"/>
            <w:tcBorders>
              <w:top w:val="single" w:color="auto" w:sz="4" w:space="0"/>
              <w:left w:val="single" w:color="auto" w:sz="4" w:space="0"/>
              <w:bottom w:val="single" w:color="auto" w:sz="4" w:space="0"/>
              <w:right w:val="single" w:color="auto" w:sz="4" w:space="0"/>
            </w:tcBorders>
            <w:vAlign w:val="center"/>
          </w:tcPr>
          <w:p w14:paraId="700464B2">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2021年9月</w:t>
            </w:r>
          </w:p>
        </w:tc>
        <w:tc>
          <w:tcPr>
            <w:tcW w:w="1262" w:type="dxa"/>
            <w:tcBorders>
              <w:top w:val="single" w:color="auto" w:sz="4" w:space="0"/>
              <w:left w:val="single" w:color="auto" w:sz="4" w:space="0"/>
              <w:bottom w:val="single" w:color="auto" w:sz="4" w:space="0"/>
              <w:right w:val="single" w:color="auto" w:sz="4" w:space="0"/>
            </w:tcBorders>
            <w:vAlign w:val="center"/>
          </w:tcPr>
          <w:p w14:paraId="3D63B994">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2364512</w:t>
            </w:r>
          </w:p>
        </w:tc>
        <w:tc>
          <w:tcPr>
            <w:tcW w:w="1948" w:type="dxa"/>
            <w:tcBorders>
              <w:top w:val="single" w:color="auto" w:sz="4" w:space="0"/>
              <w:left w:val="single" w:color="auto" w:sz="4" w:space="0"/>
              <w:bottom w:val="single" w:color="auto" w:sz="4" w:space="0"/>
              <w:right w:val="single" w:color="auto" w:sz="4" w:space="0"/>
            </w:tcBorders>
            <w:vAlign w:val="center"/>
          </w:tcPr>
          <w:p w14:paraId="364877BD">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sz w:val="24"/>
                <w:szCs w:val="21"/>
                <w:highlight w:val="none"/>
                <w:lang w:val="en-US" w:eastAsia="zh-CN"/>
              </w:rPr>
              <w:t>国网浙江省电力有限公司营销服务中心</w:t>
            </w:r>
          </w:p>
        </w:tc>
        <w:tc>
          <w:tcPr>
            <w:tcW w:w="2899" w:type="dxa"/>
            <w:tcBorders>
              <w:top w:val="single" w:color="auto" w:sz="4" w:space="0"/>
              <w:left w:val="single" w:color="auto" w:sz="4" w:space="0"/>
              <w:bottom w:val="single" w:color="auto" w:sz="4" w:space="0"/>
              <w:right w:val="single" w:color="auto" w:sz="4" w:space="0"/>
            </w:tcBorders>
            <w:vAlign w:val="center"/>
          </w:tcPr>
          <w:p w14:paraId="5DB8D2C9">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b/>
                <w:bCs/>
                <w:sz w:val="24"/>
                <w:szCs w:val="21"/>
                <w:highlight w:val="none"/>
                <w:lang w:val="en-US" w:eastAsia="zh-CN"/>
              </w:rPr>
              <w:t>刘思</w:t>
            </w:r>
            <w:r>
              <w:rPr>
                <w:rFonts w:hint="default" w:ascii="Calibri" w:hAnsi="Calibri" w:eastAsia="仿宋_GB2312" w:cs="Calibri"/>
                <w:sz w:val="24"/>
                <w:szCs w:val="21"/>
                <w:highlight w:val="none"/>
                <w:lang w:val="en-US" w:eastAsia="zh-CN"/>
              </w:rPr>
              <w:t>、肖涛、余恩、李亦龙、徐开、吴剑芳</w:t>
            </w:r>
          </w:p>
        </w:tc>
        <w:tc>
          <w:tcPr>
            <w:tcW w:w="696" w:type="dxa"/>
            <w:tcBorders>
              <w:top w:val="single" w:color="auto" w:sz="4" w:space="0"/>
              <w:left w:val="single" w:color="auto" w:sz="4" w:space="0"/>
              <w:bottom w:val="single" w:color="auto" w:sz="4" w:space="0"/>
              <w:right w:val="single" w:color="auto" w:sz="4" w:space="0"/>
            </w:tcBorders>
            <w:vAlign w:val="center"/>
          </w:tcPr>
          <w:p w14:paraId="64F927AA">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sz w:val="24"/>
                <w:szCs w:val="21"/>
                <w:highlight w:val="none"/>
                <w:lang w:val="en-US" w:eastAsia="zh-CN"/>
              </w:rPr>
              <w:t>有效</w:t>
            </w:r>
          </w:p>
        </w:tc>
      </w:tr>
      <w:tr w14:paraId="5532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14:paraId="20EDB83F">
            <w:pPr>
              <w:snapToGrid w:val="0"/>
              <w:jc w:val="center"/>
              <w:rPr>
                <w:rFonts w:hint="default" w:ascii="Calibri" w:hAnsi="Calibri" w:eastAsia="仿宋_GB2312" w:cs="Calibri"/>
                <w:sz w:val="24"/>
                <w:szCs w:val="21"/>
                <w:lang w:val="en-US" w:eastAsia="zh-CN"/>
              </w:rPr>
            </w:pPr>
            <w:r>
              <w:rPr>
                <w:rFonts w:hint="eastAsia" w:ascii="Calibri" w:hAnsi="Calibri" w:eastAsia="仿宋_GB2312" w:cs="Calibri"/>
                <w:sz w:val="24"/>
                <w:szCs w:val="21"/>
                <w:lang w:val="en-US" w:eastAsia="zh-CN"/>
              </w:rPr>
              <w:t>技术标准</w:t>
            </w:r>
          </w:p>
        </w:tc>
        <w:tc>
          <w:tcPr>
            <w:tcW w:w="2416" w:type="dxa"/>
            <w:tcBorders>
              <w:top w:val="single" w:color="auto" w:sz="4" w:space="0"/>
              <w:left w:val="single" w:color="auto" w:sz="4" w:space="0"/>
              <w:bottom w:val="single" w:color="auto" w:sz="4" w:space="0"/>
              <w:right w:val="single" w:color="auto" w:sz="4" w:space="0"/>
            </w:tcBorders>
            <w:vAlign w:val="center"/>
          </w:tcPr>
          <w:p w14:paraId="5DCA3749">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sz w:val="24"/>
                <w:szCs w:val="21"/>
                <w:highlight w:val="none"/>
                <w:lang w:val="en-US" w:eastAsia="zh-CN"/>
              </w:rPr>
              <w:t>《Microgrids-Technical requirements- Microgrid monitoring and control system》</w:t>
            </w:r>
          </w:p>
        </w:tc>
        <w:tc>
          <w:tcPr>
            <w:tcW w:w="819" w:type="dxa"/>
            <w:tcBorders>
              <w:top w:val="single" w:color="auto" w:sz="4" w:space="0"/>
              <w:left w:val="single" w:color="auto" w:sz="4" w:space="0"/>
              <w:bottom w:val="single" w:color="auto" w:sz="4" w:space="0"/>
              <w:right w:val="single" w:color="auto" w:sz="4" w:space="0"/>
            </w:tcBorders>
            <w:vAlign w:val="center"/>
          </w:tcPr>
          <w:p w14:paraId="30491741">
            <w:pPr>
              <w:snapToGrid w:val="0"/>
              <w:jc w:val="center"/>
              <w:rPr>
                <w:rFonts w:hint="default" w:ascii="Calibri" w:hAnsi="Calibri" w:eastAsia="仿宋_GB2312" w:cs="Calibri"/>
                <w:sz w:val="24"/>
                <w:szCs w:val="21"/>
                <w:lang w:val="en-US" w:eastAsia="zh-CN"/>
              </w:rPr>
            </w:pPr>
            <w:r>
              <w:rPr>
                <w:rFonts w:hint="eastAsia" w:ascii="Calibri" w:hAnsi="Calibri" w:eastAsia="仿宋_GB2312" w:cs="Calibri"/>
                <w:sz w:val="24"/>
                <w:szCs w:val="21"/>
                <w:lang w:val="en-US" w:eastAsia="zh-CN"/>
              </w:rPr>
              <w:t>其他</w:t>
            </w:r>
          </w:p>
        </w:tc>
        <w:tc>
          <w:tcPr>
            <w:tcW w:w="1309" w:type="dxa"/>
            <w:tcBorders>
              <w:top w:val="single" w:color="auto" w:sz="4" w:space="0"/>
              <w:left w:val="single" w:color="auto" w:sz="4" w:space="0"/>
              <w:bottom w:val="single" w:color="auto" w:sz="4" w:space="0"/>
              <w:right w:val="single" w:color="auto" w:sz="4" w:space="0"/>
            </w:tcBorders>
            <w:vAlign w:val="center"/>
          </w:tcPr>
          <w:p w14:paraId="4CEAB668">
            <w:pPr>
              <w:snapToGrid w:val="0"/>
              <w:jc w:val="center"/>
              <w:rPr>
                <w:rFonts w:hint="default" w:ascii="Calibri" w:hAnsi="Calibri" w:eastAsia="仿宋_GB2312" w:cs="Calibri"/>
                <w:sz w:val="24"/>
                <w:szCs w:val="21"/>
                <w:highlight w:val="none"/>
                <w:lang w:val="en-US" w:eastAsia="zh-CN"/>
              </w:rPr>
            </w:pPr>
            <w:r>
              <w:rPr>
                <w:rFonts w:hint="default" w:ascii="Calibri" w:hAnsi="Calibri" w:eastAsia="仿宋_GB2312" w:cs="Calibri"/>
                <w:sz w:val="24"/>
                <w:szCs w:val="21"/>
                <w:lang w:val="en-US" w:eastAsia="zh-CN"/>
              </w:rPr>
              <w:t>IEC TS 62898-3-4</w:t>
            </w:r>
          </w:p>
        </w:tc>
        <w:tc>
          <w:tcPr>
            <w:tcW w:w="1527" w:type="dxa"/>
            <w:tcBorders>
              <w:top w:val="single" w:color="auto" w:sz="4" w:space="0"/>
              <w:left w:val="single" w:color="auto" w:sz="4" w:space="0"/>
              <w:bottom w:val="single" w:color="auto" w:sz="4" w:space="0"/>
              <w:right w:val="single" w:color="auto" w:sz="4" w:space="0"/>
            </w:tcBorders>
            <w:vAlign w:val="center"/>
          </w:tcPr>
          <w:p w14:paraId="79393577">
            <w:pPr>
              <w:snapToGrid w:val="0"/>
              <w:jc w:val="center"/>
              <w:rPr>
                <w:rFonts w:hint="default" w:ascii="Calibri" w:hAnsi="Calibri" w:eastAsia="仿宋_GB2312" w:cs="Calibri"/>
                <w:sz w:val="24"/>
                <w:szCs w:val="21"/>
                <w:lang w:val="en-US" w:eastAsia="zh-CN"/>
              </w:rPr>
            </w:pPr>
            <w:r>
              <w:rPr>
                <w:rFonts w:hint="default" w:ascii="Calibri" w:hAnsi="Calibri" w:eastAsia="仿宋_GB2312" w:cs="Calibri"/>
                <w:sz w:val="24"/>
                <w:szCs w:val="21"/>
                <w:lang w:val="en-US" w:eastAsia="zh-CN"/>
              </w:rPr>
              <w:t>2023</w:t>
            </w:r>
            <w:r>
              <w:rPr>
                <w:rFonts w:hint="eastAsia" w:ascii="Calibri" w:hAnsi="Calibri" w:eastAsia="仿宋_GB2312" w:cs="Calibri"/>
                <w:sz w:val="24"/>
                <w:szCs w:val="21"/>
                <w:lang w:val="en-US" w:eastAsia="zh-CN"/>
              </w:rPr>
              <w:t>年</w:t>
            </w:r>
            <w:r>
              <w:rPr>
                <w:rFonts w:hint="default" w:ascii="Calibri" w:hAnsi="Calibri" w:eastAsia="仿宋_GB2312" w:cs="Calibri"/>
                <w:sz w:val="24"/>
                <w:szCs w:val="21"/>
                <w:lang w:val="en-US" w:eastAsia="zh-CN"/>
              </w:rPr>
              <w:t>8</w:t>
            </w:r>
            <w:r>
              <w:rPr>
                <w:rFonts w:hint="eastAsia" w:ascii="Calibri" w:hAnsi="Calibri" w:eastAsia="仿宋_GB2312" w:cs="Calibri"/>
                <w:sz w:val="24"/>
                <w:szCs w:val="21"/>
                <w:lang w:val="en-US" w:eastAsia="zh-CN"/>
              </w:rPr>
              <w:t>月</w:t>
            </w:r>
          </w:p>
        </w:tc>
        <w:tc>
          <w:tcPr>
            <w:tcW w:w="1262" w:type="dxa"/>
            <w:tcBorders>
              <w:top w:val="single" w:color="auto" w:sz="4" w:space="0"/>
              <w:left w:val="single" w:color="auto" w:sz="4" w:space="0"/>
              <w:bottom w:val="single" w:color="auto" w:sz="4" w:space="0"/>
              <w:right w:val="single" w:color="auto" w:sz="4" w:space="0"/>
            </w:tcBorders>
            <w:vAlign w:val="center"/>
          </w:tcPr>
          <w:p w14:paraId="06976D1B">
            <w:pPr>
              <w:snapToGrid w:val="0"/>
              <w:jc w:val="center"/>
              <w:rPr>
                <w:rFonts w:hint="default" w:ascii="Calibri" w:hAnsi="Calibri" w:eastAsia="仿宋_GB2312" w:cs="Calibri"/>
                <w:sz w:val="24"/>
                <w:szCs w:val="21"/>
                <w:lang w:val="en-US" w:eastAsia="zh-CN"/>
              </w:rPr>
            </w:pPr>
            <w:r>
              <w:rPr>
                <w:rFonts w:hint="eastAsia" w:ascii="Calibri" w:hAnsi="Calibri" w:eastAsia="仿宋_GB2312" w:cs="Calibri"/>
                <w:sz w:val="24"/>
                <w:szCs w:val="21"/>
                <w:lang w:val="en-US" w:eastAsia="zh-CN"/>
              </w:rPr>
              <w:t>国际电工委员会（IEC）</w:t>
            </w:r>
          </w:p>
        </w:tc>
        <w:tc>
          <w:tcPr>
            <w:tcW w:w="1948" w:type="dxa"/>
            <w:tcBorders>
              <w:top w:val="single" w:color="auto" w:sz="4" w:space="0"/>
              <w:left w:val="single" w:color="auto" w:sz="4" w:space="0"/>
              <w:bottom w:val="single" w:color="auto" w:sz="4" w:space="0"/>
              <w:right w:val="single" w:color="auto" w:sz="4" w:space="0"/>
            </w:tcBorders>
            <w:vAlign w:val="center"/>
          </w:tcPr>
          <w:p w14:paraId="02E2400C">
            <w:pPr>
              <w:snapToGrid w:val="0"/>
              <w:jc w:val="center"/>
              <w:rPr>
                <w:rFonts w:hint="default" w:ascii="Calibri" w:hAnsi="Calibri" w:eastAsia="仿宋_GB2312" w:cs="Calibri"/>
                <w:sz w:val="24"/>
                <w:szCs w:val="21"/>
                <w:highlight w:val="none"/>
                <w:lang w:val="en-US" w:eastAsia="zh-CN"/>
              </w:rPr>
            </w:pPr>
            <w:r>
              <w:rPr>
                <w:rFonts w:hint="eastAsia" w:ascii="Calibri" w:hAnsi="Calibri" w:eastAsia="仿宋_GB2312" w:cs="Calibri"/>
                <w:sz w:val="24"/>
                <w:szCs w:val="21"/>
                <w:highlight w:val="none"/>
                <w:lang w:val="en-US" w:eastAsia="zh-CN"/>
              </w:rPr>
              <w:t>南方电网数字电网研究院有限公司</w:t>
            </w:r>
            <w:r>
              <w:rPr>
                <w:rFonts w:hint="eastAsia" w:eastAsia="仿宋_GB2312"/>
                <w:bCs/>
                <w:sz w:val="24"/>
                <w:szCs w:val="24"/>
                <w:lang w:eastAsia="zh-CN"/>
              </w:rPr>
              <w:t>（南方电网电算科技数字工程（广东）有限公司）</w:t>
            </w:r>
          </w:p>
        </w:tc>
        <w:tc>
          <w:tcPr>
            <w:tcW w:w="2899" w:type="dxa"/>
            <w:tcBorders>
              <w:top w:val="single" w:color="auto" w:sz="4" w:space="0"/>
              <w:left w:val="single" w:color="auto" w:sz="4" w:space="0"/>
              <w:bottom w:val="single" w:color="auto" w:sz="4" w:space="0"/>
              <w:right w:val="single" w:color="auto" w:sz="4" w:space="0"/>
            </w:tcBorders>
            <w:vAlign w:val="center"/>
          </w:tcPr>
          <w:p w14:paraId="6B39BE72">
            <w:pPr>
              <w:snapToGrid w:val="0"/>
              <w:jc w:val="center"/>
              <w:rPr>
                <w:rFonts w:hint="default" w:ascii="Calibri" w:hAnsi="Calibri" w:eastAsia="仿宋_GB2312" w:cs="Calibri"/>
                <w:sz w:val="24"/>
                <w:szCs w:val="21"/>
                <w:highlight w:val="none"/>
                <w:lang w:val="en-US" w:eastAsia="zh-CN"/>
              </w:rPr>
            </w:pPr>
            <w:r>
              <w:rPr>
                <w:rFonts w:hint="eastAsia" w:ascii="Calibri" w:hAnsi="Calibri" w:eastAsia="仿宋_GB2312" w:cs="Calibri"/>
                <w:b/>
                <w:bCs/>
                <w:sz w:val="24"/>
                <w:szCs w:val="21"/>
                <w:highlight w:val="none"/>
                <w:lang w:val="en-US" w:eastAsia="zh-CN"/>
              </w:rPr>
              <w:t>赵亮</w:t>
            </w:r>
          </w:p>
        </w:tc>
        <w:tc>
          <w:tcPr>
            <w:tcW w:w="696" w:type="dxa"/>
            <w:tcBorders>
              <w:top w:val="single" w:color="auto" w:sz="4" w:space="0"/>
              <w:left w:val="single" w:color="auto" w:sz="4" w:space="0"/>
              <w:bottom w:val="single" w:color="auto" w:sz="4" w:space="0"/>
              <w:right w:val="single" w:color="auto" w:sz="4" w:space="0"/>
            </w:tcBorders>
            <w:vAlign w:val="center"/>
          </w:tcPr>
          <w:p w14:paraId="71C12BDE">
            <w:pPr>
              <w:snapToGrid w:val="0"/>
              <w:jc w:val="center"/>
              <w:rPr>
                <w:rFonts w:hint="default" w:ascii="Calibri" w:hAnsi="Calibri" w:eastAsia="仿宋_GB2312" w:cs="Calibri"/>
                <w:sz w:val="24"/>
                <w:szCs w:val="21"/>
                <w:highlight w:val="none"/>
                <w:lang w:val="en-US" w:eastAsia="zh-CN"/>
              </w:rPr>
            </w:pPr>
            <w:r>
              <w:rPr>
                <w:rFonts w:hint="eastAsia" w:ascii="Calibri" w:hAnsi="Calibri" w:eastAsia="仿宋_GB2312" w:cs="Calibri"/>
                <w:sz w:val="24"/>
                <w:szCs w:val="21"/>
                <w:highlight w:val="none"/>
                <w:lang w:val="en-US" w:eastAsia="zh-CN"/>
              </w:rPr>
              <w:t>有效</w:t>
            </w:r>
          </w:p>
        </w:tc>
      </w:tr>
    </w:tbl>
    <w:p w14:paraId="7883E2BD">
      <w:pPr>
        <w:adjustRightInd w:val="0"/>
        <w:snapToGrid w:val="0"/>
        <w:spacing w:line="560" w:lineRule="exact"/>
        <w:jc w:val="center"/>
        <w:rPr>
          <w:rFonts w:hint="eastAsia" w:eastAsia="仿宋_GB2312"/>
          <w:sz w:val="32"/>
          <w:szCs w:val="32"/>
        </w:rPr>
      </w:pPr>
      <w:r>
        <w:rPr>
          <w:rFonts w:hint="eastAsia" w:eastAsia="仿宋_GB2312"/>
          <w:sz w:val="32"/>
          <w:szCs w:val="32"/>
        </w:rPr>
        <w:t>代表性论文专著目录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6346"/>
        <w:gridCol w:w="2206"/>
        <w:gridCol w:w="1644"/>
        <w:gridCol w:w="1271"/>
      </w:tblGrid>
      <w:tr w14:paraId="22A6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2607" w:type="dxa"/>
            <w:vAlign w:val="center"/>
          </w:tcPr>
          <w:p w14:paraId="618C8C34">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作 者</w:t>
            </w:r>
          </w:p>
        </w:tc>
        <w:tc>
          <w:tcPr>
            <w:tcW w:w="6346" w:type="dxa"/>
            <w:vAlign w:val="center"/>
          </w:tcPr>
          <w:p w14:paraId="2FE597CF">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论文专著名称/刊物</w:t>
            </w:r>
          </w:p>
        </w:tc>
        <w:tc>
          <w:tcPr>
            <w:tcW w:w="2206" w:type="dxa"/>
            <w:tcMar>
              <w:top w:w="0" w:type="dxa"/>
              <w:left w:w="0" w:type="dxa"/>
              <w:bottom w:w="0" w:type="dxa"/>
              <w:right w:w="0" w:type="dxa"/>
            </w:tcMar>
            <w:vAlign w:val="center"/>
          </w:tcPr>
          <w:p w14:paraId="57A0F7E7">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年卷</w:t>
            </w:r>
          </w:p>
          <w:p w14:paraId="3A5D58A4">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页码</w:t>
            </w:r>
          </w:p>
        </w:tc>
        <w:tc>
          <w:tcPr>
            <w:tcW w:w="1644" w:type="dxa"/>
            <w:tcMar>
              <w:top w:w="0" w:type="dxa"/>
              <w:left w:w="0" w:type="dxa"/>
              <w:bottom w:w="0" w:type="dxa"/>
              <w:right w:w="0" w:type="dxa"/>
            </w:tcMar>
            <w:vAlign w:val="center"/>
          </w:tcPr>
          <w:p w14:paraId="4D0691E1">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发表时间</w:t>
            </w:r>
          </w:p>
          <w:p w14:paraId="7B1F50F7">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（年、月）</w:t>
            </w:r>
          </w:p>
        </w:tc>
        <w:tc>
          <w:tcPr>
            <w:tcW w:w="1271" w:type="dxa"/>
            <w:tcMar>
              <w:top w:w="0" w:type="dxa"/>
              <w:left w:w="0" w:type="dxa"/>
              <w:bottom w:w="0" w:type="dxa"/>
              <w:right w:w="0" w:type="dxa"/>
            </w:tcMar>
            <w:vAlign w:val="center"/>
          </w:tcPr>
          <w:p w14:paraId="3A81BC57">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他引</w:t>
            </w:r>
          </w:p>
          <w:p w14:paraId="67EA5D99">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总次数</w:t>
            </w:r>
          </w:p>
        </w:tc>
      </w:tr>
      <w:tr w14:paraId="555E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trPr>
        <w:tc>
          <w:tcPr>
            <w:tcW w:w="2607" w:type="dxa"/>
            <w:vAlign w:val="center"/>
          </w:tcPr>
          <w:p w14:paraId="0B7DE1D1">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郭立邦、</w:t>
            </w:r>
            <w:r>
              <w:rPr>
                <w:rFonts w:hint="default" w:ascii="Times New Roman" w:hAnsi="Times New Roman" w:eastAsia="仿宋_GB2312" w:cs="Times New Roman"/>
                <w:b/>
                <w:bCs/>
                <w:sz w:val="24"/>
                <w:szCs w:val="24"/>
                <w:lang w:val="en-US" w:eastAsia="zh-CN"/>
              </w:rPr>
              <w:t>叶承晋</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b/>
                <w:bCs/>
                <w:sz w:val="24"/>
                <w:szCs w:val="24"/>
                <w:lang w:val="en-US" w:eastAsia="zh-CN"/>
              </w:rPr>
              <w:t>丁一</w:t>
            </w:r>
            <w:r>
              <w:rPr>
                <w:rFonts w:hint="default" w:ascii="Times New Roman" w:hAnsi="Times New Roman" w:eastAsia="仿宋_GB2312" w:cs="Times New Roman"/>
                <w:sz w:val="24"/>
                <w:szCs w:val="24"/>
                <w:lang w:val="en-US" w:eastAsia="zh-CN"/>
              </w:rPr>
              <w:t>、王鹏</w:t>
            </w:r>
          </w:p>
        </w:tc>
        <w:tc>
          <w:tcPr>
            <w:tcW w:w="6346" w:type="dxa"/>
            <w:vAlign w:val="center"/>
          </w:tcPr>
          <w:p w14:paraId="556CF1CF">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Allocation of Centrally Switched Fault Current Limiters Enabled by 5G in Transmission System</w:t>
            </w:r>
            <w:r>
              <w:rPr>
                <w:rFonts w:hint="default" w:ascii="Times New Roman" w:hAnsi="Times New Roman" w:eastAsia="仿宋_GB2312" w:cs="Times New Roman"/>
                <w:sz w:val="24"/>
                <w:szCs w:val="24"/>
                <w:lang w:val="en-US" w:eastAsia="zh-CN"/>
              </w:rPr>
              <w:t>/IEEE Transactions on Power Delivery</w:t>
            </w:r>
          </w:p>
        </w:tc>
        <w:tc>
          <w:tcPr>
            <w:tcW w:w="2206" w:type="dxa"/>
            <w:vAlign w:val="center"/>
          </w:tcPr>
          <w:p w14:paraId="21A36EDD">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36</w:t>
            </w:r>
            <w:r>
              <w:rPr>
                <w:rFonts w:hint="default" w:ascii="Times New Roman" w:hAnsi="Times New Roman" w:eastAsia="仿宋_GB2312" w:cs="Times New Roman"/>
                <w:sz w:val="24"/>
                <w:szCs w:val="24"/>
                <w:lang w:val="en-US" w:eastAsia="zh-CN"/>
              </w:rPr>
              <w:t>卷第5期</w:t>
            </w:r>
            <w:r>
              <w:rPr>
                <w:rFonts w:hint="default" w:ascii="Times New Roman" w:hAnsi="Times New Roman" w:eastAsia="仿宋_GB2312" w:cs="Times New Roman"/>
                <w:sz w:val="24"/>
                <w:szCs w:val="24"/>
              </w:rPr>
              <w:t>3231-3241</w:t>
            </w:r>
          </w:p>
        </w:tc>
        <w:tc>
          <w:tcPr>
            <w:tcW w:w="1644" w:type="dxa"/>
            <w:vAlign w:val="center"/>
          </w:tcPr>
          <w:p w14:paraId="75518446">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202</w:t>
            </w:r>
            <w:r>
              <w:rPr>
                <w:rFonts w:hint="default" w:ascii="Times New Roman" w:hAnsi="Times New Roman" w:eastAsia="仿宋_GB2312" w:cs="Times New Roman"/>
                <w:sz w:val="24"/>
                <w:szCs w:val="24"/>
                <w:lang w:eastAsia="zh-CN"/>
              </w:rPr>
              <w:t>1</w:t>
            </w:r>
            <w:r>
              <w:rPr>
                <w:rFonts w:hint="default" w:ascii="Times New Roman" w:hAnsi="Times New Roman" w:eastAsia="仿宋_GB2312" w:cs="Times New Roman"/>
                <w:sz w:val="24"/>
                <w:szCs w:val="24"/>
              </w:rPr>
              <w:t>年</w:t>
            </w:r>
            <w:r>
              <w:rPr>
                <w:rFonts w:hint="default" w:ascii="Times New Roman" w:hAnsi="Times New Roman" w:eastAsia="仿宋_GB2312" w:cs="Times New Roman"/>
                <w:sz w:val="24"/>
                <w:szCs w:val="24"/>
                <w:lang w:eastAsia="zh-CN"/>
              </w:rPr>
              <w:t>1</w:t>
            </w:r>
            <w:r>
              <w:rPr>
                <w:rFonts w:hint="default" w:ascii="Times New Roman" w:hAnsi="Times New Roman" w:eastAsia="仿宋_GB2312" w:cs="Times New Roman"/>
                <w:sz w:val="24"/>
                <w:szCs w:val="24"/>
                <w:lang w:val="en-US" w:eastAsia="zh-CN"/>
              </w:rPr>
              <w:t>0</w:t>
            </w:r>
            <w:r>
              <w:rPr>
                <w:rFonts w:hint="default" w:ascii="Times New Roman" w:hAnsi="Times New Roman" w:eastAsia="仿宋_GB2312" w:cs="Times New Roman"/>
                <w:sz w:val="24"/>
                <w:szCs w:val="24"/>
              </w:rPr>
              <w:t>月</w:t>
            </w:r>
          </w:p>
        </w:tc>
        <w:tc>
          <w:tcPr>
            <w:tcW w:w="1271" w:type="dxa"/>
            <w:vAlign w:val="center"/>
          </w:tcPr>
          <w:p w14:paraId="0865080B">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84</w:t>
            </w:r>
          </w:p>
        </w:tc>
      </w:tr>
      <w:tr w14:paraId="2A31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exact"/>
        </w:trPr>
        <w:tc>
          <w:tcPr>
            <w:tcW w:w="2607" w:type="dxa"/>
            <w:vAlign w:val="center"/>
          </w:tcPr>
          <w:p w14:paraId="02600BC8">
            <w:pP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胡金迪、</w:t>
            </w:r>
            <w:r>
              <w:rPr>
                <w:rFonts w:hint="default" w:ascii="Times New Roman" w:hAnsi="Times New Roman" w:eastAsia="仿宋_GB2312" w:cs="Times New Roman"/>
                <w:b/>
                <w:bCs/>
                <w:sz w:val="24"/>
                <w:szCs w:val="24"/>
                <w:lang w:val="en-US" w:eastAsia="zh-CN"/>
              </w:rPr>
              <w:t>叶承晋*</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b/>
                <w:bCs/>
                <w:sz w:val="24"/>
                <w:szCs w:val="24"/>
                <w:lang w:val="en-US" w:eastAsia="zh-CN"/>
              </w:rPr>
              <w:t>丁一</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lang w:val="en-US" w:eastAsia="zh-CN"/>
              </w:rPr>
              <w:t>唐景江、刘思</w:t>
            </w:r>
          </w:p>
        </w:tc>
        <w:tc>
          <w:tcPr>
            <w:tcW w:w="6346" w:type="dxa"/>
            <w:vAlign w:val="center"/>
          </w:tcPr>
          <w:p w14:paraId="46A99A6E">
            <w:pP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A Distributed MPC to Exploit Reactive Power V2G for Real-Time Voltage Regulation in Distribution Networks</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/IEEE </w:t>
            </w:r>
            <w:r>
              <w:rPr>
                <w:rFonts w:hint="default" w:ascii="Times New Roman" w:hAnsi="Times New Roman" w:eastAsia="仿宋_GB2312" w:cs="Times New Roman"/>
                <w:sz w:val="24"/>
                <w:szCs w:val="24"/>
                <w:lang w:val="en-US" w:eastAsia="zh-CN"/>
              </w:rPr>
              <w:t>Transactions</w:t>
            </w:r>
            <w:r>
              <w:rPr>
                <w:rFonts w:hint="default" w:ascii="Times New Roman" w:hAnsi="Times New Roman" w:eastAsia="仿宋_GB2312" w:cs="Times New Roman"/>
                <w:sz w:val="24"/>
                <w:szCs w:val="24"/>
              </w:rPr>
              <w:t xml:space="preserve"> on </w:t>
            </w:r>
            <w:r>
              <w:rPr>
                <w:rFonts w:hint="default" w:ascii="Times New Roman" w:hAnsi="Times New Roman" w:eastAsia="仿宋_GB2312" w:cs="Times New Roman"/>
                <w:sz w:val="24"/>
                <w:szCs w:val="24"/>
                <w:lang w:val="en-US" w:eastAsia="zh-CN"/>
              </w:rPr>
              <w:t>Smart Grid</w:t>
            </w:r>
          </w:p>
        </w:tc>
        <w:tc>
          <w:tcPr>
            <w:tcW w:w="2206" w:type="dxa"/>
            <w:vAlign w:val="center"/>
          </w:tcPr>
          <w:p w14:paraId="581DE458">
            <w:pP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13卷第1期576-588</w:t>
            </w:r>
          </w:p>
        </w:tc>
        <w:tc>
          <w:tcPr>
            <w:tcW w:w="1644" w:type="dxa"/>
            <w:vAlign w:val="center"/>
          </w:tcPr>
          <w:p w14:paraId="0CEBAABE">
            <w:pP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2022年1月</w:t>
            </w:r>
          </w:p>
        </w:tc>
        <w:tc>
          <w:tcPr>
            <w:tcW w:w="1271" w:type="dxa"/>
            <w:vAlign w:val="center"/>
          </w:tcPr>
          <w:p w14:paraId="59110661">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157</w:t>
            </w:r>
          </w:p>
        </w:tc>
      </w:tr>
      <w:tr w14:paraId="4C4B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trPr>
        <w:tc>
          <w:tcPr>
            <w:tcW w:w="2607" w:type="dxa"/>
            <w:vAlign w:val="center"/>
          </w:tcPr>
          <w:p w14:paraId="465CC850">
            <w:pP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b/>
                <w:bCs/>
                <w:sz w:val="24"/>
                <w:szCs w:val="24"/>
                <w:lang w:val="en-US" w:eastAsia="zh-CN"/>
              </w:rPr>
              <w:t>叶承晋</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b/>
                <w:bCs/>
                <w:sz w:val="24"/>
                <w:szCs w:val="24"/>
                <w:lang w:val="en-US" w:eastAsia="zh-CN"/>
              </w:rPr>
              <w:t>郭超</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b/>
                <w:bCs/>
                <w:sz w:val="24"/>
                <w:szCs w:val="24"/>
                <w:lang w:val="en-US" w:eastAsia="zh-CN"/>
              </w:rPr>
              <w:t>丁一</w:t>
            </w:r>
          </w:p>
        </w:tc>
        <w:tc>
          <w:tcPr>
            <w:tcW w:w="6346" w:type="dxa"/>
            <w:vAlign w:val="center"/>
          </w:tcPr>
          <w:p w14:paraId="4938B13A">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《Risk-based Planning and Operation Strategy towards Short Circuit Resilient Power Systems》</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Springer</w:t>
            </w:r>
          </w:p>
        </w:tc>
        <w:tc>
          <w:tcPr>
            <w:tcW w:w="2206" w:type="dxa"/>
            <w:vAlign w:val="center"/>
          </w:tcPr>
          <w:p w14:paraId="0DF81A53">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ISBN</w:t>
            </w:r>
            <w:r>
              <w:rPr>
                <w:rFonts w:hint="eastAsia" w:eastAsia="仿宋_GB2312" w:cs="Times New Roman"/>
                <w:sz w:val="24"/>
                <w:szCs w:val="24"/>
                <w:lang w:val="en-US" w:eastAsia="zh-CN"/>
              </w:rPr>
              <w:t xml:space="preserve"> </w:t>
            </w:r>
            <w:r>
              <w:rPr>
                <w:rFonts w:hint="default" w:ascii="Times New Roman" w:hAnsi="Times New Roman" w:eastAsia="仿宋_GB2312" w:cs="Times New Roman"/>
                <w:sz w:val="24"/>
                <w:szCs w:val="24"/>
              </w:rPr>
              <w:t>978-981-19-9724-2</w:t>
            </w:r>
          </w:p>
        </w:tc>
        <w:tc>
          <w:tcPr>
            <w:tcW w:w="1644" w:type="dxa"/>
            <w:vAlign w:val="center"/>
          </w:tcPr>
          <w:p w14:paraId="56C58335">
            <w:pP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2022年12月</w:t>
            </w:r>
          </w:p>
        </w:tc>
        <w:tc>
          <w:tcPr>
            <w:tcW w:w="1271" w:type="dxa"/>
            <w:vAlign w:val="center"/>
          </w:tcPr>
          <w:p w14:paraId="727F92A1">
            <w:pPr>
              <w:jc w:val="center"/>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0</w:t>
            </w:r>
          </w:p>
        </w:tc>
      </w:tr>
    </w:tbl>
    <w:p w14:paraId="0878BC6B">
      <w:pPr>
        <w:adjustRightInd w:val="0"/>
        <w:snapToGrid w:val="0"/>
        <w:spacing w:line="560" w:lineRule="exact"/>
        <w:rPr>
          <w:rFonts w:hint="eastAsia" w:eastAsia="仿宋_GB2312"/>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7507DC-CA33-46FD-BCAA-46D9F0E656B1}"/>
  </w:font>
  <w:font w:name="Arial">
    <w:panose1 w:val="020B0604020202020204"/>
    <w:charset w:val="01"/>
    <w:family w:val="swiss"/>
    <w:pitch w:val="default"/>
    <w:sig w:usb0="E0002EFF" w:usb1="C000785B" w:usb2="00000009" w:usb3="00000000" w:csb0="400001FF" w:csb1="FFFF0000"/>
    <w:embedRegular r:id="rId2" w:fontKey="{30414CD6-A1B2-4E8E-8FC2-6D668A634A5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1841021-A797-4623-AD9F-E7EFA1346250}"/>
  </w:font>
  <w:font w:name="Symbol">
    <w:panose1 w:val="05050102010706020507"/>
    <w:charset w:val="02"/>
    <w:family w:val="roman"/>
    <w:pitch w:val="default"/>
    <w:sig w:usb0="00000000" w:usb1="00000000" w:usb2="00000000" w:usb3="00000000" w:csb0="80000000" w:csb1="00000000"/>
    <w:embedRegular r:id="rId4" w:fontKey="{8F78727A-2C51-4FFA-840D-7A52153F5520}"/>
  </w:font>
  <w:font w:name="Calibri">
    <w:panose1 w:val="020F0502020204030204"/>
    <w:charset w:val="00"/>
    <w:family w:val="swiss"/>
    <w:pitch w:val="default"/>
    <w:sig w:usb0="E4002EFF" w:usb1="C200247B" w:usb2="00000009" w:usb3="00000000" w:csb0="200001FF" w:csb1="00000000"/>
    <w:embedRegular r:id="rId5" w:fontKey="{BCD82479-2274-4F9F-984D-7CCBDA108209}"/>
  </w:font>
  <w:font w:name="Cambria">
    <w:panose1 w:val="02040503050406030204"/>
    <w:charset w:val="00"/>
    <w:family w:val="roman"/>
    <w:pitch w:val="default"/>
    <w:sig w:usb0="E00006FF" w:usb1="420024FF" w:usb2="02000000" w:usb3="00000000" w:csb0="2000019F" w:csb1="00000000"/>
    <w:embedRegular r:id="rId6" w:fontKey="{4ED19E70-E043-442E-B3E1-DCBAC761E115}"/>
  </w:font>
  <w:font w:name="仿宋_GB2312">
    <w:panose1 w:val="02010609030101010101"/>
    <w:charset w:val="86"/>
    <w:family w:val="modern"/>
    <w:pitch w:val="default"/>
    <w:sig w:usb0="00000001" w:usb1="080E0000" w:usb2="00000000" w:usb3="00000000" w:csb0="00040000" w:csb1="00000000"/>
    <w:embedRegular r:id="rId7" w:fontKey="{EB2331AE-3E2E-48C9-BB12-2B3F7C25183F}"/>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8" w:fontKey="{0FAE2E1E-6A5F-474D-B281-27CB7864C8D9}"/>
  </w:font>
  <w:font w:name="仿宋">
    <w:panose1 w:val="02010609060101010101"/>
    <w:charset w:val="86"/>
    <w:family w:val="modern"/>
    <w:pitch w:val="default"/>
    <w:sig w:usb0="800002BF" w:usb1="38CF7CFA" w:usb2="00000016" w:usb3="00000000" w:csb0="00040001" w:csb1="00000000"/>
    <w:embedRegular r:id="rId9" w:fontKey="{7EBCB823-6193-4C10-9CFA-E08FD8F97976}"/>
  </w:font>
  <w:font w:name="方正黑体简体">
    <w:panose1 w:val="02000000000000000000"/>
    <w:charset w:val="86"/>
    <w:family w:val="auto"/>
    <w:pitch w:val="default"/>
    <w:sig w:usb0="A00002BF" w:usb1="184F6CFA" w:usb2="00000012" w:usb3="00000000" w:csb0="00040001" w:csb1="00000000"/>
    <w:embedRegular r:id="rId10" w:fontKey="{53602486-B685-4C10-8BAC-D3955029F627}"/>
  </w:font>
  <w:font w:name="WPSEMBED5">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6">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2E64DD30">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A16F5">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68F241C"/>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61344C"/>
    <w:rsid w:val="0F8B118C"/>
    <w:rsid w:val="10344DD0"/>
    <w:rsid w:val="10633DCE"/>
    <w:rsid w:val="107B4D5D"/>
    <w:rsid w:val="10DD4EBB"/>
    <w:rsid w:val="12114A15"/>
    <w:rsid w:val="12AE0195"/>
    <w:rsid w:val="130A103D"/>
    <w:rsid w:val="13985B17"/>
    <w:rsid w:val="14CB5B87"/>
    <w:rsid w:val="152F6116"/>
    <w:rsid w:val="155C3CBE"/>
    <w:rsid w:val="15F93F79"/>
    <w:rsid w:val="15FD4352"/>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AC6C85"/>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5C4BEA"/>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63038C"/>
    <w:rsid w:val="3F7FF403"/>
    <w:rsid w:val="41F15E70"/>
    <w:rsid w:val="420A5681"/>
    <w:rsid w:val="42BF5395"/>
    <w:rsid w:val="436C4015"/>
    <w:rsid w:val="43772DF4"/>
    <w:rsid w:val="43C35D22"/>
    <w:rsid w:val="43D025F5"/>
    <w:rsid w:val="441A20EA"/>
    <w:rsid w:val="443469F5"/>
    <w:rsid w:val="44FD328B"/>
    <w:rsid w:val="462F56C6"/>
    <w:rsid w:val="472E36B4"/>
    <w:rsid w:val="47C32863"/>
    <w:rsid w:val="47F15329"/>
    <w:rsid w:val="48B76D8F"/>
    <w:rsid w:val="49DD2383"/>
    <w:rsid w:val="4C1F3EFD"/>
    <w:rsid w:val="4CA639F1"/>
    <w:rsid w:val="4CE34B9C"/>
    <w:rsid w:val="4D38031C"/>
    <w:rsid w:val="4DFB671E"/>
    <w:rsid w:val="4EAD471B"/>
    <w:rsid w:val="50EF43CF"/>
    <w:rsid w:val="51D20399"/>
    <w:rsid w:val="535E0F14"/>
    <w:rsid w:val="53D31D87"/>
    <w:rsid w:val="557E53F1"/>
    <w:rsid w:val="56226E9B"/>
    <w:rsid w:val="564448D7"/>
    <w:rsid w:val="56D714C5"/>
    <w:rsid w:val="57E61A10"/>
    <w:rsid w:val="57FF4FBB"/>
    <w:rsid w:val="58D36AC3"/>
    <w:rsid w:val="58DE7204"/>
    <w:rsid w:val="594E097A"/>
    <w:rsid w:val="598310D4"/>
    <w:rsid w:val="59F65C7E"/>
    <w:rsid w:val="5ACC4005"/>
    <w:rsid w:val="5B14611D"/>
    <w:rsid w:val="5B64133E"/>
    <w:rsid w:val="5B9A4CA7"/>
    <w:rsid w:val="5BE661BF"/>
    <w:rsid w:val="5CB33954"/>
    <w:rsid w:val="5D7A3760"/>
    <w:rsid w:val="5F2D2C93"/>
    <w:rsid w:val="5FBF5A6B"/>
    <w:rsid w:val="5FC23025"/>
    <w:rsid w:val="6098413C"/>
    <w:rsid w:val="60E63616"/>
    <w:rsid w:val="60FB2C8B"/>
    <w:rsid w:val="61155DD0"/>
    <w:rsid w:val="61907CF7"/>
    <w:rsid w:val="61C548D6"/>
    <w:rsid w:val="63123A52"/>
    <w:rsid w:val="631877B6"/>
    <w:rsid w:val="63441F36"/>
    <w:rsid w:val="63AF55F1"/>
    <w:rsid w:val="641941AB"/>
    <w:rsid w:val="649E0E16"/>
    <w:rsid w:val="64C701D0"/>
    <w:rsid w:val="64E36592"/>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D95C40"/>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1741</Words>
  <Characters>2300</Characters>
  <Lines>366</Lines>
  <Paragraphs>103</Paragraphs>
  <TotalTime>1</TotalTime>
  <ScaleCrop>false</ScaleCrop>
  <LinksUpToDate>false</LinksUpToDate>
  <CharactersWithSpaces>2357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2022-01-26T08:15:00Z</dcterms:created>
  <dc:creator>胡胜链</dc:creator>
  <cp:lastModifiedBy>叶承晋</cp:lastModifiedBy>
  <cp:lastPrinted>2022-01-28T09:53:00Z</cp:lastPrinted>
  <dcterms:modified xsi:type="dcterms:W3CDTF">2026-06-15T03:32:35Z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FD04DB48465846738532DA2C08EBD2B8_13</vt:lpwstr>
  </property>
  <property fmtid="{D5CDD505-2E9C-101B-9397-08002B2CF9AE}" pid="4" name="KSOTemplateDocerSaveRecord">
    <vt:lpwstr>eyJoZGlkIjoiN2JlMTU5ZTY2YzJhZTg0M2RlYTg5NzUxMGRhMTM5YzQiLCJ1c2VySWQiOiIzMzQ1NTUwMDgifQ==</vt:lpwstr>
  </property>
</Properties>
</file>