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1E7D">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28DF165E">
      <w:pPr>
        <w:spacing w:line="440" w:lineRule="exact"/>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1934C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67E3E21B">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3255A9F8">
            <w:pPr>
              <w:jc w:val="center"/>
              <w:rPr>
                <w:rStyle w:val="4"/>
                <w:rFonts w:eastAsia="仿宋_GB2312"/>
                <w:b w:val="0"/>
                <w:color w:val="auto"/>
                <w:sz w:val="28"/>
              </w:rPr>
            </w:pPr>
            <w:r>
              <w:rPr>
                <w:rStyle w:val="4"/>
                <w:rFonts w:hint="eastAsia" w:eastAsia="仿宋_GB2312"/>
                <w:b w:val="0"/>
                <w:color w:val="auto"/>
                <w:sz w:val="28"/>
              </w:rPr>
              <w:t>生活源固废全流程智能处置关键技术及产业化</w:t>
            </w:r>
          </w:p>
        </w:tc>
      </w:tr>
      <w:tr w14:paraId="4176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3952F332">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4D6DA1F2">
            <w:pPr>
              <w:jc w:val="center"/>
              <w:rPr>
                <w:rStyle w:val="4"/>
                <w:rFonts w:hint="default" w:eastAsia="仿宋_GB2312"/>
                <w:b w:val="0"/>
                <w:color w:val="auto"/>
                <w:sz w:val="28"/>
                <w:lang w:val="en-US" w:eastAsia="zh-CN"/>
              </w:rPr>
            </w:pPr>
            <w:r>
              <w:rPr>
                <w:rStyle w:val="4"/>
                <w:rFonts w:hint="eastAsia" w:eastAsia="仿宋_GB2312"/>
                <w:b w:val="0"/>
                <w:color w:val="auto"/>
                <w:sz w:val="28"/>
                <w:lang w:val="en-US" w:eastAsia="zh-CN"/>
              </w:rPr>
              <w:t>一等奖</w:t>
            </w:r>
          </w:p>
        </w:tc>
      </w:tr>
      <w:tr w14:paraId="62C6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63B2CCA8">
            <w:pPr>
              <w:spacing w:line="440" w:lineRule="exact"/>
              <w:jc w:val="center"/>
              <w:rPr>
                <w:rFonts w:eastAsia="仿宋_GB2312"/>
                <w:bCs/>
                <w:sz w:val="28"/>
                <w:szCs w:val="24"/>
              </w:rPr>
            </w:pPr>
            <w:r>
              <w:rPr>
                <w:rFonts w:eastAsia="仿宋_GB2312"/>
                <w:bCs/>
                <w:sz w:val="28"/>
                <w:szCs w:val="24"/>
              </w:rPr>
              <w:t>提名书</w:t>
            </w:r>
          </w:p>
          <w:p w14:paraId="1ED26B3F">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67232EA0">
            <w:pPr>
              <w:spacing w:line="440" w:lineRule="exact"/>
              <w:jc w:val="left"/>
              <w:rPr>
                <w:rFonts w:hint="eastAsia" w:eastAsia="仿宋_GB2312"/>
                <w:b/>
                <w:bCs w:val="0"/>
                <w:sz w:val="24"/>
                <w:szCs w:val="24"/>
                <w:lang w:val="en-US" w:eastAsia="zh-CN"/>
              </w:rPr>
            </w:pPr>
            <w:r>
              <w:rPr>
                <w:rFonts w:hint="eastAsia" w:eastAsia="仿宋_GB2312"/>
                <w:b/>
                <w:bCs w:val="0"/>
                <w:sz w:val="24"/>
                <w:szCs w:val="24"/>
                <w:lang w:val="en-US" w:eastAsia="zh-CN"/>
              </w:rPr>
              <w:t>发明专利：</w:t>
            </w:r>
          </w:p>
          <w:p w14:paraId="0ED6B65B">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[1]自动破袋分类箱基于AI算法监控满溢报警的识别方法，国家发明专利，专利号：ZL202110892799.X</w:t>
            </w:r>
          </w:p>
          <w:p w14:paraId="10C70E5B">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[2]智能分类回收垃圾箱，国家发明专利：专利号：ZL201510893988.3</w:t>
            </w:r>
          </w:p>
          <w:p w14:paraId="04400F85">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[3]基于AI处理的提升再生资源分拣效率的方法及系统，国家发明专利，专利号：ZL202310630810.4</w:t>
            </w:r>
          </w:p>
          <w:p w14:paraId="547A77FE">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[4]一种智能AI分拣装备，国家发明专利，专利号：ZL202410309000.3</w:t>
            </w:r>
          </w:p>
          <w:p w14:paraId="186323F2">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[5]基于智能垃圾回收箱、自动派单和VRP的多模式仿真运行方法和系统，国家发明专利，专利号：ZL202310056225.8</w:t>
            </w:r>
          </w:p>
          <w:p w14:paraId="6CA641FF">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[6]一种间歇性力调节进料机构及实现方法，国家发明专利，专利号：ZL202111005707.8</w:t>
            </w:r>
          </w:p>
          <w:p w14:paraId="281DDD7B">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[7]一种几何模型和数据模型融合驱动的数字孪生构建方法，国家发明专利，专利号：ZL202211428785.3</w:t>
            </w:r>
          </w:p>
          <w:p w14:paraId="55A27622">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[8]一种基于边缘计算网关的IoT网络协议识别方法，国家发明专利，专利号：ZL202310733951.9</w:t>
            </w:r>
          </w:p>
          <w:p w14:paraId="51D6CB1C">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[9]一种面向高端装备故障维护场景的信息检索方法及相关设备，国家发明专利，专利号：ZL202510231583.7</w:t>
            </w:r>
          </w:p>
          <w:p w14:paraId="221DB484">
            <w:pPr>
              <w:spacing w:line="440" w:lineRule="exact"/>
              <w:jc w:val="left"/>
              <w:rPr>
                <w:rFonts w:hint="eastAsia" w:eastAsia="仿宋_GB2312"/>
                <w:b/>
                <w:bCs w:val="0"/>
                <w:sz w:val="24"/>
                <w:szCs w:val="24"/>
                <w:lang w:val="en-US" w:eastAsia="zh-CN"/>
              </w:rPr>
            </w:pPr>
            <w:r>
              <w:rPr>
                <w:rFonts w:hint="eastAsia" w:eastAsia="仿宋_GB2312"/>
                <w:b/>
                <w:bCs w:val="0"/>
                <w:sz w:val="24"/>
                <w:szCs w:val="24"/>
                <w:lang w:val="en-US" w:eastAsia="zh-CN"/>
              </w:rPr>
              <w:t>标准：</w:t>
            </w:r>
          </w:p>
          <w:p w14:paraId="14FE5513">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[1]再生资源分拣中心建设和管理规范，国家标准，标准编号：GB/T 45083—2024</w:t>
            </w:r>
          </w:p>
          <w:p w14:paraId="3B717438">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[2]</w:t>
            </w:r>
            <w:r>
              <w:rPr>
                <w:rFonts w:hint="default" w:eastAsia="仿宋_GB2312"/>
                <w:bCs/>
                <w:sz w:val="24"/>
                <w:szCs w:val="24"/>
                <w:lang w:val="en-US" w:eastAsia="zh-CN"/>
              </w:rPr>
              <w:t>垃圾分类智慧系统技术规定</w:t>
            </w:r>
            <w:r>
              <w:rPr>
                <w:rFonts w:hint="eastAsia" w:eastAsia="仿宋_GB2312"/>
                <w:bCs/>
                <w:sz w:val="24"/>
                <w:szCs w:val="24"/>
                <w:lang w:val="en-US" w:eastAsia="zh-CN"/>
              </w:rPr>
              <w:t>，团体标准，标准编号：T/HW00033—2021</w:t>
            </w:r>
          </w:p>
          <w:p w14:paraId="660B3391">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[3]</w:t>
            </w:r>
            <w:r>
              <w:rPr>
                <w:rFonts w:hint="default" w:eastAsia="仿宋_GB2312"/>
                <w:bCs/>
                <w:sz w:val="24"/>
                <w:szCs w:val="24"/>
                <w:lang w:val="en-US" w:eastAsia="zh-CN"/>
              </w:rPr>
              <w:t>生活垃圾分类智能投放箱</w:t>
            </w:r>
            <w:r>
              <w:rPr>
                <w:rFonts w:hint="eastAsia" w:eastAsia="仿宋_GB2312"/>
                <w:bCs/>
                <w:sz w:val="24"/>
                <w:szCs w:val="24"/>
                <w:lang w:val="en-US" w:eastAsia="zh-CN"/>
              </w:rPr>
              <w:t>，团体标准，标准编号：T/ZZB1812—2020</w:t>
            </w:r>
          </w:p>
          <w:p w14:paraId="26E22615">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[4]</w:t>
            </w:r>
            <w:r>
              <w:rPr>
                <w:rFonts w:hint="default" w:eastAsia="仿宋_GB2312"/>
                <w:bCs/>
                <w:sz w:val="24"/>
                <w:szCs w:val="24"/>
                <w:lang w:val="en-US" w:eastAsia="zh-CN"/>
              </w:rPr>
              <w:t>城镇生活垃圾分类管理信息系统技术标准</w:t>
            </w:r>
            <w:r>
              <w:rPr>
                <w:rFonts w:hint="eastAsia" w:eastAsia="仿宋_GB2312"/>
                <w:bCs/>
                <w:sz w:val="24"/>
                <w:szCs w:val="24"/>
                <w:lang w:val="en-US" w:eastAsia="zh-CN"/>
              </w:rPr>
              <w:t>，地方标准，标准编号：DB33/T1235—2021</w:t>
            </w:r>
          </w:p>
          <w:p w14:paraId="0589FA5F">
            <w:pPr>
              <w:spacing w:line="440" w:lineRule="exact"/>
              <w:jc w:val="left"/>
              <w:rPr>
                <w:rFonts w:hint="eastAsia" w:eastAsia="仿宋_GB2312"/>
                <w:b/>
                <w:bCs w:val="0"/>
                <w:sz w:val="24"/>
                <w:szCs w:val="24"/>
                <w:lang w:val="en-US" w:eastAsia="zh-CN"/>
              </w:rPr>
            </w:pPr>
            <w:r>
              <w:rPr>
                <w:rFonts w:hint="eastAsia" w:eastAsia="仿宋_GB2312"/>
                <w:b/>
                <w:bCs w:val="0"/>
                <w:sz w:val="24"/>
                <w:szCs w:val="24"/>
                <w:lang w:val="en-US" w:eastAsia="zh-CN"/>
              </w:rPr>
              <w:t>论文：</w:t>
            </w:r>
          </w:p>
          <w:p w14:paraId="02C845A6">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 xml:space="preserve">[1] </w:t>
            </w:r>
            <w:r>
              <w:rPr>
                <w:rFonts w:hint="default" w:eastAsia="仿宋_GB2312"/>
                <w:bCs/>
                <w:sz w:val="24"/>
                <w:szCs w:val="24"/>
                <w:lang w:val="en-US" w:eastAsia="zh-CN"/>
              </w:rPr>
              <w:t>Weijie Yu, Guangyu Liu, Ling Zhu, Wujia Yu</w:t>
            </w:r>
            <w:r>
              <w:rPr>
                <w:rFonts w:hint="eastAsia" w:eastAsia="仿宋_GB2312"/>
                <w:bCs/>
                <w:sz w:val="24"/>
                <w:szCs w:val="24"/>
                <w:lang w:val="en-US" w:eastAsia="zh-CN"/>
              </w:rPr>
              <w:t xml:space="preserve">. </w:t>
            </w:r>
            <w:r>
              <w:rPr>
                <w:rFonts w:hint="default" w:eastAsia="仿宋_GB2312"/>
                <w:bCs/>
                <w:sz w:val="24"/>
                <w:szCs w:val="24"/>
                <w:lang w:val="en-US" w:eastAsia="zh-CN"/>
              </w:rPr>
              <w:t>Digital Twin: A</w:t>
            </w:r>
            <w:r>
              <w:rPr>
                <w:rFonts w:hint="eastAsia" w:eastAsia="仿宋_GB2312"/>
                <w:bCs/>
                <w:sz w:val="24"/>
                <w:szCs w:val="24"/>
                <w:lang w:val="en-US" w:eastAsia="zh-CN"/>
              </w:rPr>
              <w:t xml:space="preserve"> </w:t>
            </w:r>
            <w:r>
              <w:rPr>
                <w:rFonts w:hint="default" w:eastAsia="仿宋_GB2312"/>
                <w:bCs/>
                <w:sz w:val="24"/>
                <w:szCs w:val="24"/>
                <w:lang w:val="en-US" w:eastAsia="zh-CN"/>
              </w:rPr>
              <w:t>Literature Review of Concepts, Technologies, and Applications</w:t>
            </w:r>
            <w:r>
              <w:rPr>
                <w:rFonts w:hint="eastAsia" w:eastAsia="仿宋_GB2312"/>
                <w:bCs/>
                <w:sz w:val="24"/>
                <w:szCs w:val="24"/>
                <w:lang w:val="en-US" w:eastAsia="zh-CN"/>
              </w:rPr>
              <w:t>, IEEE Access, 2025, (13):</w:t>
            </w:r>
            <w:r>
              <w:rPr>
                <w:rFonts w:hint="default" w:eastAsia="仿宋_GB2312"/>
                <w:bCs/>
                <w:sz w:val="24"/>
                <w:szCs w:val="24"/>
                <w:lang w:val="en-US" w:eastAsia="zh-CN"/>
              </w:rPr>
              <w:t>183075-183095</w:t>
            </w:r>
            <w:r>
              <w:rPr>
                <w:rFonts w:hint="eastAsia" w:eastAsia="仿宋_GB2312"/>
                <w:bCs/>
                <w:sz w:val="24"/>
                <w:szCs w:val="24"/>
                <w:lang w:val="en-US" w:eastAsia="zh-CN"/>
              </w:rPr>
              <w:t>.</w:t>
            </w:r>
          </w:p>
        </w:tc>
      </w:tr>
      <w:tr w14:paraId="4F2B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1DC99F09">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0C9C07D5">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王永</w:t>
            </w:r>
            <w:r>
              <w:rPr>
                <w:rFonts w:hint="default" w:eastAsia="仿宋_GB2312"/>
                <w:bCs/>
                <w:sz w:val="24"/>
                <w:szCs w:val="24"/>
                <w:lang w:val="en-US" w:eastAsia="zh-CN"/>
              </w:rPr>
              <w:t>，排名1，</w:t>
            </w:r>
            <w:r>
              <w:rPr>
                <w:rFonts w:hint="eastAsia" w:eastAsia="仿宋_GB2312"/>
                <w:bCs/>
                <w:sz w:val="24"/>
                <w:szCs w:val="24"/>
                <w:lang w:val="en-US" w:eastAsia="zh-CN"/>
              </w:rPr>
              <w:t>高级工程师</w:t>
            </w:r>
            <w:r>
              <w:rPr>
                <w:rFonts w:hint="default" w:eastAsia="仿宋_GB2312"/>
                <w:bCs/>
                <w:sz w:val="24"/>
                <w:szCs w:val="24"/>
                <w:lang w:val="en-US" w:eastAsia="zh-CN"/>
              </w:rPr>
              <w:t>，</w:t>
            </w:r>
            <w:r>
              <w:rPr>
                <w:rFonts w:hint="eastAsia" w:eastAsia="仿宋_GB2312"/>
                <w:bCs/>
                <w:sz w:val="24"/>
                <w:szCs w:val="24"/>
                <w:lang w:val="en-US" w:eastAsia="zh-CN"/>
              </w:rPr>
              <w:t>浙江联运知慧科技有限公司</w:t>
            </w:r>
            <w:r>
              <w:rPr>
                <w:rFonts w:hint="default" w:eastAsia="仿宋_GB2312"/>
                <w:bCs/>
                <w:sz w:val="24"/>
                <w:szCs w:val="24"/>
                <w:lang w:val="en-US" w:eastAsia="zh-CN"/>
              </w:rPr>
              <w:t>；</w:t>
            </w:r>
          </w:p>
          <w:p w14:paraId="5F3F97F8">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俞武嘉</w:t>
            </w:r>
            <w:r>
              <w:rPr>
                <w:rFonts w:hint="default" w:eastAsia="仿宋_GB2312"/>
                <w:bCs/>
                <w:sz w:val="24"/>
                <w:szCs w:val="24"/>
                <w:lang w:val="en-US" w:eastAsia="zh-CN"/>
              </w:rPr>
              <w:t>，排名2，</w:t>
            </w:r>
            <w:r>
              <w:rPr>
                <w:rFonts w:hint="eastAsia" w:eastAsia="仿宋_GB2312"/>
                <w:bCs/>
                <w:sz w:val="24"/>
                <w:szCs w:val="24"/>
                <w:lang w:val="en-US" w:eastAsia="zh-CN"/>
              </w:rPr>
              <w:t>副教授</w:t>
            </w:r>
            <w:r>
              <w:rPr>
                <w:rFonts w:hint="default" w:eastAsia="仿宋_GB2312"/>
                <w:bCs/>
                <w:sz w:val="24"/>
                <w:szCs w:val="24"/>
                <w:lang w:val="en-US" w:eastAsia="zh-CN"/>
              </w:rPr>
              <w:t>，</w:t>
            </w:r>
            <w:r>
              <w:rPr>
                <w:rFonts w:hint="eastAsia" w:eastAsia="仿宋_GB2312"/>
                <w:bCs/>
                <w:sz w:val="24"/>
                <w:szCs w:val="24"/>
                <w:lang w:val="en-US" w:eastAsia="zh-CN"/>
              </w:rPr>
              <w:t>杭州电子科技大学</w:t>
            </w:r>
            <w:r>
              <w:rPr>
                <w:rFonts w:hint="default" w:eastAsia="仿宋_GB2312"/>
                <w:bCs/>
                <w:sz w:val="24"/>
                <w:szCs w:val="24"/>
                <w:lang w:val="en-US" w:eastAsia="zh-CN"/>
              </w:rPr>
              <w:t>；</w:t>
            </w:r>
          </w:p>
          <w:p w14:paraId="62F92FD4">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白洁</w:t>
            </w:r>
            <w:r>
              <w:rPr>
                <w:rFonts w:hint="default" w:eastAsia="仿宋_GB2312"/>
                <w:bCs/>
                <w:sz w:val="24"/>
                <w:szCs w:val="24"/>
                <w:lang w:val="en-US" w:eastAsia="zh-CN"/>
              </w:rPr>
              <w:t>，排名3，</w:t>
            </w:r>
            <w:r>
              <w:rPr>
                <w:rFonts w:hint="eastAsia" w:eastAsia="仿宋_GB2312"/>
                <w:bCs/>
                <w:sz w:val="24"/>
                <w:szCs w:val="24"/>
                <w:lang w:val="en-US" w:eastAsia="zh-CN"/>
              </w:rPr>
              <w:t>副研究员</w:t>
            </w:r>
            <w:r>
              <w:rPr>
                <w:rFonts w:hint="default" w:eastAsia="仿宋_GB2312"/>
                <w:bCs/>
                <w:sz w:val="24"/>
                <w:szCs w:val="24"/>
                <w:lang w:val="en-US" w:eastAsia="zh-CN"/>
              </w:rPr>
              <w:t>，</w:t>
            </w:r>
            <w:r>
              <w:rPr>
                <w:rFonts w:hint="eastAsia" w:eastAsia="仿宋_GB2312"/>
                <w:bCs/>
                <w:sz w:val="24"/>
                <w:szCs w:val="24"/>
                <w:lang w:val="en-US" w:eastAsia="zh-CN"/>
              </w:rPr>
              <w:t>浙江大学高端装备研究院</w:t>
            </w:r>
            <w:r>
              <w:rPr>
                <w:rFonts w:hint="default" w:eastAsia="仿宋_GB2312"/>
                <w:bCs/>
                <w:sz w:val="24"/>
                <w:szCs w:val="24"/>
                <w:lang w:val="en-US" w:eastAsia="zh-CN"/>
              </w:rPr>
              <w:t>；</w:t>
            </w:r>
          </w:p>
          <w:p w14:paraId="03B1E5DB">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沈洪垚，排名4，教授，浙江大学；</w:t>
            </w:r>
          </w:p>
          <w:p w14:paraId="71D0C6EE">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徐克旭，排名5，工程师，浙江联运知慧科技有限公司；</w:t>
            </w:r>
          </w:p>
          <w:p w14:paraId="4B8AC420">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黄正，排名6，正高级工程师，浙江联运知慧科技有限公司；</w:t>
            </w:r>
            <w:bookmarkStart w:id="0" w:name="_GoBack"/>
            <w:bookmarkEnd w:id="0"/>
          </w:p>
          <w:p w14:paraId="3AF9B2CF">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苏王龙，排名7，其他，杭州市环境集团有限公司；</w:t>
            </w:r>
          </w:p>
          <w:p w14:paraId="2B87BE5B">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林晟，排名8，博士，浙江联运知慧科技有限公司；</w:t>
            </w:r>
          </w:p>
          <w:p w14:paraId="62AE35E2">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黄志坚，排名9，高级工程师，浙江大学高端装备研究院；</w:t>
            </w:r>
          </w:p>
          <w:p w14:paraId="0D3357C9">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鲍承德，排名10，高级工程师，浙江联运知慧科技有限公司；</w:t>
            </w:r>
          </w:p>
          <w:p w14:paraId="06A25DF0">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王湧，排名11，其他，浙江联运知慧科技有限公司；</w:t>
            </w:r>
          </w:p>
          <w:p w14:paraId="5D2365E9">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王禹锋，排名12，工程师，浙江联运知慧科技有限公司；</w:t>
            </w:r>
          </w:p>
          <w:p w14:paraId="7746F0CF">
            <w:pPr>
              <w:spacing w:line="440" w:lineRule="exact"/>
              <w:jc w:val="left"/>
              <w:rPr>
                <w:rFonts w:eastAsia="仿宋_GB2312"/>
                <w:bCs/>
                <w:sz w:val="24"/>
                <w:szCs w:val="24"/>
              </w:rPr>
            </w:pPr>
            <w:r>
              <w:rPr>
                <w:rFonts w:hint="eastAsia" w:eastAsia="仿宋_GB2312"/>
                <w:bCs/>
                <w:sz w:val="24"/>
                <w:szCs w:val="24"/>
                <w:lang w:val="en-US" w:eastAsia="zh-CN"/>
              </w:rPr>
              <w:t>余晓霞，排名13，其他，浙江联运知慧科技有限公司。</w:t>
            </w:r>
          </w:p>
        </w:tc>
      </w:tr>
      <w:tr w14:paraId="4B21D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2269" w:type="dxa"/>
            <w:tcBorders>
              <w:right w:val="single" w:color="auto" w:sz="4" w:space="0"/>
            </w:tcBorders>
            <w:vAlign w:val="center"/>
          </w:tcPr>
          <w:p w14:paraId="58AD9D27">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C787A74">
            <w:pPr>
              <w:spacing w:line="440" w:lineRule="exact"/>
              <w:jc w:val="left"/>
              <w:rPr>
                <w:rFonts w:hint="eastAsia" w:eastAsia="仿宋_GB2312"/>
                <w:bCs/>
                <w:sz w:val="24"/>
                <w:szCs w:val="24"/>
                <w:lang w:eastAsia="zh-CN"/>
              </w:rPr>
            </w:pPr>
            <w:r>
              <w:rPr>
                <w:rFonts w:eastAsia="仿宋_GB2312"/>
                <w:bCs/>
                <w:sz w:val="24"/>
                <w:szCs w:val="24"/>
              </w:rPr>
              <w:t>1.单位名称：</w:t>
            </w:r>
            <w:r>
              <w:rPr>
                <w:rFonts w:hint="eastAsia" w:eastAsia="仿宋_GB2312"/>
                <w:bCs/>
                <w:sz w:val="24"/>
                <w:szCs w:val="24"/>
                <w:lang w:eastAsia="zh-CN"/>
              </w:rPr>
              <w:t>浙江联运知慧科技有限公司</w:t>
            </w:r>
          </w:p>
          <w:p w14:paraId="7CD9F46A">
            <w:pPr>
              <w:spacing w:line="440" w:lineRule="exact"/>
              <w:jc w:val="left"/>
              <w:rPr>
                <w:rFonts w:hint="eastAsia" w:eastAsia="仿宋_GB2312"/>
                <w:bCs/>
                <w:sz w:val="24"/>
                <w:szCs w:val="24"/>
                <w:lang w:eastAsia="zh-CN"/>
              </w:rPr>
            </w:pPr>
            <w:r>
              <w:rPr>
                <w:rFonts w:eastAsia="仿宋_GB2312"/>
                <w:bCs/>
                <w:sz w:val="24"/>
                <w:szCs w:val="24"/>
              </w:rPr>
              <w:t>2.单位名称：</w:t>
            </w:r>
            <w:r>
              <w:rPr>
                <w:rFonts w:hint="eastAsia" w:eastAsia="仿宋_GB2312"/>
                <w:bCs/>
                <w:sz w:val="24"/>
                <w:szCs w:val="24"/>
                <w:lang w:eastAsia="zh-CN"/>
              </w:rPr>
              <w:t>浙江大学</w:t>
            </w:r>
          </w:p>
          <w:p w14:paraId="39AE8CF1">
            <w:pPr>
              <w:spacing w:line="440" w:lineRule="exact"/>
              <w:jc w:val="left"/>
              <w:rPr>
                <w:rFonts w:hint="eastAsia" w:eastAsia="仿宋_GB2312"/>
                <w:bCs/>
                <w:sz w:val="24"/>
                <w:szCs w:val="24"/>
                <w:lang w:eastAsia="zh-CN"/>
              </w:rPr>
            </w:pPr>
            <w:r>
              <w:rPr>
                <w:rFonts w:eastAsia="仿宋_GB2312"/>
                <w:bCs/>
                <w:sz w:val="24"/>
                <w:szCs w:val="24"/>
              </w:rPr>
              <w:t>3.单位名称：</w:t>
            </w:r>
            <w:r>
              <w:rPr>
                <w:rFonts w:hint="eastAsia" w:eastAsia="仿宋_GB2312"/>
                <w:bCs/>
                <w:sz w:val="24"/>
                <w:szCs w:val="24"/>
                <w:lang w:eastAsia="zh-CN"/>
              </w:rPr>
              <w:t>杭州电子科技大学</w:t>
            </w:r>
          </w:p>
          <w:p w14:paraId="393540D7">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4.单位名称：浙江大学高端装备研究院</w:t>
            </w:r>
          </w:p>
          <w:p w14:paraId="1EEFB9DD">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5.单位名称：浙江联运环境工程股份有限公司</w:t>
            </w:r>
          </w:p>
          <w:p w14:paraId="5C9F4518">
            <w:pPr>
              <w:spacing w:line="440" w:lineRule="exact"/>
              <w:jc w:val="left"/>
              <w:rPr>
                <w:rFonts w:eastAsia="仿宋"/>
                <w:bCs/>
                <w:sz w:val="24"/>
                <w:szCs w:val="24"/>
              </w:rPr>
            </w:pPr>
            <w:r>
              <w:rPr>
                <w:rFonts w:hint="eastAsia" w:eastAsia="仿宋_GB2312"/>
                <w:bCs/>
                <w:sz w:val="24"/>
                <w:szCs w:val="24"/>
                <w:lang w:val="en-US" w:eastAsia="zh-CN"/>
              </w:rPr>
              <w:t>6.单位名称：杭州市环境集团有限公司</w:t>
            </w:r>
          </w:p>
        </w:tc>
      </w:tr>
      <w:tr w14:paraId="4534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14A49E3E">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6DC7F02F">
            <w:pPr>
              <w:contextualSpacing/>
              <w:jc w:val="center"/>
              <w:rPr>
                <w:rStyle w:val="4"/>
                <w:rFonts w:hint="eastAsia" w:eastAsia="宋体"/>
                <w:b w:val="0"/>
                <w:color w:val="auto"/>
                <w:lang w:eastAsia="zh-CN"/>
              </w:rPr>
            </w:pPr>
            <w:r>
              <w:rPr>
                <w:rFonts w:hint="eastAsia" w:eastAsia="仿宋_GB2312"/>
                <w:bCs/>
                <w:sz w:val="24"/>
                <w:szCs w:val="24"/>
                <w:lang w:val="en-US" w:eastAsia="zh-CN"/>
              </w:rPr>
              <w:t>杭州市人民政府</w:t>
            </w:r>
          </w:p>
        </w:tc>
      </w:tr>
      <w:tr w14:paraId="6A66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216E72C6">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3F74C80A">
            <w:pPr>
              <w:ind w:firstLine="480" w:firstLineChars="200"/>
              <w:contextualSpacing/>
              <w:jc w:val="left"/>
              <w:rPr>
                <w:rFonts w:hint="eastAsia" w:eastAsia="仿宋_GB2312"/>
                <w:bCs/>
                <w:sz w:val="24"/>
                <w:szCs w:val="24"/>
                <w:lang w:val="en-US" w:eastAsia="zh-CN"/>
              </w:rPr>
            </w:pPr>
            <w:r>
              <w:rPr>
                <w:rFonts w:hint="eastAsia" w:eastAsia="仿宋_GB2312"/>
                <w:bCs/>
                <w:sz w:val="24"/>
                <w:szCs w:val="24"/>
                <w:lang w:val="en-US" w:eastAsia="zh-CN"/>
              </w:rPr>
              <w:t>生活源固废全流程智能处置技术是“无废城市”建设和“双碳”战略目标实现的核心支撑。当前我国固废处置行业仍面临投放污染重、分拣精度低、管控决策难、产线复制慢等关键技术瓶颈。该项目在国家重点研发计划和浙江省工业新产品开发项目的支持下，经多年技术攻关，攻克了生活固废智能处置的多个关键技术难点，形成了全链路软硬件系统和成套产线装备，形成了可复制、可推广的全环节国产化解决方案。</w:t>
            </w:r>
          </w:p>
          <w:p w14:paraId="75BF91F9">
            <w:pPr>
              <w:ind w:firstLine="480" w:firstLineChars="200"/>
              <w:contextualSpacing/>
              <w:jc w:val="left"/>
              <w:rPr>
                <w:rFonts w:hint="eastAsia" w:eastAsia="仿宋_GB2312"/>
                <w:bCs/>
                <w:sz w:val="24"/>
                <w:szCs w:val="24"/>
                <w:lang w:val="en-US" w:eastAsia="zh-CN"/>
              </w:rPr>
            </w:pPr>
            <w:r>
              <w:rPr>
                <w:rFonts w:hint="eastAsia" w:eastAsia="仿宋_GB2312"/>
                <w:bCs/>
                <w:sz w:val="24"/>
                <w:szCs w:val="24"/>
                <w:lang w:val="en-US" w:eastAsia="zh-CN"/>
              </w:rPr>
              <w:t>成果主要创新点为：(1) 提出了面向复杂工况的固废跨模态多维融合感知与高置信度识别技术，结合元学习小样本快速辨识机制及分层实例分割方法，实现了9大类固废平均识别准确率98.7%，遮挡目标召回率超90%。(2)构建了多策略自适应决策与协同执行一体化技术，攻克投放端破袋不完全、分拣端抓取不精准、调度端决策不优等长期痛点。实现破袋成功率97.0%、单臂分拣通量5760次/小时、抓取成功率99.1%。(3)研发了数据知识联合驱动的再生资源全流程数智孪生与柔性产线重构技术，实现了再生资源全流程的数字化、智能化与标准化，整体运营成本降低56%，收运效率提升200%。</w:t>
            </w:r>
          </w:p>
          <w:p w14:paraId="6A99E370">
            <w:pPr>
              <w:ind w:firstLine="480" w:firstLineChars="200"/>
              <w:contextualSpacing/>
              <w:jc w:val="left"/>
              <w:rPr>
                <w:rFonts w:hint="eastAsia" w:eastAsia="仿宋_GB2312"/>
                <w:bCs/>
                <w:sz w:val="24"/>
                <w:szCs w:val="24"/>
                <w:lang w:val="en-US" w:eastAsia="zh-CN"/>
              </w:rPr>
            </w:pPr>
            <w:r>
              <w:rPr>
                <w:rFonts w:hint="eastAsia" w:eastAsia="仿宋_GB2312"/>
                <w:bCs/>
                <w:sz w:val="24"/>
                <w:szCs w:val="24"/>
                <w:lang w:val="en-US" w:eastAsia="zh-CN"/>
              </w:rPr>
              <w:t>该项目创新显著。已授权发明专利30项（获中国专利优秀奖1项）、软件著作权46项，发表论文1篇，主导/参与制定国家标准1项、地方标准1项、团体标准2项。成果已在全国27个省、215个城市规模化应用，近三年新增产值27.85亿元，市场占有率居全国前三，经济社会效益显著。</w:t>
            </w:r>
          </w:p>
          <w:p w14:paraId="67850D82">
            <w:pPr>
              <w:contextualSpacing/>
              <w:jc w:val="left"/>
              <w:rPr>
                <w:rFonts w:hint="eastAsia" w:eastAsia="仿宋_GB2312"/>
                <w:bCs/>
                <w:sz w:val="24"/>
                <w:szCs w:val="24"/>
                <w:lang w:val="en-US" w:eastAsia="zh-CN"/>
              </w:rPr>
            </w:pPr>
            <w:r>
              <w:rPr>
                <w:rFonts w:hint="eastAsia" w:eastAsia="仿宋_GB2312"/>
                <w:bCs/>
                <w:sz w:val="24"/>
                <w:szCs w:val="24"/>
                <w:lang w:val="en-US" w:eastAsia="zh-CN"/>
              </w:rPr>
              <w:t>项目总体技术达到国际先进水平，其中AI负载感知的自适应执行技术处国际领先水平。</w:t>
            </w:r>
          </w:p>
          <w:p w14:paraId="0B547905">
            <w:pPr>
              <w:contextualSpacing/>
              <w:jc w:val="left"/>
              <w:rPr>
                <w:rFonts w:hint="eastAsia" w:eastAsia="仿宋_GB2312"/>
                <w:bCs/>
                <w:sz w:val="24"/>
                <w:szCs w:val="24"/>
                <w:lang w:val="en-US" w:eastAsia="zh-CN"/>
              </w:rPr>
            </w:pPr>
          </w:p>
          <w:p w14:paraId="4A52EE71">
            <w:pPr>
              <w:contextualSpacing/>
              <w:jc w:val="left"/>
              <w:rPr>
                <w:rStyle w:val="4"/>
                <w:b w:val="0"/>
                <w:color w:val="auto"/>
              </w:rPr>
            </w:pPr>
            <w:r>
              <w:rPr>
                <w:rFonts w:hint="eastAsia" w:eastAsia="仿宋_GB2312"/>
                <w:bCs/>
                <w:sz w:val="24"/>
                <w:szCs w:val="24"/>
                <w:lang w:val="en-US" w:eastAsia="zh-CN"/>
              </w:rPr>
              <w:t>提名该成果为浙江省科学技术进步奖一等奖。</w:t>
            </w:r>
          </w:p>
        </w:tc>
      </w:tr>
    </w:tbl>
    <w:p w14:paraId="3C779F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41674920-99BE-44C8-A7F6-9225ED5CA694}"/>
  </w:font>
  <w:font w:name="仿宋_GB2312">
    <w:altName w:val="仿宋"/>
    <w:panose1 w:val="02010609030101010101"/>
    <w:charset w:val="86"/>
    <w:family w:val="modern"/>
    <w:pitch w:val="default"/>
    <w:sig w:usb0="00000000" w:usb1="00000000" w:usb2="00000000" w:usb3="00000000" w:csb0="00040000" w:csb1="00000000"/>
    <w:embedRegular r:id="rId2" w:fontKey="{3E8CAFE7-B872-450D-9D4A-1C1554A060A0}"/>
  </w:font>
  <w:font w:name="仿宋">
    <w:panose1 w:val="02010609060101010101"/>
    <w:charset w:val="86"/>
    <w:family w:val="modern"/>
    <w:pitch w:val="default"/>
    <w:sig w:usb0="800002BF" w:usb1="38CF7CFA" w:usb2="00000016" w:usb3="00000000" w:csb0="00040001" w:csb1="00000000"/>
    <w:embedRegular r:id="rId3" w:fontKey="{D0F462E5-B749-4D48-A7B7-01E8B80A58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67114"/>
    <w:rsid w:val="00930024"/>
    <w:rsid w:val="00B701B7"/>
    <w:rsid w:val="015A78E1"/>
    <w:rsid w:val="03B64756"/>
    <w:rsid w:val="04854128"/>
    <w:rsid w:val="064249C6"/>
    <w:rsid w:val="097035F9"/>
    <w:rsid w:val="0D006A41"/>
    <w:rsid w:val="0D124B82"/>
    <w:rsid w:val="14A10C73"/>
    <w:rsid w:val="15E2762C"/>
    <w:rsid w:val="1CF163A7"/>
    <w:rsid w:val="1D632E00"/>
    <w:rsid w:val="1EC92300"/>
    <w:rsid w:val="1F8A2A58"/>
    <w:rsid w:val="202820DF"/>
    <w:rsid w:val="21EB1616"/>
    <w:rsid w:val="26415CA9"/>
    <w:rsid w:val="31C05314"/>
    <w:rsid w:val="322A7469"/>
    <w:rsid w:val="33095DA0"/>
    <w:rsid w:val="33B43F5E"/>
    <w:rsid w:val="341C0DA5"/>
    <w:rsid w:val="34267114"/>
    <w:rsid w:val="3BB645EB"/>
    <w:rsid w:val="3C6F33B1"/>
    <w:rsid w:val="3CB94393"/>
    <w:rsid w:val="3D892BF8"/>
    <w:rsid w:val="3E1E3487"/>
    <w:rsid w:val="3F312907"/>
    <w:rsid w:val="44056110"/>
    <w:rsid w:val="455E01CE"/>
    <w:rsid w:val="483D231C"/>
    <w:rsid w:val="48686BDB"/>
    <w:rsid w:val="538708F0"/>
    <w:rsid w:val="59232E69"/>
    <w:rsid w:val="5AF669C0"/>
    <w:rsid w:val="5DD010E5"/>
    <w:rsid w:val="63021D41"/>
    <w:rsid w:val="66AF3F8D"/>
    <w:rsid w:val="678A0557"/>
    <w:rsid w:val="686C7B1E"/>
    <w:rsid w:val="6C2E004A"/>
    <w:rsid w:val="6D013069"/>
    <w:rsid w:val="74996569"/>
    <w:rsid w:val="781F4CE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1573</Words>
  <Characters>1953</Characters>
  <Lines>1</Lines>
  <Paragraphs>1</Paragraphs>
  <TotalTime>6</TotalTime>
  <ScaleCrop>false</ScaleCrop>
  <LinksUpToDate>false</LinksUpToDate>
  <CharactersWithSpaces>1977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2026-06-11T02:18:00Z</dcterms:created>
  <dc:creator>范</dc:creator>
  <cp:lastModifiedBy>范</cp:lastModifiedBy>
  <dcterms:modified xsi:type="dcterms:W3CDTF">2026-06-12T07:34:41Z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E53E5072E2984E3091E56C4BF5D6E409_13</vt:lpwstr>
  </property>
  <property fmtid="{D5CDD505-2E9C-101B-9397-08002B2CF9AE}" pid="4" name="KSOTemplateDocerSaveRecord">
    <vt:lpwstr>eyJoZGlkIjoiZGE4NGJhMGU4Nzk0NTVlNDgyMDkzNjg0ZmM1NzYzNWEiLCJ1c2VySWQiOiI3OTIwNTkxNjIifQ==</vt:lpwstr>
  </property>
</Properties>
</file>