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52319">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63BEA050">
      <w:pPr>
        <w:spacing w:line="440" w:lineRule="exact"/>
        <w:rPr>
          <w:rFonts w:hint="default" w:eastAsia="仿宋_GB2312"/>
          <w:sz w:val="28"/>
          <w:szCs w:val="24"/>
          <w:lang w:val="en-US" w:eastAsia="zh-CN"/>
        </w:rPr>
      </w:pPr>
      <w:r>
        <w:rPr>
          <w:rFonts w:eastAsia="仿宋_GB2312"/>
          <w:sz w:val="28"/>
          <w:szCs w:val="24"/>
        </w:rPr>
        <w:t>提名奖项：</w:t>
      </w:r>
      <w:r>
        <w:rPr>
          <w:rFonts w:hint="eastAsia" w:eastAsia="仿宋_GB2312"/>
          <w:sz w:val="28"/>
          <w:szCs w:val="24"/>
          <w:lang w:val="en-US" w:eastAsia="zh-CN"/>
        </w:rPr>
        <w:t>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F49C7FE">
        <w:trPr>
          <w:trHeight w:val="647" w:hRule="atLeast"/>
        </w:trPr>
        <w:tc>
          <w:tcPr>
            <w:tcW w:w="2269" w:type="dxa"/>
            <w:vAlign w:val="center"/>
          </w:tcPr>
          <w:p w14:paraId="33569632">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1E6F64EC">
            <w:pPr>
              <w:jc w:val="center"/>
              <w:rPr>
                <w:rStyle w:val="4"/>
                <w:rFonts w:hint="default" w:eastAsia="仿宋_GB2312"/>
                <w:b w:val="0"/>
                <w:color w:val="auto"/>
                <w:sz w:val="28"/>
                <w:lang w:val="en-US" w:eastAsia="zh-CN"/>
              </w:rPr>
            </w:pPr>
            <w:r>
              <w:rPr>
                <w:rStyle w:val="4"/>
                <w:rFonts w:hint="eastAsia" w:eastAsia="仿宋_GB2312"/>
                <w:b w:val="0"/>
                <w:color w:val="auto"/>
                <w:sz w:val="28"/>
                <w:lang w:val="en-US" w:eastAsia="zh-CN"/>
              </w:rPr>
              <w:t>基于天然免疫调控的精准用药及新药研发</w:t>
            </w:r>
          </w:p>
        </w:tc>
      </w:tr>
      <w:tr w14:paraId="2DDBCDB9">
        <w:trPr>
          <w:trHeight w:val="561" w:hRule="atLeast"/>
        </w:trPr>
        <w:tc>
          <w:tcPr>
            <w:tcW w:w="2269" w:type="dxa"/>
            <w:vAlign w:val="center"/>
          </w:tcPr>
          <w:p w14:paraId="24E30527">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2E3A828C">
            <w:pPr>
              <w:jc w:val="center"/>
              <w:rPr>
                <w:rStyle w:val="4"/>
                <w:rFonts w:hint="eastAsia" w:eastAsia="仿宋_GB2312"/>
                <w:b w:val="0"/>
                <w:color w:val="auto"/>
                <w:sz w:val="28"/>
                <w:lang w:val="en-US" w:eastAsia="zh-CN"/>
              </w:rPr>
            </w:pPr>
            <w:r>
              <w:rPr>
                <w:rStyle w:val="4"/>
                <w:rFonts w:hint="eastAsia" w:eastAsia="仿宋_GB2312"/>
                <w:b w:val="0"/>
                <w:color w:val="auto"/>
                <w:sz w:val="28"/>
                <w:lang w:val="en-US" w:eastAsia="zh-CN"/>
              </w:rPr>
              <w:t>二等奖</w:t>
            </w:r>
          </w:p>
        </w:tc>
      </w:tr>
      <w:tr w14:paraId="4D054D82">
        <w:trPr>
          <w:trHeight w:val="2461" w:hRule="atLeast"/>
        </w:trPr>
        <w:tc>
          <w:tcPr>
            <w:tcW w:w="2269" w:type="dxa"/>
            <w:vAlign w:val="center"/>
          </w:tcPr>
          <w:p w14:paraId="0E626884">
            <w:pPr>
              <w:spacing w:line="440" w:lineRule="exact"/>
              <w:jc w:val="center"/>
              <w:rPr>
                <w:rFonts w:eastAsia="仿宋_GB2312"/>
                <w:bCs/>
                <w:sz w:val="28"/>
                <w:szCs w:val="24"/>
              </w:rPr>
            </w:pPr>
            <w:r>
              <w:rPr>
                <w:rFonts w:eastAsia="仿宋_GB2312"/>
                <w:bCs/>
                <w:sz w:val="28"/>
                <w:szCs w:val="24"/>
              </w:rPr>
              <w:t>提名书</w:t>
            </w:r>
          </w:p>
          <w:p w14:paraId="5877D5F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4E1A2DF3">
            <w:pPr>
              <w:spacing w:line="440" w:lineRule="exact"/>
              <w:jc w:val="both"/>
              <w:rPr>
                <w:rFonts w:hint="eastAsia" w:eastAsia="仿宋_GB2312"/>
                <w:bCs/>
                <w:sz w:val="24"/>
                <w:szCs w:val="24"/>
                <w:lang w:eastAsia="zh-CN"/>
              </w:rPr>
            </w:pPr>
            <w:r>
              <w:rPr>
                <w:rFonts w:eastAsia="仿宋_GB2312"/>
                <w:bCs/>
                <w:sz w:val="24"/>
                <w:szCs w:val="24"/>
              </w:rPr>
              <w:t>代表性论文专著目录</w:t>
            </w:r>
            <w:r>
              <w:rPr>
                <w:rFonts w:hint="eastAsia" w:eastAsia="仿宋_GB2312"/>
                <w:bCs/>
                <w:sz w:val="24"/>
                <w:szCs w:val="24"/>
                <w:lang w:eastAsia="zh-CN"/>
              </w:rPr>
              <w:t>：</w:t>
            </w:r>
          </w:p>
          <w:p w14:paraId="7430FB23">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论文（1）：Wang J（王佳佳）, Wang J, Hong W（洪文翔）, Zhang L, Song L, Shi Q, Shao Y（邵燕飞）, Hao G, Fang C, Qiu Y, Yang L, Yang Z（杨朝旭）, Wang J（王金成）, Cao J, Yang B, He Q（何俏军）, Weng Q（翁勤洁）. Optineurin modulates the maturation of dendritic cells to regulate autoimmunity through JAK2-STAT3 signaling. </w:t>
            </w:r>
            <w:r>
              <w:rPr>
                <w:rFonts w:hint="default" w:ascii="Times New Roman Bold Italic" w:hAnsi="Times New Roman Bold Italic" w:eastAsia="仿宋_GB2312" w:cs="Times New Roman Bold Italic"/>
                <w:b/>
                <w:bCs w:val="0"/>
                <w:i/>
                <w:iCs/>
                <w:sz w:val="24"/>
                <w:szCs w:val="24"/>
                <w:lang w:val="en-US" w:eastAsia="zh-CN"/>
              </w:rPr>
              <w:t>Nature communications</w:t>
            </w:r>
            <w:r>
              <w:rPr>
                <w:rFonts w:hint="eastAsia" w:eastAsia="仿宋_GB2312"/>
                <w:bCs/>
                <w:sz w:val="24"/>
                <w:szCs w:val="24"/>
                <w:lang w:val="en-US" w:eastAsia="zh-CN"/>
              </w:rPr>
              <w:t>. 2021 Oct 27;12(1):6198.</w:t>
            </w:r>
          </w:p>
          <w:p w14:paraId="7F4AF2CD">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论文（2）：Wang J（王佳佳）, Qiu Y, Yang L, Wang J（王金成）, He J, Tang C, Yang Z（杨朝旭）, Hong W（洪文翔）, Yang B, He Q（何俏军）, Weng Q（翁勤洁）. Preserving mitochondrial homeostasis protects against drug-induced liver injury via inducing OPTN (optineurin)-dependent Mitophagy. </w:t>
            </w:r>
            <w:r>
              <w:rPr>
                <w:rFonts w:hint="default" w:ascii="Times New Roman Bold Italic" w:hAnsi="Times New Roman Bold Italic" w:eastAsia="仿宋_GB2312" w:cs="Times New Roman Bold Italic"/>
                <w:b/>
                <w:bCs w:val="0"/>
                <w:i/>
                <w:iCs/>
                <w:sz w:val="24"/>
                <w:szCs w:val="24"/>
                <w:lang w:val="en-US" w:eastAsia="zh-CN"/>
              </w:rPr>
              <w:t>Autophagy</w:t>
            </w:r>
            <w:r>
              <w:rPr>
                <w:rFonts w:hint="eastAsia" w:eastAsia="仿宋_GB2312"/>
                <w:bCs/>
                <w:sz w:val="24"/>
                <w:szCs w:val="24"/>
                <w:lang w:val="en-US" w:eastAsia="zh-CN"/>
              </w:rPr>
              <w:t xml:space="preserve">. 2024 Dec;20(12):2677-2696. </w:t>
            </w:r>
          </w:p>
          <w:p w14:paraId="54F072FA">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论文（3）：Yang Z（杨朝旭）, Yang C, Xie Y, Huang H, Gong S, Yu Q, Li Q, Lv S, Yu F, Wang J（王佳佳）, Yang B, He Q（何俏军）, Weng Q（翁勤洁）, Wang J（王金成）. Neuspectrum: A Novel Transcriptional Framework for High-Resolution Annotation of Neutrophil Heterogeneity. </w:t>
            </w:r>
            <w:r>
              <w:rPr>
                <w:rFonts w:hint="default" w:ascii="Times New Roman Bold Italic" w:hAnsi="Times New Roman Bold Italic" w:eastAsia="仿宋_GB2312" w:cs="Times New Roman Bold Italic"/>
                <w:b/>
                <w:bCs w:val="0"/>
                <w:i/>
                <w:iCs/>
                <w:sz w:val="24"/>
                <w:szCs w:val="24"/>
                <w:lang w:val="en-US" w:eastAsia="zh-CN"/>
              </w:rPr>
              <w:t>Journal of Pharmaceutical Analysis</w:t>
            </w:r>
            <w:r>
              <w:rPr>
                <w:rFonts w:hint="eastAsia" w:eastAsia="仿宋_GB2312"/>
                <w:bCs/>
                <w:sz w:val="24"/>
                <w:szCs w:val="24"/>
                <w:lang w:val="en-US" w:eastAsia="zh-CN"/>
              </w:rPr>
              <w:t>. 2026 May 2；16(5):101645.</w:t>
            </w:r>
          </w:p>
          <w:p w14:paraId="4995D54D">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论文（4）：Hong W（洪文翔）, Ma H, Yang Z（杨朝旭）, Wang J, Peng B, Wang L, Du Y, Yang L, Zhang L, Li Z, Huang H, Zhu D, Yang B, He Q（何俏军）, Wang J（王佳佳）, Weng Q（翁勤洁）. Optineurin restrains CCR7 degradation to guide type II collagen-stimulated dendritic cell migration in rheumatoid arthritis. </w:t>
            </w:r>
            <w:r>
              <w:rPr>
                <w:rFonts w:hint="default" w:ascii="Times New Roman Bold Italic" w:hAnsi="Times New Roman Bold Italic" w:eastAsia="仿宋_GB2312" w:cs="Times New Roman Bold Italic"/>
                <w:b/>
                <w:bCs w:val="0"/>
                <w:i/>
                <w:iCs/>
                <w:sz w:val="24"/>
                <w:szCs w:val="24"/>
                <w:lang w:val="en-US" w:eastAsia="zh-CN"/>
              </w:rPr>
              <w:t>Acta Pharmaceutica Sinica B.</w:t>
            </w:r>
            <w:r>
              <w:rPr>
                <w:rFonts w:hint="eastAsia" w:eastAsia="仿宋_GB2312"/>
                <w:bCs/>
                <w:sz w:val="24"/>
                <w:szCs w:val="24"/>
                <w:lang w:val="en-US" w:eastAsia="zh-CN"/>
              </w:rPr>
              <w:t xml:space="preserve"> 2025 Mar;15(3):1626-1642.</w:t>
            </w:r>
          </w:p>
          <w:p w14:paraId="798A7F2B">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论文（5）：Hong W（洪文翔）, Ma H, Li Z, Xia W, Huang H, Sun Z, Gai R, Tong L, Zhu H, Wang J（王金成）, Yang B, He Q（何俏军）, Weng Q（翁勤洁）, Wang J（王佳佳）. Inhibition of EED-mediated histone methylation alleviates multiple sclerosis by suppressing WNT-mediated dendritic cell migration. </w:t>
            </w:r>
            <w:r>
              <w:rPr>
                <w:rFonts w:hint="default" w:ascii="Times New Roman Bold Italic" w:hAnsi="Times New Roman Bold Italic" w:eastAsia="仿宋_GB2312" w:cs="Times New Roman Bold Italic"/>
                <w:b/>
                <w:bCs w:val="0"/>
                <w:i/>
                <w:iCs/>
                <w:sz w:val="24"/>
                <w:szCs w:val="24"/>
                <w:lang w:val="en-US" w:eastAsia="zh-CN"/>
              </w:rPr>
              <w:t>Journal of Neuroinflammation</w:t>
            </w:r>
            <w:r>
              <w:rPr>
                <w:rFonts w:hint="eastAsia" w:eastAsia="仿宋_GB2312"/>
                <w:bCs/>
                <w:sz w:val="24"/>
                <w:szCs w:val="24"/>
                <w:lang w:val="en-US" w:eastAsia="zh-CN"/>
              </w:rPr>
              <w:t>. 2025 Apr 1;22(1):97.</w:t>
            </w:r>
          </w:p>
          <w:p w14:paraId="646E3704">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论文（6）：Du Y, Wang L, Zhou J, Hong W（洪文翔）, Cai X, Ma H, Wei Z, Nie W, Zhu H, Yang B, He Q（何俏军）, Chen B（陈斌辉）, Wang J（王佳佳）, Weng Q（翁勤洁）. Identification of a dual JAK3/TEC family kinase inhibitor for atopic dermatitis therapy. </w:t>
            </w:r>
            <w:r>
              <w:rPr>
                <w:rFonts w:hint="default" w:ascii="Times New Roman Bold Italic" w:hAnsi="Times New Roman Bold Italic" w:eastAsia="仿宋_GB2312" w:cs="Times New Roman Bold Italic"/>
                <w:b/>
                <w:bCs w:val="0"/>
                <w:i/>
                <w:iCs/>
                <w:sz w:val="24"/>
                <w:szCs w:val="24"/>
                <w:lang w:val="en-US" w:eastAsia="zh-CN"/>
              </w:rPr>
              <w:t>Biochemical Pharmacology.</w:t>
            </w:r>
            <w:r>
              <w:rPr>
                <w:rFonts w:hint="eastAsia" w:eastAsia="仿宋_GB2312"/>
                <w:bCs/>
                <w:sz w:val="24"/>
                <w:szCs w:val="24"/>
                <w:lang w:val="en-US" w:eastAsia="zh-CN"/>
              </w:rPr>
              <w:t xml:space="preserve"> 2025 Feb;232:116740.</w:t>
            </w:r>
            <w:bookmarkStart w:id="0" w:name="_GoBack"/>
            <w:bookmarkEnd w:id="0"/>
          </w:p>
          <w:p w14:paraId="0379EB32">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论文（7）：Gong S, Jiang L, Li Q, Yang C, Yu L, Lv S, Yang G, Yang Z（杨朝旭）, Huang H, Hu Y, Chen X, Zhang H, Yang B, He Q（何俏军）, Weng Q（翁勤洁）, Wang J（王金成）. AI-driven pipeline discovers ombuin as a novel M1 macrophage polarization inhibitor for sepsis treatment. </w:t>
            </w:r>
            <w:r>
              <w:rPr>
                <w:rFonts w:hint="default" w:ascii="Times New Roman Bold Italic" w:hAnsi="Times New Roman Bold Italic" w:eastAsia="仿宋_GB2312" w:cs="Times New Roman Bold Italic"/>
                <w:b/>
                <w:bCs w:val="0"/>
                <w:i/>
                <w:iCs/>
                <w:sz w:val="24"/>
                <w:szCs w:val="24"/>
                <w:lang w:val="en-US" w:eastAsia="zh-CN"/>
              </w:rPr>
              <w:t>Acta Pharmacologica Sinica.</w:t>
            </w:r>
            <w:r>
              <w:rPr>
                <w:rFonts w:hint="eastAsia" w:eastAsia="仿宋_GB2312"/>
                <w:bCs/>
                <w:sz w:val="24"/>
                <w:szCs w:val="24"/>
                <w:lang w:val="en-US" w:eastAsia="zh-CN"/>
              </w:rPr>
              <w:t xml:space="preserve"> 2026 Feb 24, accepted.</w:t>
            </w:r>
          </w:p>
          <w:p w14:paraId="662D2DE4">
            <w:pPr>
              <w:spacing w:line="440" w:lineRule="exact"/>
              <w:jc w:val="both"/>
              <w:rPr>
                <w:rFonts w:hint="default" w:eastAsia="仿宋_GB2312"/>
                <w:bCs/>
                <w:sz w:val="24"/>
                <w:szCs w:val="24"/>
                <w:lang w:val="en-US" w:eastAsia="zh-CN"/>
              </w:rPr>
            </w:pPr>
            <w:r>
              <w:rPr>
                <w:rFonts w:hint="default" w:eastAsia="仿宋_GB2312"/>
                <w:bCs/>
                <w:sz w:val="24"/>
                <w:szCs w:val="24"/>
                <w:lang w:val="en-US" w:eastAsia="zh-CN"/>
              </w:rPr>
              <w:t>主要知识产权和标准规范目录：</w:t>
            </w:r>
          </w:p>
          <w:p w14:paraId="14156BB2">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发明专利（8）：翁勤洁，王佳颖，赵梦婷，杨丽君，杨波，何俏军：（2020年10月27日授权）。以Optineurin为靶点在制备防治自身免疫性疾病药物中的应用。专利号：ZL201811568313.1。</w:t>
            </w:r>
          </w:p>
          <w:p w14:paraId="7585F9ED">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发明专利（9）：何俏军，翁勤洁，陈斌辉，莫俊，聂文文，林庆，葛敏洁：（2024年6月21日授权）。一种芳杂环类化合物、含其的药物组合物及其应用。专利号：ZL202211019771.6。</w:t>
            </w:r>
          </w:p>
          <w:p w14:paraId="5819F757">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发明专利（10）：He Q（何俏军）, Weng Q（翁勤洁）, Chen B（陈斌辉）, Mo J, Nie W, Lin Q, Ge M:（2025年6月19日授权，澳大利亚）：AROMATIC HETEROCYCLIC COMPOUND, PHARMACEUTICAL COMPOSITION CONTAINING SAME, AND USE THEREOF。专利号：AU</w:t>
            </w:r>
          </w:p>
          <w:p w14:paraId="5DBEF120">
            <w:pPr>
              <w:spacing w:line="440" w:lineRule="exact"/>
              <w:jc w:val="both"/>
              <w:rPr>
                <w:rFonts w:hint="default" w:eastAsia="仿宋_GB2312"/>
                <w:bCs/>
                <w:sz w:val="24"/>
                <w:szCs w:val="24"/>
                <w:lang w:val="en-US" w:eastAsia="zh-CN"/>
              </w:rPr>
            </w:pPr>
            <w:r>
              <w:rPr>
                <w:rFonts w:hint="eastAsia" w:eastAsia="仿宋_GB2312"/>
                <w:bCs/>
                <w:sz w:val="24"/>
                <w:szCs w:val="24"/>
                <w:lang w:val="en-US" w:eastAsia="zh-CN"/>
              </w:rPr>
              <w:t>2022334383。</w:t>
            </w:r>
          </w:p>
        </w:tc>
      </w:tr>
      <w:tr w14:paraId="73927D89">
        <w:trPr>
          <w:trHeight w:val="1958" w:hRule="atLeast"/>
        </w:trPr>
        <w:tc>
          <w:tcPr>
            <w:tcW w:w="2269" w:type="dxa"/>
            <w:tcBorders>
              <w:right w:val="single" w:color="auto" w:sz="4" w:space="0"/>
            </w:tcBorders>
            <w:vAlign w:val="center"/>
          </w:tcPr>
          <w:p w14:paraId="67D9B6AA">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30283C0E">
            <w:pPr>
              <w:spacing w:line="440" w:lineRule="exact"/>
              <w:rPr>
                <w:rFonts w:eastAsia="仿宋_GB2312"/>
                <w:bCs/>
                <w:sz w:val="24"/>
                <w:szCs w:val="24"/>
              </w:rPr>
            </w:pPr>
            <w:r>
              <w:rPr>
                <w:rFonts w:hint="eastAsia" w:eastAsia="仿宋_GB2312"/>
                <w:bCs/>
                <w:sz w:val="24"/>
                <w:szCs w:val="24"/>
                <w:lang w:val="en-US" w:eastAsia="zh-CN"/>
              </w:rPr>
              <w:t>翁勤洁</w:t>
            </w:r>
            <w:r>
              <w:rPr>
                <w:rFonts w:eastAsia="仿宋_GB2312"/>
                <w:bCs/>
                <w:sz w:val="24"/>
                <w:szCs w:val="24"/>
              </w:rPr>
              <w:t>，排名1，</w:t>
            </w:r>
            <w:r>
              <w:rPr>
                <w:rFonts w:hint="eastAsia" w:eastAsia="仿宋_GB2312"/>
                <w:bCs/>
                <w:sz w:val="24"/>
                <w:szCs w:val="24"/>
                <w:lang w:val="en-US" w:eastAsia="zh-CN"/>
              </w:rPr>
              <w:t>教授</w:t>
            </w:r>
            <w:r>
              <w:rPr>
                <w:rFonts w:eastAsia="仿宋_GB2312"/>
                <w:bCs/>
                <w:sz w:val="24"/>
                <w:szCs w:val="24"/>
              </w:rPr>
              <w:t>，</w:t>
            </w:r>
            <w:r>
              <w:rPr>
                <w:rFonts w:hint="eastAsia" w:eastAsia="仿宋_GB2312"/>
                <w:bCs/>
                <w:sz w:val="24"/>
                <w:szCs w:val="24"/>
                <w:lang w:val="en-US" w:eastAsia="zh-CN"/>
              </w:rPr>
              <w:t>浙江大学/浙江大学台州研究院</w:t>
            </w:r>
            <w:r>
              <w:rPr>
                <w:rFonts w:eastAsia="仿宋_GB2312"/>
                <w:bCs/>
                <w:sz w:val="24"/>
                <w:szCs w:val="24"/>
              </w:rPr>
              <w:t>；</w:t>
            </w:r>
          </w:p>
          <w:p w14:paraId="16192A6F">
            <w:pPr>
              <w:spacing w:line="440" w:lineRule="exact"/>
              <w:rPr>
                <w:rFonts w:eastAsia="仿宋_GB2312"/>
                <w:bCs/>
                <w:sz w:val="24"/>
                <w:szCs w:val="24"/>
              </w:rPr>
            </w:pPr>
            <w:r>
              <w:rPr>
                <w:rFonts w:hint="eastAsia" w:eastAsia="仿宋_GB2312"/>
                <w:bCs/>
                <w:sz w:val="24"/>
                <w:szCs w:val="24"/>
                <w:lang w:val="en-US" w:eastAsia="zh-CN"/>
              </w:rPr>
              <w:t>王金成</w:t>
            </w:r>
            <w:r>
              <w:rPr>
                <w:rFonts w:eastAsia="仿宋_GB2312"/>
                <w:bCs/>
                <w:sz w:val="24"/>
                <w:szCs w:val="24"/>
              </w:rPr>
              <w:t>，排名2，</w:t>
            </w:r>
            <w:r>
              <w:rPr>
                <w:rFonts w:hint="eastAsia" w:eastAsia="仿宋_GB2312"/>
                <w:bCs/>
                <w:sz w:val="24"/>
                <w:szCs w:val="24"/>
                <w:lang w:val="en-US" w:eastAsia="zh-CN"/>
              </w:rPr>
              <w:t>研究员</w:t>
            </w:r>
            <w:r>
              <w:rPr>
                <w:rFonts w:eastAsia="仿宋_GB2312"/>
                <w:bCs/>
                <w:sz w:val="24"/>
                <w:szCs w:val="24"/>
              </w:rPr>
              <w:t>，</w:t>
            </w:r>
            <w:r>
              <w:rPr>
                <w:rFonts w:hint="eastAsia" w:eastAsia="仿宋_GB2312"/>
                <w:bCs/>
                <w:sz w:val="24"/>
                <w:szCs w:val="24"/>
                <w:lang w:val="en-US" w:eastAsia="zh-CN"/>
              </w:rPr>
              <w:t>浙江大学/浙江大学台州研究院</w:t>
            </w:r>
            <w:r>
              <w:rPr>
                <w:rFonts w:eastAsia="仿宋_GB2312"/>
                <w:bCs/>
                <w:sz w:val="24"/>
                <w:szCs w:val="24"/>
              </w:rPr>
              <w:t>；</w:t>
            </w:r>
          </w:p>
          <w:p w14:paraId="45BECA5A">
            <w:pPr>
              <w:spacing w:line="440" w:lineRule="exact"/>
              <w:rPr>
                <w:rFonts w:eastAsia="仿宋_GB2312"/>
                <w:bCs/>
                <w:sz w:val="24"/>
                <w:szCs w:val="24"/>
              </w:rPr>
            </w:pPr>
            <w:r>
              <w:rPr>
                <w:rFonts w:hint="eastAsia" w:eastAsia="仿宋_GB2312"/>
                <w:bCs/>
                <w:sz w:val="24"/>
                <w:szCs w:val="24"/>
                <w:lang w:val="en-US" w:eastAsia="zh-CN"/>
              </w:rPr>
              <w:t>何俏军</w:t>
            </w:r>
            <w:r>
              <w:rPr>
                <w:rFonts w:eastAsia="仿宋_GB2312"/>
                <w:bCs/>
                <w:sz w:val="24"/>
                <w:szCs w:val="24"/>
              </w:rPr>
              <w:t>，排名3，</w:t>
            </w:r>
            <w:r>
              <w:rPr>
                <w:rFonts w:hint="eastAsia" w:eastAsia="仿宋_GB2312"/>
                <w:bCs/>
                <w:sz w:val="24"/>
                <w:szCs w:val="24"/>
                <w:lang w:val="en-US" w:eastAsia="zh-CN"/>
              </w:rPr>
              <w:t>教授</w:t>
            </w:r>
            <w:r>
              <w:rPr>
                <w:rFonts w:eastAsia="仿宋_GB2312"/>
                <w:bCs/>
                <w:sz w:val="24"/>
                <w:szCs w:val="24"/>
              </w:rPr>
              <w:t>，</w:t>
            </w:r>
            <w:r>
              <w:rPr>
                <w:rFonts w:hint="eastAsia" w:eastAsia="仿宋_GB2312"/>
                <w:bCs/>
                <w:sz w:val="24"/>
                <w:szCs w:val="24"/>
                <w:lang w:val="en-US" w:eastAsia="zh-CN"/>
              </w:rPr>
              <w:t>浙江大学/浙江大学-新昌联合创新中心（新昌县天姥实验室）</w:t>
            </w:r>
            <w:r>
              <w:rPr>
                <w:rFonts w:eastAsia="仿宋_GB2312"/>
                <w:bCs/>
                <w:sz w:val="24"/>
                <w:szCs w:val="24"/>
              </w:rPr>
              <w:t>；</w:t>
            </w:r>
          </w:p>
          <w:p w14:paraId="72B6648C">
            <w:pPr>
              <w:spacing w:line="440" w:lineRule="exact"/>
              <w:rPr>
                <w:rFonts w:hint="default" w:eastAsia="仿宋_GB2312"/>
                <w:bCs/>
                <w:sz w:val="24"/>
                <w:szCs w:val="24"/>
                <w:lang w:val="en-US" w:eastAsia="zh-CN"/>
              </w:rPr>
            </w:pPr>
            <w:r>
              <w:rPr>
                <w:rFonts w:hint="eastAsia" w:eastAsia="仿宋_GB2312"/>
                <w:bCs/>
                <w:sz w:val="24"/>
                <w:szCs w:val="24"/>
                <w:lang w:val="en-US" w:eastAsia="zh-CN"/>
              </w:rPr>
              <w:t>王佳佳，排名4，研究员，浙江大学；</w:t>
            </w:r>
          </w:p>
          <w:p w14:paraId="2C88D53B">
            <w:pPr>
              <w:spacing w:line="440" w:lineRule="exact"/>
              <w:rPr>
                <w:rFonts w:hint="default" w:eastAsia="仿宋_GB2312"/>
                <w:bCs/>
                <w:sz w:val="24"/>
                <w:szCs w:val="24"/>
                <w:lang w:val="en-US" w:eastAsia="zh-CN"/>
              </w:rPr>
            </w:pPr>
            <w:r>
              <w:rPr>
                <w:rFonts w:hint="eastAsia" w:eastAsia="仿宋_GB2312"/>
                <w:bCs/>
                <w:sz w:val="24"/>
                <w:szCs w:val="24"/>
                <w:lang w:val="en-US" w:eastAsia="zh-CN"/>
              </w:rPr>
              <w:t>陈洁，排名5，高级工程师，浙江仙琚制药股份有限公司；</w:t>
            </w:r>
          </w:p>
          <w:p w14:paraId="2A2EB8F2">
            <w:pPr>
              <w:spacing w:line="440" w:lineRule="exact"/>
              <w:rPr>
                <w:rFonts w:hint="default" w:eastAsia="仿宋_GB2312"/>
                <w:bCs/>
                <w:sz w:val="24"/>
                <w:szCs w:val="24"/>
                <w:lang w:val="en-US" w:eastAsia="zh-CN"/>
              </w:rPr>
            </w:pPr>
            <w:r>
              <w:rPr>
                <w:rFonts w:hint="eastAsia" w:eastAsia="仿宋_GB2312"/>
                <w:bCs/>
                <w:sz w:val="24"/>
                <w:szCs w:val="24"/>
                <w:lang w:val="en-US" w:eastAsia="zh-CN"/>
              </w:rPr>
              <w:t>陈斌辉，排名6，高级工程师，杭州禹泓医药科技有限公司；</w:t>
            </w:r>
          </w:p>
          <w:p w14:paraId="6FAFD997">
            <w:pPr>
              <w:spacing w:line="440" w:lineRule="exact"/>
              <w:rPr>
                <w:rFonts w:hint="default" w:eastAsia="仿宋_GB2312"/>
                <w:bCs/>
                <w:sz w:val="24"/>
                <w:szCs w:val="24"/>
                <w:lang w:val="en-US" w:eastAsia="zh-CN"/>
              </w:rPr>
            </w:pPr>
            <w:r>
              <w:rPr>
                <w:rFonts w:hint="eastAsia" w:eastAsia="仿宋_GB2312"/>
                <w:bCs/>
                <w:sz w:val="24"/>
                <w:szCs w:val="24"/>
                <w:lang w:val="en-US" w:eastAsia="zh-CN"/>
              </w:rPr>
              <w:t>邵燕飞，排名7，主任药师，杭州市中医院；</w:t>
            </w:r>
          </w:p>
          <w:p w14:paraId="49F8D2E3">
            <w:pPr>
              <w:spacing w:line="440" w:lineRule="exact"/>
              <w:rPr>
                <w:rFonts w:hint="default" w:eastAsia="仿宋_GB2312"/>
                <w:bCs/>
                <w:sz w:val="24"/>
                <w:szCs w:val="24"/>
                <w:lang w:val="en-US" w:eastAsia="zh-CN"/>
              </w:rPr>
            </w:pPr>
            <w:r>
              <w:rPr>
                <w:rFonts w:hint="eastAsia" w:eastAsia="仿宋_GB2312"/>
                <w:bCs/>
                <w:sz w:val="24"/>
                <w:szCs w:val="24"/>
                <w:lang w:val="en-US" w:eastAsia="zh-CN"/>
              </w:rPr>
              <w:t>洪文翔，排名8，博士后，浙江大学；</w:t>
            </w:r>
          </w:p>
          <w:p w14:paraId="798A127A">
            <w:pPr>
              <w:spacing w:line="440" w:lineRule="exact"/>
              <w:rPr>
                <w:rFonts w:hint="default" w:eastAsia="仿宋_GB2312"/>
                <w:bCs/>
                <w:sz w:val="24"/>
                <w:szCs w:val="24"/>
                <w:lang w:val="en-US" w:eastAsia="zh-CN"/>
              </w:rPr>
            </w:pPr>
            <w:r>
              <w:rPr>
                <w:rFonts w:hint="eastAsia" w:eastAsia="仿宋_GB2312"/>
                <w:bCs/>
                <w:sz w:val="24"/>
                <w:szCs w:val="24"/>
                <w:lang w:val="en-US" w:eastAsia="zh-CN"/>
              </w:rPr>
              <w:t>杨朝旭，排名9，博士后，浙江大学台州研究院。</w:t>
            </w:r>
          </w:p>
        </w:tc>
      </w:tr>
      <w:tr w14:paraId="0D1A995D">
        <w:trPr>
          <w:trHeight w:val="1986" w:hRule="atLeast"/>
        </w:trPr>
        <w:tc>
          <w:tcPr>
            <w:tcW w:w="2269" w:type="dxa"/>
            <w:tcBorders>
              <w:right w:val="single" w:color="auto" w:sz="4" w:space="0"/>
            </w:tcBorders>
            <w:vAlign w:val="center"/>
          </w:tcPr>
          <w:p w14:paraId="6E5AEB4B">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1A0A11D8">
            <w:pPr>
              <w:numPr>
                <w:ilvl w:val="0"/>
                <w:numId w:val="0"/>
              </w:num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1.</w:t>
            </w:r>
            <w:r>
              <w:rPr>
                <w:rFonts w:eastAsia="仿宋_GB2312"/>
                <w:bCs/>
                <w:sz w:val="24"/>
                <w:szCs w:val="24"/>
              </w:rPr>
              <w:t>单位名称：</w:t>
            </w:r>
            <w:r>
              <w:rPr>
                <w:rFonts w:hint="eastAsia" w:eastAsia="仿宋_GB2312"/>
                <w:bCs/>
                <w:sz w:val="24"/>
                <w:szCs w:val="24"/>
                <w:lang w:val="en-US" w:eastAsia="zh-CN"/>
              </w:rPr>
              <w:t>浙江大学台州研究院</w:t>
            </w:r>
          </w:p>
          <w:p w14:paraId="4073605C">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2.单位名称：浙江大学-新昌联合创新中心（新昌县天姥实验室）</w:t>
            </w:r>
          </w:p>
          <w:p w14:paraId="2725F58D">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3.</w:t>
            </w:r>
            <w:r>
              <w:rPr>
                <w:rFonts w:eastAsia="仿宋_GB2312"/>
                <w:bCs/>
                <w:sz w:val="24"/>
                <w:szCs w:val="24"/>
              </w:rPr>
              <w:t>单位名称：</w:t>
            </w:r>
            <w:r>
              <w:rPr>
                <w:rFonts w:hint="eastAsia" w:eastAsia="仿宋_GB2312"/>
                <w:bCs/>
                <w:sz w:val="24"/>
                <w:szCs w:val="24"/>
                <w:lang w:val="en-US" w:eastAsia="zh-CN"/>
              </w:rPr>
              <w:t>浙江仙琚制药股份有限公司</w:t>
            </w:r>
          </w:p>
          <w:p w14:paraId="279B9888">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4</w:t>
            </w:r>
            <w:r>
              <w:rPr>
                <w:rFonts w:eastAsia="仿宋_GB2312"/>
                <w:bCs/>
                <w:sz w:val="24"/>
                <w:szCs w:val="24"/>
              </w:rPr>
              <w:t>.单位名称：</w:t>
            </w:r>
            <w:r>
              <w:rPr>
                <w:rFonts w:hint="eastAsia" w:eastAsia="仿宋_GB2312"/>
                <w:bCs/>
                <w:sz w:val="24"/>
                <w:szCs w:val="24"/>
                <w:lang w:val="en-US" w:eastAsia="zh-CN"/>
              </w:rPr>
              <w:t>浙江大学</w:t>
            </w:r>
          </w:p>
          <w:p w14:paraId="00F93B4D">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5.单位名称：杭州禹泓医药科技有限公司</w:t>
            </w:r>
          </w:p>
          <w:p w14:paraId="04816B8C">
            <w:pPr>
              <w:spacing w:line="440" w:lineRule="exact"/>
              <w:jc w:val="both"/>
              <w:rPr>
                <w:rFonts w:hint="default" w:eastAsia="仿宋_GB2312"/>
                <w:bCs/>
                <w:sz w:val="24"/>
                <w:szCs w:val="24"/>
                <w:lang w:val="en-US" w:eastAsia="zh-CN"/>
              </w:rPr>
            </w:pPr>
            <w:r>
              <w:rPr>
                <w:rFonts w:hint="eastAsia" w:eastAsia="仿宋_GB2312"/>
                <w:bCs/>
                <w:sz w:val="24"/>
                <w:szCs w:val="24"/>
                <w:lang w:val="en-US" w:eastAsia="zh-CN"/>
              </w:rPr>
              <w:t>6.单位名称：杭州市中医院</w:t>
            </w:r>
          </w:p>
        </w:tc>
      </w:tr>
      <w:tr w14:paraId="291DAC6D">
        <w:trPr>
          <w:trHeight w:val="692" w:hRule="atLeast"/>
        </w:trPr>
        <w:tc>
          <w:tcPr>
            <w:tcW w:w="2269" w:type="dxa"/>
            <w:vAlign w:val="center"/>
          </w:tcPr>
          <w:p w14:paraId="07309162">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16CF86EA">
            <w:pPr>
              <w:contextualSpacing/>
              <w:jc w:val="center"/>
              <w:rPr>
                <w:rStyle w:val="4"/>
                <w:rFonts w:hint="eastAsia" w:eastAsia="宋体"/>
                <w:b w:val="0"/>
                <w:color w:val="auto"/>
                <w:lang w:val="en-US" w:eastAsia="zh-CN"/>
              </w:rPr>
            </w:pPr>
            <w:r>
              <w:rPr>
                <w:rStyle w:val="4"/>
                <w:rFonts w:hint="eastAsia"/>
                <w:b w:val="0"/>
                <w:color w:val="auto"/>
                <w:lang w:val="en-US" w:eastAsia="zh-CN"/>
              </w:rPr>
              <w:t>台州市人民政府</w:t>
            </w:r>
          </w:p>
        </w:tc>
      </w:tr>
      <w:tr w14:paraId="1BE99DD3">
        <w:trPr>
          <w:trHeight w:val="4858" w:hRule="atLeast"/>
        </w:trPr>
        <w:tc>
          <w:tcPr>
            <w:tcW w:w="2269" w:type="dxa"/>
            <w:vAlign w:val="center"/>
          </w:tcPr>
          <w:p w14:paraId="583C2E9C">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237" w:type="dxa"/>
            <w:vAlign w:val="center"/>
          </w:tcPr>
          <w:p w14:paraId="6A6F3C8F">
            <w:pPr>
              <w:ind w:firstLine="480" w:firstLineChars="200"/>
              <w:contextualSpacing/>
              <w:jc w:val="both"/>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本项目聚焦天然免疫调控，开发系列创新技术并成功应用于针对天然免疫细胞调控的精准用药和新药研发实践，在国家重大新药创制专项、国家自然科学基金优秀青年基金项目等科技项目支持下，取得以下创新成果：</w:t>
            </w:r>
          </w:p>
          <w:p w14:paraId="36FB7EF8">
            <w:pPr>
              <w:ind w:firstLine="480" w:firstLineChars="200"/>
              <w:contextualSpacing/>
              <w:jc w:val="both"/>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1.基于天然免疫调控实现技术创新：建立天然免疫细胞与组织细胞交互的致病细胞识别技术；构建天然免疫靶点识别与分子预测一体化生成技术；建立跨器官药效毒性耦合药物评价体系。2.聚焦免疫性疾病的精准用药，通过天然免疫致病细胞识别技术，发现G5b-</w:t>
            </w:r>
            <w:r>
              <w:rPr>
                <w:rFonts w:hint="default" w:ascii="Times New Roman" w:hAnsi="Times New Roman" w:eastAsia="仿宋_GB2312" w:cs="Times New Roman"/>
                <w:bCs/>
                <w:sz w:val="24"/>
                <w:szCs w:val="24"/>
                <w:lang w:val="en-US" w:eastAsia="zh-CN"/>
              </w:rPr>
              <w:t>Ⅱ</w:t>
            </w:r>
            <w:r>
              <w:rPr>
                <w:rFonts w:hint="eastAsia" w:ascii="Times New Roman Regular" w:hAnsi="Times New Roman Regular" w:eastAsia="仿宋_GB2312" w:cs="Times New Roman Regular"/>
                <w:bCs/>
                <w:sz w:val="24"/>
                <w:szCs w:val="24"/>
                <w:lang w:val="en-US" w:eastAsia="zh-CN"/>
              </w:rPr>
              <w:t>中性粒细胞是识别糠酸莫米松高响应患者群体和用药阶段的关键亚群，指导其精准用药，在临床得到了广泛推广。3.针对靶向天然免疫活性分子精准生成和评价面临的技术瓶颈，采用天然免疫靶点与分子预测一体化生成技术和跨器官药效毒性耦合药物评价技术，研发出YH001、YS001等重大原创新药，相继进入临床试验。其中，YH001已进入II期临床，与上市药物相比具有明显优势。</w:t>
            </w:r>
          </w:p>
          <w:p w14:paraId="2C6A93EC">
            <w:pPr>
              <w:ind w:firstLine="480" w:firstLineChars="200"/>
              <w:contextualSpacing/>
              <w:jc w:val="both"/>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本项目所构建的创新技术应用于企业项目攻关获得临床批件12件；指导糠酸莫米松精准用药，已在40余家医院推广应用，累计服务患者逾520万人次。近三年，新增经济效益近8亿元，为我国临床精准用药和原创新药研发提供了重要技术支撑。经由魏伟教授、盛春泉教授、潘振伟教授、黄昆教授、邵振华教授、王立辉教授、邓有才教授组成的鉴定委员会鉴定，认为项目整体技术达国际先进水平。</w:t>
            </w:r>
          </w:p>
          <w:p w14:paraId="2B4E59B1">
            <w:pPr>
              <w:ind w:firstLine="480" w:firstLineChars="200"/>
              <w:contextualSpacing/>
              <w:jc w:val="both"/>
              <w:rPr>
                <w:rFonts w:hint="eastAsia" w:ascii="仿宋_GB2312" w:eastAsia="仿宋_GB2312" w:cs="Times New Roman"/>
                <w:bCs/>
                <w:sz w:val="24"/>
                <w:szCs w:val="24"/>
              </w:rPr>
            </w:pPr>
            <w:r>
              <w:rPr>
                <w:rFonts w:hint="default" w:ascii="Times New Roman Regular" w:hAnsi="Times New Roman Regular" w:eastAsia="仿宋_GB2312" w:cs="Times New Roman Regular"/>
                <w:bCs/>
                <w:sz w:val="24"/>
                <w:szCs w:val="24"/>
              </w:rPr>
              <w:t>提名</w:t>
            </w:r>
            <w:r>
              <w:rPr>
                <w:rFonts w:hint="eastAsia" w:ascii="Times New Roman Regular" w:hAnsi="Times New Roman Regular" w:eastAsia="仿宋_GB2312" w:cs="Times New Roman Regular"/>
                <w:bCs/>
                <w:sz w:val="24"/>
                <w:szCs w:val="24"/>
                <w:lang w:val="en-US" w:eastAsia="zh-CN"/>
              </w:rPr>
              <w:t>该项目为</w:t>
            </w:r>
            <w:r>
              <w:rPr>
                <w:rFonts w:hint="default" w:ascii="Times New Roman Regular" w:hAnsi="Times New Roman Regular" w:eastAsia="仿宋_GB2312" w:cs="Times New Roman Regular"/>
                <w:bCs/>
                <w:sz w:val="24"/>
                <w:szCs w:val="24"/>
                <w:u w:val="single"/>
              </w:rPr>
              <w:t>202</w:t>
            </w:r>
            <w:r>
              <w:rPr>
                <w:rFonts w:hint="default" w:ascii="Times New Roman Regular" w:hAnsi="Times New Roman Regular" w:eastAsia="仿宋_GB2312" w:cs="Times New Roman Regular"/>
                <w:bCs/>
                <w:sz w:val="24"/>
                <w:szCs w:val="24"/>
                <w:u w:val="single"/>
                <w:lang w:val="en-US" w:eastAsia="zh-CN"/>
              </w:rPr>
              <w:t>5</w:t>
            </w:r>
            <w:r>
              <w:rPr>
                <w:rFonts w:hint="default" w:ascii="Times New Roman Regular" w:hAnsi="Times New Roman Regular" w:eastAsia="仿宋_GB2312" w:cs="Times New Roman Regular"/>
                <w:bCs/>
                <w:sz w:val="24"/>
                <w:szCs w:val="24"/>
                <w:u w:val="single"/>
              </w:rPr>
              <w:t>年度浙江省科学技术进步奖二等奖</w:t>
            </w:r>
            <w:r>
              <w:rPr>
                <w:rFonts w:hint="default" w:ascii="Times New Roman Regular" w:hAnsi="Times New Roman Regular" w:eastAsia="仿宋_GB2312" w:cs="Times New Roman Regular"/>
                <w:bCs/>
                <w:sz w:val="24"/>
                <w:szCs w:val="24"/>
              </w:rPr>
              <w:t>。</w:t>
            </w:r>
          </w:p>
        </w:tc>
      </w:tr>
    </w:tbl>
    <w:p w14:paraId="2137B2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Bold Italic">
    <w:panose1 w:val="020206030504050203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imes New Roman Regular">
    <w:panose1 w:val="020206030504050203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7893D"/>
    <w:rsid w:val="0FD7893D"/>
    <w:rsid w:val="29EB6D2F"/>
    <w:rsid w:val="2EEEC3BE"/>
    <w:rsid w:val="5BEF4063"/>
    <w:rsid w:val="6F5DCD96"/>
    <w:rsid w:val="7CCE7293"/>
    <w:rsid w:val="BEAED6A8"/>
    <w:rsid w:val="DEFDC324"/>
    <w:rsid w:val="EB77F94B"/>
    <w:rsid w:val="ED63EC80"/>
    <w:rsid w:val="F777C687"/>
    <w:rsid w:val="FBE5D00F"/>
    <w:rsid w:val="FBECC8D8"/>
    <w:rsid w:val="FC9D541B"/>
    <w:rsid w:val="FEEF5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125</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2026-06-13T09:20:00Z</dcterms:created>
  <dc:creator>俞骞</dc:creator>
  <cp:lastModifiedBy>俞骞</cp:lastModifiedBy>
  <dcterms:modified xsi:type="dcterms:W3CDTF">2026-06-14T11:48:28Z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FB762903A657E84FD35E2B6A3DA7514B_41</vt:lpwstr>
  </property>
</Properties>
</file>