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C699D4">
      <w:pPr>
        <w:jc w:val="center"/>
        <w:rPr>
          <w:rFonts w:ascii="Times New Roman" w:hAnsi="Times New Roman" w:eastAsia="方正小标宋简体" w:cs="Times New Roman"/>
          <w:sz w:val="36"/>
          <w:szCs w:val="36"/>
        </w:rPr>
      </w:pPr>
      <w:r>
        <w:rPr>
          <w:rFonts w:ascii="Times New Roman" w:hAnsi="Times New Roman" w:eastAsia="方正小标宋简体" w:cs="Times New Roman"/>
          <w:bCs/>
          <w:sz w:val="36"/>
          <w:szCs w:val="36"/>
        </w:rPr>
        <w:t>浙江省科学技术奖公示信息表</w:t>
      </w:r>
      <w:r>
        <w:rPr>
          <w:rFonts w:ascii="Times New Roman" w:hAnsi="Times New Roman" w:eastAsia="仿宋_GB2312" w:cs="Times New Roman"/>
          <w:bCs/>
          <w:sz w:val="32"/>
          <w:szCs w:val="32"/>
        </w:rPr>
        <w:t>（单位提名）</w:t>
      </w:r>
    </w:p>
    <w:p w14:paraId="1D034EAC">
      <w:pPr>
        <w:spacing w:line="440" w:lineRule="exact"/>
        <w:rPr>
          <w:rFonts w:ascii="Times New Roman" w:hAnsi="Times New Roman" w:eastAsia="仿宋_GB2312" w:cs="Times New Roman"/>
          <w:sz w:val="28"/>
        </w:rPr>
      </w:pPr>
      <w:r>
        <w:rPr>
          <w:rFonts w:ascii="Times New Roman" w:hAnsi="Times New Roman" w:eastAsia="仿宋_GB2312" w:cs="Times New Roman"/>
          <w:sz w:val="28"/>
        </w:rPr>
        <w:t>提名奖项：科学技术进步奖</w:t>
      </w:r>
    </w:p>
    <w:tbl>
      <w:tblPr>
        <w:tblStyle w:val="5"/>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43710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14:paraId="395DBEA6">
            <w:pPr>
              <w:jc w:val="center"/>
              <w:rPr>
                <w:rFonts w:ascii="Times New Roman" w:hAnsi="Times New Roman" w:eastAsia="仿宋_GB2312" w:cs="Times New Roman"/>
                <w:sz w:val="28"/>
                <w:szCs w:val="20"/>
              </w:rPr>
            </w:pPr>
            <w:r>
              <w:rPr>
                <w:rFonts w:ascii="Times New Roman" w:hAnsi="Times New Roman" w:eastAsia="仿宋_GB2312" w:cs="Times New Roman"/>
                <w:sz w:val="28"/>
              </w:rPr>
              <w:t>成果名称</w:t>
            </w:r>
          </w:p>
        </w:tc>
        <w:tc>
          <w:tcPr>
            <w:tcW w:w="6237" w:type="dxa"/>
            <w:vAlign w:val="center"/>
          </w:tcPr>
          <w:p w14:paraId="51D01212">
            <w:pPr>
              <w:jc w:val="center"/>
              <w:rPr>
                <w:rFonts w:ascii="Times New Roman" w:hAnsi="Times New Roman" w:eastAsia="仿宋_GB2312" w:cs="Times New Roman"/>
                <w:sz w:val="28"/>
                <w:szCs w:val="20"/>
              </w:rPr>
            </w:pPr>
            <w:r>
              <w:rPr>
                <w:rFonts w:ascii="Times New Roman" w:hAnsi="Times New Roman" w:eastAsia="仿宋_GB2312" w:cs="Times New Roman"/>
                <w:sz w:val="24"/>
              </w:rPr>
              <w:t>全自动数字PCR病原诊断系统研发及临床应用</w:t>
            </w:r>
          </w:p>
        </w:tc>
      </w:tr>
      <w:tr w14:paraId="59C9A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14:paraId="15E2003A">
            <w:pPr>
              <w:jc w:val="center"/>
              <w:rPr>
                <w:rFonts w:ascii="Times New Roman" w:hAnsi="Times New Roman" w:eastAsia="仿宋_GB2312" w:cs="Times New Roman"/>
                <w:sz w:val="28"/>
                <w:szCs w:val="20"/>
              </w:rPr>
            </w:pPr>
            <w:r>
              <w:rPr>
                <w:rFonts w:ascii="Times New Roman" w:hAnsi="Times New Roman" w:eastAsia="仿宋_GB2312" w:cs="Times New Roman"/>
                <w:sz w:val="28"/>
              </w:rPr>
              <w:t>提名等级</w:t>
            </w:r>
          </w:p>
        </w:tc>
        <w:tc>
          <w:tcPr>
            <w:tcW w:w="6237" w:type="dxa"/>
            <w:vAlign w:val="center"/>
          </w:tcPr>
          <w:p w14:paraId="2E0EF376">
            <w:pPr>
              <w:jc w:val="center"/>
              <w:rPr>
                <w:rFonts w:ascii="Times New Roman" w:hAnsi="Times New Roman" w:eastAsia="仿宋_GB2312" w:cs="Times New Roman"/>
                <w:sz w:val="28"/>
                <w:szCs w:val="20"/>
              </w:rPr>
            </w:pPr>
            <w:r>
              <w:rPr>
                <w:rFonts w:hint="eastAsia" w:ascii="宋体" w:hAnsi="宋体" w:eastAsia="宋体" w:cs="宋体"/>
                <w:sz w:val="24"/>
                <w:szCs w:val="18"/>
              </w:rPr>
              <w:t>一等奖</w:t>
            </w:r>
          </w:p>
        </w:tc>
      </w:tr>
      <w:tr w14:paraId="06C49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2269" w:type="dxa"/>
            <w:vAlign w:val="center"/>
          </w:tcPr>
          <w:p w14:paraId="5F0E9AF5">
            <w:pPr>
              <w:spacing w:line="440" w:lineRule="exact"/>
              <w:jc w:val="center"/>
              <w:rPr>
                <w:rFonts w:ascii="Times New Roman" w:hAnsi="Times New Roman" w:eastAsia="仿宋_GB2312" w:cs="Times New Roman"/>
                <w:bCs/>
                <w:sz w:val="28"/>
              </w:rPr>
            </w:pPr>
            <w:r>
              <w:rPr>
                <w:rFonts w:ascii="Times New Roman" w:hAnsi="Times New Roman" w:eastAsia="仿宋_GB2312" w:cs="Times New Roman"/>
                <w:bCs/>
                <w:sz w:val="28"/>
              </w:rPr>
              <w:t>提名书</w:t>
            </w:r>
          </w:p>
          <w:p w14:paraId="504E37A6">
            <w:pPr>
              <w:spacing w:line="440" w:lineRule="exact"/>
              <w:jc w:val="center"/>
              <w:rPr>
                <w:rFonts w:ascii="Times New Roman" w:hAnsi="Times New Roman" w:eastAsia="仿宋_GB2312" w:cs="Times New Roman"/>
                <w:bCs/>
                <w:sz w:val="28"/>
              </w:rPr>
            </w:pPr>
            <w:r>
              <w:rPr>
                <w:rFonts w:ascii="Times New Roman" w:hAnsi="Times New Roman" w:eastAsia="仿宋_GB2312" w:cs="Times New Roman"/>
                <w:bCs/>
                <w:sz w:val="28"/>
              </w:rPr>
              <w:t>相关内容</w:t>
            </w:r>
          </w:p>
        </w:tc>
        <w:tc>
          <w:tcPr>
            <w:tcW w:w="6237" w:type="dxa"/>
            <w:vAlign w:val="center"/>
          </w:tcPr>
          <w:p w14:paraId="2C20F283">
            <w:pPr>
              <w:spacing w:line="440" w:lineRule="exact"/>
              <w:jc w:val="left"/>
              <w:rPr>
                <w:rFonts w:ascii="Times New Roman" w:hAnsi="Times New Roman" w:eastAsia="宋体" w:cs="Times New Roman"/>
                <w:bCs/>
                <w:sz w:val="24"/>
              </w:rPr>
            </w:pPr>
            <w:r>
              <w:rPr>
                <w:rFonts w:ascii="Times New Roman" w:hAnsi="Times New Roman" w:eastAsia="宋体" w:cs="Times New Roman"/>
                <w:bCs/>
                <w:sz w:val="24"/>
              </w:rPr>
              <w:t>提名书的主要知识产权和标准规范目录、代表性论文专著目录见附录。</w:t>
            </w:r>
          </w:p>
        </w:tc>
      </w:tr>
      <w:tr w14:paraId="15EF2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trPr>
        <w:tc>
          <w:tcPr>
            <w:tcW w:w="2269" w:type="dxa"/>
            <w:tcBorders>
              <w:right w:val="single" w:color="auto" w:sz="4" w:space="0"/>
            </w:tcBorders>
            <w:vAlign w:val="center"/>
          </w:tcPr>
          <w:p w14:paraId="3B81F3E8">
            <w:pPr>
              <w:spacing w:line="440" w:lineRule="exact"/>
              <w:jc w:val="center"/>
              <w:rPr>
                <w:rFonts w:ascii="Times New Roman" w:hAnsi="Times New Roman" w:eastAsia="仿宋_GB2312" w:cs="Times New Roman"/>
                <w:bCs/>
                <w:sz w:val="28"/>
              </w:rPr>
            </w:pPr>
            <w:r>
              <w:rPr>
                <w:rFonts w:ascii="Times New Roman" w:hAnsi="Times New Roman" w:eastAsia="仿宋_GB2312" w:cs="Times New Roman"/>
                <w:bCs/>
                <w:sz w:val="28"/>
              </w:rPr>
              <w:t>主要完成人</w:t>
            </w:r>
          </w:p>
        </w:tc>
        <w:tc>
          <w:tcPr>
            <w:tcW w:w="6237" w:type="dxa"/>
            <w:tcBorders>
              <w:left w:val="single" w:color="auto" w:sz="4" w:space="0"/>
            </w:tcBorders>
            <w:vAlign w:val="center"/>
          </w:tcPr>
          <w:p w14:paraId="57753A96">
            <w:pPr>
              <w:spacing w:line="440" w:lineRule="exact"/>
              <w:rPr>
                <w:rFonts w:ascii="Times New Roman" w:hAnsi="Times New Roman" w:eastAsia="仿宋_GB2312" w:cs="Times New Roman"/>
                <w:bCs/>
                <w:sz w:val="24"/>
              </w:rPr>
            </w:pPr>
            <w:r>
              <w:rPr>
                <w:rFonts w:hint="eastAsia" w:ascii="宋体" w:hAnsi="宋体" w:eastAsia="宋体" w:cs="宋体"/>
                <w:bCs/>
                <w:sz w:val="24"/>
              </w:rPr>
              <w:t>俞云松</w:t>
            </w:r>
            <w:r>
              <w:rPr>
                <w:rFonts w:ascii="Times New Roman" w:hAnsi="Times New Roman" w:eastAsia="仿宋_GB2312" w:cs="Times New Roman"/>
                <w:bCs/>
                <w:sz w:val="24"/>
              </w:rPr>
              <w:t>，排名1，</w:t>
            </w:r>
            <w:r>
              <w:rPr>
                <w:rFonts w:hint="eastAsia" w:ascii="宋体" w:hAnsi="宋体" w:eastAsia="宋体" w:cs="宋体"/>
                <w:bCs/>
                <w:sz w:val="24"/>
              </w:rPr>
              <w:t>教授/主任医师</w:t>
            </w:r>
            <w:r>
              <w:rPr>
                <w:rFonts w:ascii="Times New Roman" w:hAnsi="Times New Roman" w:eastAsia="仿宋_GB2312" w:cs="Times New Roman"/>
                <w:bCs/>
                <w:sz w:val="24"/>
              </w:rPr>
              <w:t>，</w:t>
            </w:r>
            <w:r>
              <w:rPr>
                <w:rFonts w:hint="eastAsia" w:ascii="宋体" w:hAnsi="宋体" w:eastAsia="宋体" w:cs="宋体"/>
                <w:bCs/>
                <w:sz w:val="24"/>
              </w:rPr>
              <w:t>浙江大学医学院附属邵逸夫医院</w:t>
            </w:r>
            <w:r>
              <w:rPr>
                <w:rFonts w:ascii="Times New Roman" w:hAnsi="Times New Roman" w:eastAsia="仿宋_GB2312" w:cs="Times New Roman"/>
                <w:bCs/>
                <w:sz w:val="24"/>
              </w:rPr>
              <w:t>；</w:t>
            </w:r>
          </w:p>
          <w:p w14:paraId="45EE5759">
            <w:pPr>
              <w:spacing w:line="440" w:lineRule="exact"/>
              <w:rPr>
                <w:rFonts w:ascii="Times New Roman" w:hAnsi="Times New Roman" w:eastAsia="仿宋_GB2312" w:cs="Times New Roman"/>
                <w:bCs/>
                <w:sz w:val="24"/>
              </w:rPr>
            </w:pPr>
            <w:r>
              <w:rPr>
                <w:rFonts w:hint="eastAsia" w:ascii="宋体" w:hAnsi="宋体" w:eastAsia="宋体" w:cs="宋体"/>
                <w:bCs/>
                <w:sz w:val="24"/>
              </w:rPr>
              <w:t>夏江</w:t>
            </w:r>
            <w:bookmarkStart w:id="1" w:name="_GoBack"/>
            <w:bookmarkEnd w:id="1"/>
            <w:r>
              <w:rPr>
                <w:rFonts w:ascii="Times New Roman" w:hAnsi="Times New Roman" w:eastAsia="仿宋_GB2312" w:cs="Times New Roman"/>
                <w:bCs/>
                <w:sz w:val="24"/>
              </w:rPr>
              <w:t>，排名2，</w:t>
            </w:r>
            <w:r>
              <w:rPr>
                <w:rFonts w:hint="eastAsia" w:ascii="宋体" w:hAnsi="宋体" w:eastAsia="宋体" w:cs="宋体"/>
                <w:bCs/>
                <w:sz w:val="24"/>
              </w:rPr>
              <w:t>正高级工程师，领航基因科技（杭州）有限公司</w:t>
            </w:r>
            <w:r>
              <w:rPr>
                <w:rFonts w:ascii="Times New Roman" w:hAnsi="Times New Roman" w:eastAsia="仿宋_GB2312" w:cs="Times New Roman"/>
                <w:bCs/>
                <w:sz w:val="24"/>
              </w:rPr>
              <w:t>；</w:t>
            </w:r>
          </w:p>
          <w:p w14:paraId="5669ACF8">
            <w:pPr>
              <w:spacing w:line="440" w:lineRule="exact"/>
              <w:rPr>
                <w:rFonts w:ascii="Times New Roman" w:hAnsi="Times New Roman" w:eastAsia="仿宋_GB2312" w:cs="Times New Roman"/>
                <w:bCs/>
                <w:sz w:val="24"/>
              </w:rPr>
            </w:pPr>
            <w:r>
              <w:rPr>
                <w:rFonts w:hint="eastAsia" w:ascii="宋体" w:hAnsi="宋体" w:eastAsia="宋体" w:cs="宋体"/>
                <w:bCs/>
                <w:sz w:val="24"/>
              </w:rPr>
              <w:t>周华</w:t>
            </w:r>
            <w:r>
              <w:rPr>
                <w:rFonts w:ascii="Times New Roman" w:hAnsi="Times New Roman" w:eastAsia="仿宋_GB2312" w:cs="Times New Roman"/>
                <w:bCs/>
                <w:sz w:val="24"/>
              </w:rPr>
              <w:t>，排名3，</w:t>
            </w:r>
            <w:r>
              <w:rPr>
                <w:rFonts w:hint="eastAsia" w:ascii="Times New Roman" w:hAnsi="Times New Roman" w:eastAsia="仿宋_GB2312" w:cs="Times New Roman"/>
                <w:bCs/>
                <w:sz w:val="24"/>
              </w:rPr>
              <w:t>主任</w:t>
            </w:r>
            <w:r>
              <w:rPr>
                <w:rFonts w:hint="eastAsia" w:ascii="宋体" w:hAnsi="宋体" w:eastAsia="宋体" w:cs="宋体"/>
                <w:bCs/>
                <w:sz w:val="24"/>
              </w:rPr>
              <w:t>医师</w:t>
            </w:r>
            <w:r>
              <w:rPr>
                <w:rFonts w:ascii="Times New Roman" w:hAnsi="Times New Roman" w:eastAsia="仿宋_GB2312" w:cs="Times New Roman"/>
                <w:bCs/>
                <w:sz w:val="24"/>
              </w:rPr>
              <w:t>，</w:t>
            </w:r>
            <w:r>
              <w:rPr>
                <w:rFonts w:hint="eastAsia" w:ascii="宋体" w:hAnsi="宋体" w:eastAsia="宋体" w:cs="宋体"/>
                <w:bCs/>
                <w:sz w:val="24"/>
              </w:rPr>
              <w:t>浙江大学医学院附属第二医院</w:t>
            </w:r>
            <w:r>
              <w:rPr>
                <w:rFonts w:ascii="Times New Roman" w:hAnsi="Times New Roman" w:eastAsia="仿宋_GB2312" w:cs="Times New Roman"/>
                <w:bCs/>
                <w:sz w:val="24"/>
              </w:rPr>
              <w:t>；</w:t>
            </w:r>
          </w:p>
          <w:p w14:paraId="5DA1C44C">
            <w:pPr>
              <w:spacing w:line="440" w:lineRule="exact"/>
              <w:rPr>
                <w:rFonts w:hint="eastAsia" w:ascii="宋体" w:hAnsi="宋体" w:eastAsia="宋体" w:cs="宋体"/>
                <w:bCs/>
                <w:sz w:val="24"/>
              </w:rPr>
            </w:pPr>
            <w:r>
              <w:rPr>
                <w:rFonts w:hint="eastAsia" w:ascii="宋体" w:hAnsi="宋体" w:eastAsia="宋体" w:cs="宋体"/>
                <w:bCs/>
                <w:sz w:val="24"/>
              </w:rPr>
              <w:t>艾静文，</w:t>
            </w:r>
            <w:r>
              <w:rPr>
                <w:rFonts w:ascii="Times New Roman" w:hAnsi="Times New Roman" w:eastAsia="仿宋_GB2312" w:cs="Times New Roman"/>
                <w:bCs/>
                <w:sz w:val="24"/>
              </w:rPr>
              <w:t>排名4，</w:t>
            </w:r>
            <w:r>
              <w:rPr>
                <w:rFonts w:hint="eastAsia" w:ascii="宋体" w:hAnsi="宋体" w:eastAsia="宋体" w:cs="宋体"/>
                <w:bCs/>
                <w:sz w:val="24"/>
              </w:rPr>
              <w:t>副主任医师，复旦大学附属华山医院；</w:t>
            </w:r>
          </w:p>
          <w:p w14:paraId="5ABB8951">
            <w:pPr>
              <w:spacing w:line="440" w:lineRule="exact"/>
              <w:rPr>
                <w:rFonts w:hint="eastAsia" w:ascii="宋体" w:hAnsi="宋体" w:eastAsia="宋体" w:cs="宋体"/>
                <w:bCs/>
                <w:sz w:val="24"/>
              </w:rPr>
            </w:pPr>
            <w:r>
              <w:rPr>
                <w:rFonts w:hint="eastAsia" w:ascii="宋体" w:hAnsi="宋体" w:eastAsia="宋体" w:cs="宋体"/>
                <w:bCs/>
                <w:sz w:val="24"/>
              </w:rPr>
              <w:t>蒋琰，</w:t>
            </w:r>
            <w:r>
              <w:rPr>
                <w:rFonts w:ascii="Times New Roman" w:hAnsi="Times New Roman" w:eastAsia="仿宋_GB2312" w:cs="Times New Roman"/>
                <w:bCs/>
                <w:sz w:val="24"/>
              </w:rPr>
              <w:t>排名5，</w:t>
            </w:r>
            <w:r>
              <w:rPr>
                <w:rFonts w:hint="eastAsia" w:ascii="宋体" w:hAnsi="宋体" w:eastAsia="宋体" w:cs="宋体"/>
                <w:bCs/>
                <w:sz w:val="24"/>
              </w:rPr>
              <w:t>副研究员，浙江大学医学院附属邵逸夫医院</w:t>
            </w:r>
            <w:r>
              <w:rPr>
                <w:rFonts w:ascii="Times New Roman" w:hAnsi="Times New Roman" w:eastAsia="仿宋_GB2312" w:cs="Times New Roman"/>
                <w:bCs/>
                <w:sz w:val="24"/>
              </w:rPr>
              <w:t>；</w:t>
            </w:r>
          </w:p>
          <w:p w14:paraId="31B7C2A8">
            <w:pPr>
              <w:spacing w:line="440" w:lineRule="exact"/>
              <w:rPr>
                <w:rFonts w:ascii="Times New Roman" w:hAnsi="Times New Roman" w:eastAsia="仿宋_GB2312" w:cs="Times New Roman"/>
                <w:bCs/>
                <w:sz w:val="24"/>
              </w:rPr>
            </w:pPr>
            <w:r>
              <w:rPr>
                <w:rFonts w:hint="eastAsia" w:ascii="宋体" w:hAnsi="宋体" w:eastAsia="宋体" w:cs="宋体"/>
                <w:bCs/>
                <w:sz w:val="24"/>
              </w:rPr>
              <w:t>白桦，</w:t>
            </w:r>
            <w:r>
              <w:rPr>
                <w:rFonts w:ascii="Times New Roman" w:hAnsi="Times New Roman" w:eastAsia="仿宋_GB2312" w:cs="Times New Roman"/>
                <w:bCs/>
                <w:sz w:val="24"/>
              </w:rPr>
              <w:t>排名6，</w:t>
            </w:r>
            <w:r>
              <w:rPr>
                <w:rFonts w:hint="eastAsia" w:ascii="宋体" w:hAnsi="宋体" w:eastAsia="宋体" w:cs="宋体"/>
                <w:bCs/>
                <w:sz w:val="24"/>
              </w:rPr>
              <w:t>高级工程师，领航基因科技（杭州）有限公司</w:t>
            </w:r>
            <w:r>
              <w:rPr>
                <w:rFonts w:ascii="Times New Roman" w:hAnsi="Times New Roman" w:eastAsia="仿宋_GB2312" w:cs="Times New Roman"/>
                <w:bCs/>
                <w:sz w:val="24"/>
              </w:rPr>
              <w:t>；</w:t>
            </w:r>
          </w:p>
          <w:p w14:paraId="36BCD65D">
            <w:pPr>
              <w:spacing w:line="440" w:lineRule="exact"/>
              <w:rPr>
                <w:rFonts w:ascii="Cambria" w:hAnsi="Cambria" w:eastAsia="宋体" w:cs="宋体"/>
                <w:bCs/>
                <w:sz w:val="24"/>
              </w:rPr>
            </w:pPr>
            <w:r>
              <w:rPr>
                <w:rFonts w:hint="eastAsia" w:ascii="宋体" w:hAnsi="宋体" w:eastAsia="宋体" w:cs="宋体"/>
                <w:bCs/>
                <w:sz w:val="24"/>
              </w:rPr>
              <w:t>孙仁华，</w:t>
            </w:r>
            <w:r>
              <w:rPr>
                <w:rFonts w:ascii="Times New Roman" w:hAnsi="Times New Roman" w:eastAsia="仿宋_GB2312" w:cs="Times New Roman"/>
                <w:bCs/>
                <w:sz w:val="24"/>
              </w:rPr>
              <w:t>排名7，</w:t>
            </w:r>
            <w:r>
              <w:rPr>
                <w:rFonts w:hint="eastAsia" w:ascii="Times New Roman" w:hAnsi="Times New Roman" w:eastAsia="仿宋_GB2312" w:cs="Times New Roman"/>
                <w:bCs/>
                <w:sz w:val="24"/>
              </w:rPr>
              <w:t>主任</w:t>
            </w:r>
            <w:r>
              <w:rPr>
                <w:rFonts w:hint="eastAsia" w:ascii="宋体" w:hAnsi="宋体" w:eastAsia="宋体" w:cs="宋体"/>
                <w:bCs/>
                <w:sz w:val="24"/>
              </w:rPr>
              <w:t>医师，浙江省人民医院；</w:t>
            </w:r>
          </w:p>
          <w:p w14:paraId="73F10EDD">
            <w:pPr>
              <w:spacing w:line="440" w:lineRule="exact"/>
              <w:rPr>
                <w:rFonts w:hint="eastAsia" w:ascii="宋体" w:hAnsi="宋体" w:eastAsia="宋体" w:cs="宋体"/>
                <w:bCs/>
                <w:sz w:val="24"/>
              </w:rPr>
            </w:pPr>
            <w:r>
              <w:rPr>
                <w:rFonts w:hint="eastAsia" w:ascii="宋体" w:hAnsi="宋体" w:eastAsia="宋体" w:cs="宋体"/>
                <w:bCs/>
                <w:sz w:val="24"/>
              </w:rPr>
              <w:t>赵冬冬，</w:t>
            </w:r>
            <w:r>
              <w:rPr>
                <w:rFonts w:ascii="Times New Roman" w:hAnsi="Times New Roman" w:eastAsia="仿宋_GB2312" w:cs="Times New Roman"/>
                <w:bCs/>
                <w:sz w:val="24"/>
              </w:rPr>
              <w:t>排名8，</w:t>
            </w:r>
            <w:r>
              <w:rPr>
                <w:rFonts w:hint="eastAsia" w:ascii="Times New Roman" w:hAnsi="Times New Roman" w:eastAsia="仿宋_GB2312" w:cs="Times New Roman"/>
                <w:bCs/>
                <w:sz w:val="24"/>
              </w:rPr>
              <w:t>主</w:t>
            </w:r>
            <w:r>
              <w:rPr>
                <w:rFonts w:hint="eastAsia" w:ascii="宋体" w:hAnsi="宋体" w:eastAsia="宋体" w:cs="宋体"/>
                <w:bCs/>
                <w:sz w:val="24"/>
              </w:rPr>
              <w:t>任医师，浙江大学医学院附属邵逸夫医院；</w:t>
            </w:r>
          </w:p>
          <w:p w14:paraId="547A5B80">
            <w:pPr>
              <w:spacing w:line="440" w:lineRule="exact"/>
              <w:rPr>
                <w:rFonts w:hint="eastAsia" w:ascii="宋体" w:hAnsi="宋体" w:eastAsia="宋体" w:cs="宋体"/>
                <w:bCs/>
                <w:sz w:val="24"/>
              </w:rPr>
            </w:pPr>
            <w:r>
              <w:rPr>
                <w:rFonts w:hint="eastAsia" w:ascii="宋体" w:hAnsi="宋体" w:eastAsia="宋体" w:cs="宋体"/>
                <w:bCs/>
                <w:sz w:val="24"/>
              </w:rPr>
              <w:t>瞿洪平，</w:t>
            </w:r>
            <w:r>
              <w:rPr>
                <w:rFonts w:ascii="Times New Roman" w:hAnsi="Times New Roman" w:eastAsia="仿宋_GB2312" w:cs="Times New Roman"/>
                <w:bCs/>
                <w:sz w:val="24"/>
              </w:rPr>
              <w:t>排名9，</w:t>
            </w:r>
            <w:r>
              <w:rPr>
                <w:rFonts w:hint="eastAsia" w:ascii="Times New Roman" w:hAnsi="Times New Roman" w:eastAsia="仿宋_GB2312" w:cs="Times New Roman"/>
                <w:bCs/>
                <w:sz w:val="24"/>
              </w:rPr>
              <w:t>主任</w:t>
            </w:r>
            <w:r>
              <w:rPr>
                <w:rFonts w:hint="eastAsia" w:ascii="宋体" w:hAnsi="宋体" w:eastAsia="宋体" w:cs="宋体"/>
                <w:bCs/>
                <w:sz w:val="24"/>
              </w:rPr>
              <w:t>医师，</w:t>
            </w:r>
            <w:r>
              <w:rPr>
                <w:rFonts w:ascii="宋体" w:hAnsi="宋体" w:eastAsia="宋体" w:cs="宋体"/>
                <w:bCs/>
                <w:sz w:val="24"/>
              </w:rPr>
              <w:t>上海交通大学医学院附属瑞金医院</w:t>
            </w:r>
            <w:r>
              <w:rPr>
                <w:rFonts w:hint="eastAsia" w:ascii="宋体" w:hAnsi="宋体" w:eastAsia="宋体" w:cs="宋体"/>
                <w:bCs/>
                <w:sz w:val="24"/>
              </w:rPr>
              <w:t>；</w:t>
            </w:r>
          </w:p>
          <w:p w14:paraId="374803FE">
            <w:pPr>
              <w:spacing w:line="440" w:lineRule="exact"/>
              <w:rPr>
                <w:rFonts w:hint="eastAsia" w:ascii="宋体" w:hAnsi="宋体" w:eastAsia="宋体" w:cs="宋体"/>
                <w:bCs/>
                <w:sz w:val="24"/>
              </w:rPr>
            </w:pPr>
            <w:r>
              <w:rPr>
                <w:rFonts w:hint="eastAsia" w:ascii="宋体" w:hAnsi="宋体" w:eastAsia="宋体" w:cs="宋体"/>
                <w:bCs/>
                <w:sz w:val="24"/>
              </w:rPr>
              <w:t>翁珊珊，</w:t>
            </w:r>
            <w:r>
              <w:rPr>
                <w:rFonts w:ascii="Times New Roman" w:hAnsi="Times New Roman" w:eastAsia="仿宋_GB2312" w:cs="Times New Roman"/>
                <w:bCs/>
                <w:sz w:val="24"/>
              </w:rPr>
              <w:t>排名10，</w:t>
            </w:r>
            <w:r>
              <w:rPr>
                <w:rFonts w:hint="eastAsia" w:ascii="宋体" w:hAnsi="宋体" w:eastAsia="宋体" w:cs="宋体"/>
                <w:bCs/>
                <w:sz w:val="24"/>
              </w:rPr>
              <w:t>副</w:t>
            </w:r>
            <w:r>
              <w:rPr>
                <w:rFonts w:hint="eastAsia" w:ascii="Times New Roman" w:hAnsi="Times New Roman" w:eastAsia="仿宋_GB2312" w:cs="Times New Roman"/>
                <w:bCs/>
                <w:sz w:val="24"/>
              </w:rPr>
              <w:t>主</w:t>
            </w:r>
            <w:r>
              <w:rPr>
                <w:rFonts w:hint="eastAsia" w:ascii="宋体" w:hAnsi="宋体" w:eastAsia="宋体" w:cs="宋体"/>
                <w:bCs/>
                <w:sz w:val="24"/>
              </w:rPr>
              <w:t>任医师，浙江大学医学院附属邵逸夫医院；</w:t>
            </w:r>
          </w:p>
          <w:p w14:paraId="346CB146">
            <w:pPr>
              <w:spacing w:line="440" w:lineRule="exact"/>
              <w:rPr>
                <w:rFonts w:hint="eastAsia" w:ascii="宋体" w:hAnsi="宋体" w:eastAsia="宋体" w:cs="宋体"/>
                <w:bCs/>
                <w:sz w:val="24"/>
              </w:rPr>
            </w:pPr>
            <w:r>
              <w:rPr>
                <w:rFonts w:hint="eastAsia" w:ascii="宋体" w:hAnsi="宋体" w:eastAsia="宋体" w:cs="宋体"/>
                <w:bCs/>
                <w:sz w:val="24"/>
              </w:rPr>
              <w:t>伍雪晴，</w:t>
            </w:r>
            <w:r>
              <w:rPr>
                <w:rFonts w:ascii="Times New Roman" w:hAnsi="Times New Roman" w:eastAsia="仿宋_GB2312" w:cs="Times New Roman"/>
                <w:bCs/>
                <w:sz w:val="24"/>
              </w:rPr>
              <w:t>排名11，</w:t>
            </w:r>
            <w:r>
              <w:rPr>
                <w:rFonts w:hint="eastAsia" w:ascii="宋体" w:hAnsi="宋体" w:eastAsia="宋体" w:cs="宋体"/>
                <w:bCs/>
                <w:sz w:val="24"/>
              </w:rPr>
              <w:t>助理研究员，浙江大学医学院附属邵逸夫医院；</w:t>
            </w:r>
          </w:p>
          <w:p w14:paraId="6AAA9A79">
            <w:pPr>
              <w:spacing w:line="440" w:lineRule="exact"/>
              <w:rPr>
                <w:rFonts w:hint="eastAsia" w:ascii="宋体" w:hAnsi="宋体" w:eastAsia="宋体" w:cs="宋体"/>
                <w:bCs/>
                <w:sz w:val="24"/>
              </w:rPr>
            </w:pPr>
            <w:r>
              <w:rPr>
                <w:rFonts w:hint="eastAsia" w:ascii="宋体" w:hAnsi="宋体" w:eastAsia="宋体" w:cs="宋体"/>
                <w:bCs/>
                <w:sz w:val="24"/>
              </w:rPr>
              <w:t>沈芳，</w:t>
            </w:r>
            <w:r>
              <w:rPr>
                <w:rFonts w:ascii="Times New Roman" w:hAnsi="Times New Roman" w:eastAsia="仿宋_GB2312" w:cs="Times New Roman"/>
                <w:bCs/>
                <w:sz w:val="24"/>
              </w:rPr>
              <w:t>排名12，</w:t>
            </w:r>
            <w:r>
              <w:rPr>
                <w:rFonts w:hint="eastAsia" w:ascii="宋体" w:hAnsi="宋体" w:eastAsia="宋体" w:cs="宋体"/>
                <w:bCs/>
                <w:sz w:val="24"/>
              </w:rPr>
              <w:t>副主任技师，绍兴第二医院；</w:t>
            </w:r>
          </w:p>
          <w:p w14:paraId="2B4946D6">
            <w:pPr>
              <w:spacing w:line="440" w:lineRule="exact"/>
              <w:rPr>
                <w:rFonts w:ascii="Times New Roman" w:hAnsi="Times New Roman" w:eastAsia="仿宋_GB2312" w:cs="Times New Roman"/>
                <w:bCs/>
                <w:sz w:val="24"/>
              </w:rPr>
            </w:pPr>
            <w:r>
              <w:rPr>
                <w:rFonts w:hint="eastAsia" w:ascii="宋体" w:hAnsi="宋体" w:eastAsia="宋体" w:cs="宋体"/>
                <w:bCs/>
                <w:sz w:val="24"/>
              </w:rPr>
              <w:t>杜小幸，</w:t>
            </w:r>
            <w:r>
              <w:rPr>
                <w:rFonts w:ascii="Times New Roman" w:hAnsi="Times New Roman" w:eastAsia="仿宋_GB2312" w:cs="Times New Roman"/>
                <w:bCs/>
                <w:sz w:val="24"/>
              </w:rPr>
              <w:t>排名13，</w:t>
            </w:r>
            <w:r>
              <w:rPr>
                <w:rFonts w:hint="eastAsia" w:ascii="Times New Roman" w:hAnsi="Times New Roman" w:eastAsia="仿宋_GB2312" w:cs="Times New Roman"/>
                <w:bCs/>
                <w:sz w:val="24"/>
              </w:rPr>
              <w:t>主任</w:t>
            </w:r>
            <w:r>
              <w:rPr>
                <w:rFonts w:hint="eastAsia" w:ascii="宋体" w:hAnsi="宋体" w:eastAsia="宋体" w:cs="宋体"/>
                <w:bCs/>
                <w:sz w:val="24"/>
              </w:rPr>
              <w:t>医师，浙江大学医学院附属邵逸夫医院。</w:t>
            </w:r>
          </w:p>
        </w:tc>
      </w:tr>
      <w:tr w14:paraId="791A8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2269" w:type="dxa"/>
            <w:tcBorders>
              <w:right w:val="single" w:color="auto" w:sz="4" w:space="0"/>
            </w:tcBorders>
            <w:vAlign w:val="center"/>
          </w:tcPr>
          <w:p w14:paraId="08494E88">
            <w:pPr>
              <w:spacing w:line="440" w:lineRule="exact"/>
              <w:jc w:val="center"/>
              <w:rPr>
                <w:rFonts w:ascii="Times New Roman" w:hAnsi="Times New Roman" w:eastAsia="仿宋" w:cs="Times New Roman"/>
                <w:bCs/>
                <w:sz w:val="24"/>
              </w:rPr>
            </w:pPr>
            <w:r>
              <w:rPr>
                <w:rFonts w:ascii="Times New Roman" w:hAnsi="Times New Roman" w:eastAsia="仿宋" w:cs="Times New Roman"/>
                <w:bCs/>
                <w:sz w:val="28"/>
              </w:rPr>
              <w:t>主要完成单位</w:t>
            </w:r>
          </w:p>
        </w:tc>
        <w:tc>
          <w:tcPr>
            <w:tcW w:w="6237" w:type="dxa"/>
            <w:tcBorders>
              <w:left w:val="single" w:color="auto" w:sz="4" w:space="0"/>
            </w:tcBorders>
            <w:vAlign w:val="center"/>
          </w:tcPr>
          <w:p w14:paraId="755FC5FA">
            <w:pPr>
              <w:spacing w:line="440" w:lineRule="exact"/>
              <w:jc w:val="left"/>
              <w:rPr>
                <w:rFonts w:ascii="Times New Roman" w:hAnsi="Times New Roman" w:eastAsia="仿宋_GB2312" w:cs="Times New Roman"/>
                <w:bCs/>
                <w:sz w:val="24"/>
              </w:rPr>
            </w:pPr>
            <w:r>
              <w:rPr>
                <w:rFonts w:ascii="Times New Roman" w:hAnsi="Times New Roman" w:eastAsia="仿宋_GB2312" w:cs="Times New Roman"/>
                <w:bCs/>
                <w:sz w:val="24"/>
              </w:rPr>
              <w:t>1.</w:t>
            </w:r>
            <w:r>
              <w:rPr>
                <w:rFonts w:hint="eastAsia" w:ascii="宋体" w:hAnsi="宋体" w:eastAsia="宋体" w:cs="宋体"/>
                <w:bCs/>
                <w:sz w:val="24"/>
              </w:rPr>
              <w:t>浙江大学医学院附属邵逸夫医院</w:t>
            </w:r>
            <w:r>
              <w:rPr>
                <w:rFonts w:hint="eastAsia" w:ascii="Times New Roman" w:hAnsi="Times New Roman" w:eastAsia="仿宋_GB2312" w:cs="Times New Roman"/>
                <w:bCs/>
                <w:sz w:val="24"/>
              </w:rPr>
              <w:t>；</w:t>
            </w:r>
          </w:p>
          <w:p w14:paraId="603E8B51">
            <w:pPr>
              <w:spacing w:line="440" w:lineRule="exact"/>
              <w:jc w:val="left"/>
              <w:rPr>
                <w:rFonts w:ascii="Times New Roman" w:hAnsi="Times New Roman" w:eastAsia="仿宋_GB2312" w:cs="Times New Roman"/>
                <w:bCs/>
                <w:sz w:val="24"/>
              </w:rPr>
            </w:pPr>
            <w:r>
              <w:rPr>
                <w:rFonts w:ascii="Times New Roman" w:hAnsi="Times New Roman" w:eastAsia="仿宋_GB2312" w:cs="Times New Roman"/>
                <w:bCs/>
                <w:sz w:val="24"/>
              </w:rPr>
              <w:t>2.</w:t>
            </w:r>
            <w:r>
              <w:rPr>
                <w:rFonts w:hint="eastAsia" w:ascii="宋体" w:hAnsi="宋体" w:eastAsia="宋体" w:cs="宋体"/>
                <w:bCs/>
                <w:sz w:val="24"/>
              </w:rPr>
              <w:t>领航基因科技（杭州）有限公司</w:t>
            </w:r>
            <w:r>
              <w:rPr>
                <w:rFonts w:ascii="Times New Roman" w:hAnsi="Times New Roman" w:eastAsia="仿宋_GB2312" w:cs="Times New Roman"/>
                <w:bCs/>
                <w:sz w:val="24"/>
              </w:rPr>
              <w:t>；</w:t>
            </w:r>
          </w:p>
          <w:p w14:paraId="5EA7D2A7">
            <w:pPr>
              <w:spacing w:line="440" w:lineRule="exact"/>
              <w:jc w:val="left"/>
              <w:rPr>
                <w:rFonts w:ascii="Times New Roman" w:hAnsi="Times New Roman" w:eastAsia="仿宋_GB2312" w:cs="Times New Roman"/>
                <w:bCs/>
                <w:sz w:val="24"/>
              </w:rPr>
            </w:pPr>
            <w:r>
              <w:rPr>
                <w:rFonts w:ascii="Times New Roman" w:hAnsi="Times New Roman" w:eastAsia="仿宋_GB2312" w:cs="Times New Roman"/>
                <w:bCs/>
                <w:sz w:val="24"/>
              </w:rPr>
              <w:t>3.</w:t>
            </w:r>
            <w:r>
              <w:rPr>
                <w:rFonts w:hint="eastAsia" w:ascii="宋体" w:hAnsi="宋体" w:eastAsia="宋体" w:cs="宋体"/>
                <w:bCs/>
                <w:sz w:val="24"/>
              </w:rPr>
              <w:t>浙江大学医学院附属第二医院</w:t>
            </w:r>
            <w:r>
              <w:rPr>
                <w:rFonts w:ascii="Times New Roman" w:hAnsi="Times New Roman" w:eastAsia="仿宋_GB2312" w:cs="Times New Roman"/>
                <w:bCs/>
                <w:sz w:val="24"/>
              </w:rPr>
              <w:t>；</w:t>
            </w:r>
          </w:p>
          <w:p w14:paraId="4B78155C">
            <w:pPr>
              <w:spacing w:line="440" w:lineRule="exact"/>
              <w:jc w:val="left"/>
              <w:rPr>
                <w:rFonts w:hint="eastAsia" w:ascii="宋体" w:hAnsi="宋体" w:eastAsia="宋体" w:cs="宋体"/>
                <w:bCs/>
                <w:sz w:val="24"/>
              </w:rPr>
            </w:pPr>
            <w:r>
              <w:rPr>
                <w:rFonts w:ascii="Times New Roman" w:hAnsi="Times New Roman" w:eastAsia="仿宋_GB2312" w:cs="Times New Roman"/>
                <w:bCs/>
                <w:sz w:val="24"/>
              </w:rPr>
              <w:t>4</w:t>
            </w:r>
            <w:r>
              <w:rPr>
                <w:rFonts w:hint="eastAsia" w:ascii="Cambria" w:hAnsi="Cambria" w:eastAsia="仿宋_GB2312" w:cs="Times New Roman"/>
                <w:bCs/>
                <w:sz w:val="24"/>
              </w:rPr>
              <w:t>.</w:t>
            </w:r>
            <w:r>
              <w:rPr>
                <w:rFonts w:hint="eastAsia" w:ascii="宋体" w:hAnsi="宋体" w:eastAsia="宋体" w:cs="宋体"/>
                <w:bCs/>
                <w:sz w:val="24"/>
              </w:rPr>
              <w:t>复旦大学附属华山医院；</w:t>
            </w:r>
          </w:p>
          <w:p w14:paraId="74D225D8">
            <w:pPr>
              <w:spacing w:line="440" w:lineRule="exact"/>
              <w:jc w:val="left"/>
              <w:rPr>
                <w:rFonts w:hint="eastAsia" w:ascii="宋体" w:hAnsi="宋体" w:eastAsia="宋体" w:cs="宋体"/>
                <w:bCs/>
                <w:sz w:val="24"/>
              </w:rPr>
            </w:pPr>
            <w:r>
              <w:rPr>
                <w:rFonts w:ascii="Times New Roman" w:hAnsi="Times New Roman" w:eastAsia="宋体" w:cs="Times New Roman"/>
                <w:bCs/>
                <w:sz w:val="24"/>
              </w:rPr>
              <w:t>5</w:t>
            </w:r>
            <w:r>
              <w:rPr>
                <w:rFonts w:hint="eastAsia" w:ascii="宋体" w:hAnsi="宋体" w:eastAsia="宋体" w:cs="宋体"/>
                <w:bCs/>
                <w:sz w:val="24"/>
              </w:rPr>
              <w:t>.浙江省人民医院；</w:t>
            </w:r>
          </w:p>
          <w:p w14:paraId="78D30A62">
            <w:pPr>
              <w:spacing w:line="440" w:lineRule="exact"/>
              <w:jc w:val="left"/>
              <w:rPr>
                <w:rFonts w:hint="eastAsia" w:ascii="宋体" w:hAnsi="宋体" w:eastAsia="宋体" w:cs="宋体"/>
                <w:bCs/>
                <w:sz w:val="24"/>
              </w:rPr>
            </w:pPr>
            <w:r>
              <w:rPr>
                <w:rFonts w:ascii="Times New Roman" w:hAnsi="Times New Roman" w:eastAsia="宋体" w:cs="Times New Roman"/>
                <w:bCs/>
                <w:sz w:val="24"/>
              </w:rPr>
              <w:t>6</w:t>
            </w:r>
            <w:r>
              <w:rPr>
                <w:rFonts w:hint="eastAsia" w:ascii="宋体" w:hAnsi="宋体" w:eastAsia="宋体" w:cs="宋体"/>
                <w:bCs/>
                <w:sz w:val="24"/>
              </w:rPr>
              <w:t>.</w:t>
            </w:r>
            <w:r>
              <w:rPr>
                <w:rFonts w:ascii="宋体" w:hAnsi="宋体" w:eastAsia="宋体" w:cs="宋体"/>
                <w:bCs/>
                <w:sz w:val="24"/>
              </w:rPr>
              <w:t>上海交通大学医学院附属瑞金医院</w:t>
            </w:r>
            <w:r>
              <w:rPr>
                <w:rFonts w:hint="eastAsia" w:ascii="宋体" w:hAnsi="宋体" w:eastAsia="宋体" w:cs="宋体"/>
                <w:bCs/>
                <w:sz w:val="24"/>
              </w:rPr>
              <w:t>；</w:t>
            </w:r>
          </w:p>
          <w:p w14:paraId="03C22F3E">
            <w:pPr>
              <w:spacing w:line="440" w:lineRule="exact"/>
              <w:jc w:val="left"/>
              <w:rPr>
                <w:rFonts w:ascii="Cambria" w:hAnsi="Cambria" w:eastAsia="仿宋_GB2312" w:cs="Times New Roman"/>
                <w:bCs/>
                <w:sz w:val="24"/>
              </w:rPr>
            </w:pPr>
            <w:r>
              <w:rPr>
                <w:rFonts w:ascii="Times New Roman" w:hAnsi="Times New Roman" w:eastAsia="宋体" w:cs="Times New Roman"/>
                <w:bCs/>
                <w:sz w:val="24"/>
              </w:rPr>
              <w:t>7</w:t>
            </w:r>
            <w:r>
              <w:rPr>
                <w:rFonts w:hint="eastAsia" w:ascii="宋体" w:hAnsi="宋体" w:eastAsia="宋体" w:cs="宋体"/>
                <w:bCs/>
                <w:sz w:val="24"/>
              </w:rPr>
              <w:t>.绍兴第二医院。</w:t>
            </w:r>
          </w:p>
        </w:tc>
      </w:tr>
      <w:tr w14:paraId="5FD72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269" w:type="dxa"/>
            <w:vAlign w:val="center"/>
          </w:tcPr>
          <w:p w14:paraId="6C6C6D03">
            <w:pPr>
              <w:jc w:val="center"/>
              <w:rPr>
                <w:rFonts w:ascii="Times New Roman" w:hAnsi="Times New Roman" w:eastAsia="仿宋_GB2312" w:cs="Times New Roman"/>
                <w:sz w:val="28"/>
                <w:szCs w:val="28"/>
              </w:rPr>
            </w:pPr>
            <w:r>
              <w:rPr>
                <w:rFonts w:ascii="Times New Roman" w:hAnsi="Times New Roman" w:eastAsia="仿宋_GB2312" w:cs="Times New Roman"/>
                <w:bCs/>
                <w:sz w:val="28"/>
                <w:szCs w:val="28"/>
              </w:rPr>
              <w:t>提名单位</w:t>
            </w:r>
          </w:p>
        </w:tc>
        <w:tc>
          <w:tcPr>
            <w:tcW w:w="6237" w:type="dxa"/>
            <w:vAlign w:val="center"/>
          </w:tcPr>
          <w:p w14:paraId="6C7417D6">
            <w:pPr>
              <w:contextualSpacing/>
              <w:jc w:val="center"/>
              <w:rPr>
                <w:rFonts w:ascii="Times New Roman" w:hAnsi="Times New Roman" w:eastAsia="宋体" w:cs="Times New Roman"/>
                <w:szCs w:val="20"/>
              </w:rPr>
            </w:pPr>
            <w:r>
              <w:rPr>
                <w:rFonts w:hint="eastAsia" w:ascii="宋体" w:hAnsi="宋体" w:eastAsia="宋体" w:cs="宋体"/>
                <w:bCs/>
                <w:sz w:val="24"/>
              </w:rPr>
              <w:t>浙江大学</w:t>
            </w:r>
          </w:p>
        </w:tc>
      </w:tr>
      <w:tr w14:paraId="34028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trPr>
        <w:tc>
          <w:tcPr>
            <w:tcW w:w="2269" w:type="dxa"/>
            <w:vAlign w:val="center"/>
          </w:tcPr>
          <w:p w14:paraId="6B75ACD8">
            <w:pPr>
              <w:jc w:val="center"/>
              <w:rPr>
                <w:rFonts w:ascii="Times New Roman" w:hAnsi="Times New Roman" w:eastAsia="仿宋_GB2312" w:cs="Times New Roman"/>
                <w:sz w:val="28"/>
                <w:szCs w:val="28"/>
              </w:rPr>
            </w:pPr>
            <w:r>
              <w:rPr>
                <w:rFonts w:ascii="Times New Roman" w:hAnsi="Times New Roman" w:eastAsia="仿宋_GB2312" w:cs="Times New Roman"/>
                <w:bCs/>
                <w:sz w:val="28"/>
                <w:szCs w:val="28"/>
              </w:rPr>
              <w:t>提名意见</w:t>
            </w:r>
          </w:p>
        </w:tc>
        <w:tc>
          <w:tcPr>
            <w:tcW w:w="6237" w:type="dxa"/>
            <w:vAlign w:val="center"/>
          </w:tcPr>
          <w:p w14:paraId="006276C8">
            <w:pPr>
              <w:spacing w:line="440" w:lineRule="exact"/>
              <w:ind w:firstLine="480" w:firstLineChars="200"/>
              <w:contextualSpacing/>
              <w:rPr>
                <w:rFonts w:ascii="Times New Roman" w:hAnsi="Times New Roman" w:eastAsia="宋体" w:cs="宋体"/>
                <w:bCs/>
                <w:sz w:val="24"/>
              </w:rPr>
            </w:pPr>
            <w:r>
              <w:rPr>
                <w:rFonts w:ascii="Times New Roman" w:hAnsi="Times New Roman" w:eastAsia="宋体" w:cs="宋体"/>
                <w:bCs/>
                <w:sz w:val="24"/>
              </w:rPr>
              <w:t xml:space="preserve"> “全自动数字PCR病原诊断系统研发及临床应用”项目围绕重大感染性疾病病原学快速精准诊断这一国家和社会迫切需求，突破了全自动数字PCR核心装备、超低丰度病原体及耐药基因快速检测技术，并构建了完整的数字PCR感染精准诊断技术体系，实现从核心装备、微流控芯片、配套试剂、智能分析软件到临床应用的全链条创新。项目技术指标达到国际先进水平，液滴生成速度快、均一性好、检测灵敏度高，PCR升降温速率和多通道荧光检测能力显著优于国内外同类产品，血样到结果周期缩短至2-3小时，为脓毒症及其他重大感染性疾病的精准诊疗提供了可靠技术支撑。成果已完成产业化推广，获得多项发明与实用新型专利及医疗器械注册证，实现进口替代，填补国内相关技术空白，累计产值和销售收入可观，并带动了相关产业链发展，具有显著的社会和经济效益。该项目充分体现了原创性、先进性、系统性和应用示范价值，具有突出的科技创新和推广应用能力，符合了浙江省科学技术进步奖一等奖的评审标准。</w:t>
            </w:r>
          </w:p>
          <w:p w14:paraId="151C81F8">
            <w:pPr>
              <w:spacing w:line="440" w:lineRule="exact"/>
              <w:ind w:firstLine="480" w:firstLineChars="200"/>
              <w:contextualSpacing/>
              <w:rPr>
                <w:rFonts w:ascii="Times New Roman" w:hAnsi="Times New Roman" w:eastAsia="宋体" w:cs="Times New Roman"/>
                <w:szCs w:val="20"/>
              </w:rPr>
            </w:pPr>
            <w:r>
              <w:rPr>
                <w:rFonts w:ascii="Times New Roman" w:hAnsi="Times New Roman" w:eastAsia="宋体" w:cs="宋体"/>
                <w:bCs/>
                <w:sz w:val="24"/>
              </w:rPr>
              <w:t>提名该成果为</w:t>
            </w:r>
            <w:r>
              <w:rPr>
                <w:rFonts w:hint="eastAsia" w:ascii="Times New Roman" w:hAnsi="Times New Roman" w:eastAsia="宋体" w:cs="宋体"/>
                <w:bCs/>
                <w:sz w:val="24"/>
              </w:rPr>
              <w:t>浙江</w:t>
            </w:r>
            <w:r>
              <w:rPr>
                <w:rFonts w:ascii="Times New Roman" w:hAnsi="Times New Roman" w:eastAsia="宋体" w:cs="宋体"/>
                <w:bCs/>
                <w:sz w:val="24"/>
              </w:rPr>
              <w:t>省科学技术进步奖一等奖。</w:t>
            </w:r>
          </w:p>
        </w:tc>
      </w:tr>
    </w:tbl>
    <w:p w14:paraId="02F7214C"/>
    <w:p w14:paraId="26666455"/>
    <w:p w14:paraId="14C901E1">
      <w:pPr>
        <w:widowControl/>
        <w:jc w:val="left"/>
      </w:pPr>
      <w:r>
        <w:br w:type="page"/>
      </w:r>
    </w:p>
    <w:p w14:paraId="26EE5A35">
      <w:pPr>
        <w:widowControl/>
        <w:jc w:val="center"/>
        <w:rPr>
          <w:rStyle w:val="11"/>
          <w:rFonts w:ascii="Times New Roman" w:hAnsi="Times New Roman" w:cs="Times New Roman"/>
          <w:color w:val="000000" w:themeColor="text1"/>
          <w:sz w:val="36"/>
          <w:szCs w:val="36"/>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12738658">
      <w:pPr>
        <w:widowControl/>
        <w:jc w:val="center"/>
        <w:rPr>
          <w:rStyle w:val="11"/>
          <w:rFonts w:ascii="Times New Roman" w:hAnsi="Times New Roman" w:eastAsia="仿宋_GB2312" w:cs="Times New Roman"/>
          <w:b w:val="0"/>
          <w:bCs w:val="0"/>
          <w:color w:val="000000" w:themeColor="text1"/>
          <w:sz w:val="32"/>
          <w:szCs w:val="32"/>
          <w14:textFill>
            <w14:solidFill>
              <w14:schemeClr w14:val="tx1"/>
            </w14:solidFill>
          </w14:textFill>
        </w:rPr>
      </w:pPr>
      <w:r>
        <w:rPr>
          <w:rStyle w:val="11"/>
          <w:rFonts w:ascii="Times New Roman" w:hAnsi="Times New Roman" w:cs="Times New Roman"/>
          <w:color w:val="000000" w:themeColor="text1"/>
          <w:sz w:val="36"/>
          <w:szCs w:val="36"/>
          <w14:textFill>
            <w14:solidFill>
              <w14:schemeClr w14:val="tx1"/>
            </w14:solidFill>
          </w14:textFill>
        </w:rPr>
        <w:t>附录</w:t>
      </w:r>
    </w:p>
    <w:p w14:paraId="74F59DE1">
      <w:pPr>
        <w:spacing w:line="360" w:lineRule="auto"/>
        <w:jc w:val="center"/>
        <w:rPr>
          <w:rFonts w:ascii="Times New Roman" w:hAnsi="Times New Roman" w:eastAsia="仿宋" w:cs="Times New Roman"/>
          <w:color w:val="000000" w:themeColor="text1"/>
          <w:sz w:val="32"/>
          <w:szCs w:val="22"/>
          <w14:textFill>
            <w14:solidFill>
              <w14:schemeClr w14:val="tx1"/>
            </w14:solidFill>
          </w14:textFill>
        </w:rPr>
      </w:pPr>
      <w:r>
        <w:rPr>
          <w:rFonts w:ascii="Times New Roman" w:hAnsi="Times New Roman" w:eastAsia="仿宋" w:cs="Times New Roman"/>
          <w:color w:val="000000" w:themeColor="text1"/>
          <w:sz w:val="32"/>
          <w:szCs w:val="22"/>
          <w14:textFill>
            <w14:solidFill>
              <w14:schemeClr w14:val="tx1"/>
            </w14:solidFill>
          </w14:textFill>
        </w:rPr>
        <w:t>主要知识产权和标准规范目录</w:t>
      </w:r>
    </w:p>
    <w:tbl>
      <w:tblPr>
        <w:tblStyle w:val="5"/>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2577"/>
        <w:gridCol w:w="992"/>
        <w:gridCol w:w="1655"/>
        <w:gridCol w:w="1213"/>
        <w:gridCol w:w="2462"/>
        <w:gridCol w:w="1843"/>
        <w:gridCol w:w="1559"/>
      </w:tblGrid>
      <w:tr w14:paraId="1D211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14:paraId="0DB6BE9F">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知识产权</w:t>
            </w:r>
          </w:p>
          <w:p w14:paraId="36BB933C">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（标准规范）类别</w:t>
            </w:r>
          </w:p>
        </w:tc>
        <w:tc>
          <w:tcPr>
            <w:tcW w:w="2577" w:type="dxa"/>
            <w:tcBorders>
              <w:top w:val="single" w:color="auto" w:sz="4" w:space="0"/>
              <w:left w:val="single" w:color="auto" w:sz="4" w:space="0"/>
              <w:bottom w:val="single" w:color="auto" w:sz="4" w:space="0"/>
              <w:right w:val="single" w:color="auto" w:sz="4" w:space="0"/>
            </w:tcBorders>
            <w:vAlign w:val="center"/>
          </w:tcPr>
          <w:p w14:paraId="550C247C">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知识产权（标准规范）具体名称</w:t>
            </w:r>
          </w:p>
        </w:tc>
        <w:tc>
          <w:tcPr>
            <w:tcW w:w="992" w:type="dxa"/>
            <w:tcBorders>
              <w:top w:val="single" w:color="auto" w:sz="4" w:space="0"/>
              <w:left w:val="single" w:color="auto" w:sz="4" w:space="0"/>
              <w:bottom w:val="single" w:color="auto" w:sz="4" w:space="0"/>
              <w:right w:val="single" w:color="auto" w:sz="4" w:space="0"/>
            </w:tcBorders>
            <w:vAlign w:val="center"/>
          </w:tcPr>
          <w:p w14:paraId="4DE09205">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国家</w:t>
            </w:r>
          </w:p>
          <w:p w14:paraId="3B4EB603">
            <w:pPr>
              <w:spacing w:line="360" w:lineRule="auto"/>
              <w:jc w:val="center"/>
              <w:rPr>
                <w:rFonts w:ascii="Times New Roman" w:hAnsi="Times New Roman" w:eastAsia="仿宋" w:cs="Times New Roman"/>
                <w:bCs/>
                <w:snapToGrid w:val="0"/>
                <w:color w:val="000000" w:themeColor="text1"/>
                <w:kern w:val="0"/>
                <w:sz w:val="24"/>
                <w14:textFill>
                  <w14:solidFill>
                    <w14:schemeClr w14:val="tx1"/>
                  </w14:solidFill>
                </w14:textFill>
              </w:rPr>
            </w:pPr>
            <w:r>
              <w:rPr>
                <w:rFonts w:ascii="Times New Roman" w:hAnsi="Times New Roman" w:eastAsia="仿宋" w:cs="Times New Roman"/>
                <w:bCs/>
                <w:snapToGrid w:val="0"/>
                <w:color w:val="000000" w:themeColor="text1"/>
                <w:kern w:val="0"/>
                <w:sz w:val="24"/>
                <w14:textFill>
                  <w14:solidFill>
                    <w14:schemeClr w14:val="tx1"/>
                  </w14:solidFill>
                </w14:textFill>
              </w:rPr>
              <w:t>（地区）</w:t>
            </w:r>
          </w:p>
        </w:tc>
        <w:tc>
          <w:tcPr>
            <w:tcW w:w="1655" w:type="dxa"/>
            <w:tcBorders>
              <w:top w:val="single" w:color="auto" w:sz="4" w:space="0"/>
              <w:left w:val="single" w:color="auto" w:sz="4" w:space="0"/>
              <w:bottom w:val="single" w:color="auto" w:sz="4" w:space="0"/>
              <w:right w:val="single" w:color="auto" w:sz="4" w:space="0"/>
            </w:tcBorders>
            <w:vAlign w:val="center"/>
          </w:tcPr>
          <w:p w14:paraId="55A97604">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授权号</w:t>
            </w:r>
          </w:p>
          <w:p w14:paraId="61216AFE">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（标准规范编号）</w:t>
            </w:r>
          </w:p>
        </w:tc>
        <w:tc>
          <w:tcPr>
            <w:tcW w:w="1213" w:type="dxa"/>
            <w:tcBorders>
              <w:top w:val="single" w:color="auto" w:sz="4" w:space="0"/>
              <w:left w:val="single" w:color="auto" w:sz="4" w:space="0"/>
              <w:bottom w:val="single" w:color="auto" w:sz="4" w:space="0"/>
              <w:right w:val="single" w:color="auto" w:sz="4" w:space="0"/>
            </w:tcBorders>
          </w:tcPr>
          <w:p w14:paraId="5A126F8F">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授权</w:t>
            </w:r>
          </w:p>
          <w:p w14:paraId="104EA043">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（标准发布）</w:t>
            </w:r>
          </w:p>
          <w:p w14:paraId="3366DF9D">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日期</w:t>
            </w:r>
          </w:p>
        </w:tc>
        <w:tc>
          <w:tcPr>
            <w:tcW w:w="2462" w:type="dxa"/>
            <w:tcBorders>
              <w:top w:val="single" w:color="auto" w:sz="4" w:space="0"/>
              <w:left w:val="single" w:color="auto" w:sz="4" w:space="0"/>
              <w:bottom w:val="single" w:color="auto" w:sz="4" w:space="0"/>
              <w:right w:val="single" w:color="auto" w:sz="4" w:space="0"/>
            </w:tcBorders>
            <w:vAlign w:val="center"/>
          </w:tcPr>
          <w:p w14:paraId="0DE4F05A">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权利人（标准规范起草单位）</w:t>
            </w:r>
          </w:p>
        </w:tc>
        <w:tc>
          <w:tcPr>
            <w:tcW w:w="1843" w:type="dxa"/>
            <w:tcBorders>
              <w:top w:val="single" w:color="auto" w:sz="4" w:space="0"/>
              <w:left w:val="single" w:color="auto" w:sz="4" w:space="0"/>
              <w:bottom w:val="single" w:color="auto" w:sz="4" w:space="0"/>
              <w:right w:val="single" w:color="auto" w:sz="4" w:space="0"/>
            </w:tcBorders>
            <w:vAlign w:val="center"/>
          </w:tcPr>
          <w:p w14:paraId="22E55D8D">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发明人（标准规范起草人）</w:t>
            </w:r>
          </w:p>
        </w:tc>
        <w:tc>
          <w:tcPr>
            <w:tcW w:w="1559" w:type="dxa"/>
            <w:tcBorders>
              <w:top w:val="single" w:color="auto" w:sz="4" w:space="0"/>
              <w:left w:val="single" w:color="auto" w:sz="4" w:space="0"/>
              <w:bottom w:val="single" w:color="auto" w:sz="4" w:space="0"/>
              <w:right w:val="single" w:color="auto" w:sz="4" w:space="0"/>
            </w:tcBorders>
            <w:vAlign w:val="center"/>
          </w:tcPr>
          <w:p w14:paraId="5442AE2F">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发明专利（标准规范）有效状态</w:t>
            </w:r>
          </w:p>
        </w:tc>
      </w:tr>
      <w:tr w14:paraId="3BD3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189F855E">
            <w:pPr>
              <w:spacing w:line="360" w:lineRule="auto"/>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授权发明专利</w:t>
            </w:r>
          </w:p>
        </w:tc>
        <w:tc>
          <w:tcPr>
            <w:tcW w:w="2577" w:type="dxa"/>
            <w:tcBorders>
              <w:top w:val="single" w:color="auto" w:sz="4" w:space="0"/>
              <w:left w:val="single" w:color="auto" w:sz="4" w:space="0"/>
              <w:bottom w:val="single" w:color="auto" w:sz="4" w:space="0"/>
              <w:right w:val="single" w:color="auto" w:sz="4" w:space="0"/>
            </w:tcBorders>
          </w:tcPr>
          <w:p w14:paraId="3ACC14B5">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一种微滴式数字PCR高浓度检测方法</w:t>
            </w:r>
          </w:p>
        </w:tc>
        <w:tc>
          <w:tcPr>
            <w:tcW w:w="992" w:type="dxa"/>
            <w:tcBorders>
              <w:top w:val="single" w:color="auto" w:sz="4" w:space="0"/>
              <w:left w:val="single" w:color="auto" w:sz="4" w:space="0"/>
              <w:bottom w:val="single" w:color="auto" w:sz="4" w:space="0"/>
              <w:right w:val="single" w:color="auto" w:sz="4" w:space="0"/>
            </w:tcBorders>
          </w:tcPr>
          <w:p w14:paraId="42432804">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中国</w:t>
            </w:r>
          </w:p>
        </w:tc>
        <w:tc>
          <w:tcPr>
            <w:tcW w:w="1655" w:type="dxa"/>
            <w:tcBorders>
              <w:top w:val="single" w:color="auto" w:sz="4" w:space="0"/>
              <w:left w:val="single" w:color="auto" w:sz="4" w:space="0"/>
              <w:bottom w:val="single" w:color="auto" w:sz="4" w:space="0"/>
              <w:right w:val="single" w:color="auto" w:sz="4" w:space="0"/>
            </w:tcBorders>
          </w:tcPr>
          <w:p w14:paraId="2562E723">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CN2021113202656</w:t>
            </w:r>
          </w:p>
        </w:tc>
        <w:tc>
          <w:tcPr>
            <w:tcW w:w="1213" w:type="dxa"/>
            <w:tcBorders>
              <w:top w:val="single" w:color="auto" w:sz="4" w:space="0"/>
              <w:left w:val="single" w:color="auto" w:sz="4" w:space="0"/>
              <w:bottom w:val="single" w:color="auto" w:sz="4" w:space="0"/>
              <w:right w:val="single" w:color="auto" w:sz="4" w:space="0"/>
            </w:tcBorders>
          </w:tcPr>
          <w:p w14:paraId="5E4A00B4">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2021.11.9.</w:t>
            </w:r>
          </w:p>
        </w:tc>
        <w:tc>
          <w:tcPr>
            <w:tcW w:w="2462" w:type="dxa"/>
            <w:tcBorders>
              <w:top w:val="single" w:color="auto" w:sz="4" w:space="0"/>
              <w:left w:val="single" w:color="auto" w:sz="4" w:space="0"/>
              <w:bottom w:val="single" w:color="auto" w:sz="4" w:space="0"/>
              <w:right w:val="single" w:color="auto" w:sz="4" w:space="0"/>
            </w:tcBorders>
          </w:tcPr>
          <w:p w14:paraId="110F7586">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领航基因科技（杭州）有限公司</w:t>
            </w:r>
          </w:p>
        </w:tc>
        <w:tc>
          <w:tcPr>
            <w:tcW w:w="1843" w:type="dxa"/>
            <w:tcBorders>
              <w:top w:val="single" w:color="auto" w:sz="4" w:space="0"/>
              <w:left w:val="single" w:color="auto" w:sz="4" w:space="0"/>
              <w:bottom w:val="single" w:color="auto" w:sz="4" w:space="0"/>
              <w:right w:val="single" w:color="auto" w:sz="4" w:space="0"/>
            </w:tcBorders>
          </w:tcPr>
          <w:p w14:paraId="191C55AC">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夏江;高鹏</w:t>
            </w:r>
          </w:p>
        </w:tc>
        <w:tc>
          <w:tcPr>
            <w:tcW w:w="1559" w:type="dxa"/>
            <w:tcBorders>
              <w:top w:val="single" w:color="auto" w:sz="4" w:space="0"/>
              <w:left w:val="single" w:color="auto" w:sz="4" w:space="0"/>
              <w:bottom w:val="single" w:color="auto" w:sz="4" w:space="0"/>
              <w:right w:val="single" w:color="auto" w:sz="4" w:space="0"/>
            </w:tcBorders>
          </w:tcPr>
          <w:p w14:paraId="6F0F5F9A">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有效</w:t>
            </w:r>
          </w:p>
        </w:tc>
      </w:tr>
      <w:tr w14:paraId="7B790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3FA23B3E">
            <w:pPr>
              <w:spacing w:line="360" w:lineRule="auto"/>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授权发明专利</w:t>
            </w:r>
          </w:p>
        </w:tc>
        <w:tc>
          <w:tcPr>
            <w:tcW w:w="2577" w:type="dxa"/>
            <w:tcBorders>
              <w:top w:val="single" w:color="auto" w:sz="4" w:space="0"/>
              <w:left w:val="single" w:color="auto" w:sz="4" w:space="0"/>
              <w:bottom w:val="single" w:color="auto" w:sz="4" w:space="0"/>
              <w:right w:val="single" w:color="auto" w:sz="4" w:space="0"/>
            </w:tcBorders>
          </w:tcPr>
          <w:p w14:paraId="4DC79EFA">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一种微孔阵列芯片的数字PCR实时分析方法</w:t>
            </w:r>
          </w:p>
        </w:tc>
        <w:tc>
          <w:tcPr>
            <w:tcW w:w="992" w:type="dxa"/>
            <w:tcBorders>
              <w:top w:val="single" w:color="auto" w:sz="4" w:space="0"/>
              <w:left w:val="single" w:color="auto" w:sz="4" w:space="0"/>
              <w:bottom w:val="single" w:color="auto" w:sz="4" w:space="0"/>
              <w:right w:val="single" w:color="auto" w:sz="4" w:space="0"/>
            </w:tcBorders>
          </w:tcPr>
          <w:p w14:paraId="7E2AB468">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中国</w:t>
            </w:r>
          </w:p>
        </w:tc>
        <w:tc>
          <w:tcPr>
            <w:tcW w:w="1655" w:type="dxa"/>
            <w:tcBorders>
              <w:top w:val="single" w:color="auto" w:sz="4" w:space="0"/>
              <w:left w:val="single" w:color="auto" w:sz="4" w:space="0"/>
              <w:bottom w:val="single" w:color="auto" w:sz="4" w:space="0"/>
              <w:right w:val="single" w:color="auto" w:sz="4" w:space="0"/>
            </w:tcBorders>
          </w:tcPr>
          <w:p w14:paraId="475806F2">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CN2021111457913</w:t>
            </w:r>
          </w:p>
        </w:tc>
        <w:tc>
          <w:tcPr>
            <w:tcW w:w="1213" w:type="dxa"/>
            <w:tcBorders>
              <w:top w:val="single" w:color="auto" w:sz="4" w:space="0"/>
              <w:left w:val="single" w:color="auto" w:sz="4" w:space="0"/>
              <w:bottom w:val="single" w:color="auto" w:sz="4" w:space="0"/>
              <w:right w:val="single" w:color="auto" w:sz="4" w:space="0"/>
            </w:tcBorders>
          </w:tcPr>
          <w:p w14:paraId="170F53D9">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2021.9.28.</w:t>
            </w:r>
          </w:p>
        </w:tc>
        <w:tc>
          <w:tcPr>
            <w:tcW w:w="2462" w:type="dxa"/>
            <w:tcBorders>
              <w:top w:val="single" w:color="auto" w:sz="4" w:space="0"/>
              <w:left w:val="single" w:color="auto" w:sz="4" w:space="0"/>
              <w:bottom w:val="single" w:color="auto" w:sz="4" w:space="0"/>
              <w:right w:val="single" w:color="auto" w:sz="4" w:space="0"/>
            </w:tcBorders>
          </w:tcPr>
          <w:p w14:paraId="0B78309B">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领航基因科技（杭州）有限公司</w:t>
            </w:r>
          </w:p>
        </w:tc>
        <w:tc>
          <w:tcPr>
            <w:tcW w:w="1843" w:type="dxa"/>
            <w:tcBorders>
              <w:top w:val="single" w:color="auto" w:sz="4" w:space="0"/>
              <w:left w:val="single" w:color="auto" w:sz="4" w:space="0"/>
              <w:bottom w:val="single" w:color="auto" w:sz="4" w:space="0"/>
              <w:right w:val="single" w:color="auto" w:sz="4" w:space="0"/>
            </w:tcBorders>
          </w:tcPr>
          <w:p w14:paraId="1CED5445">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夏江;高鹏</w:t>
            </w:r>
          </w:p>
        </w:tc>
        <w:tc>
          <w:tcPr>
            <w:tcW w:w="1559" w:type="dxa"/>
            <w:tcBorders>
              <w:top w:val="single" w:color="auto" w:sz="4" w:space="0"/>
              <w:left w:val="single" w:color="auto" w:sz="4" w:space="0"/>
              <w:bottom w:val="single" w:color="auto" w:sz="4" w:space="0"/>
              <w:right w:val="single" w:color="auto" w:sz="4" w:space="0"/>
            </w:tcBorders>
          </w:tcPr>
          <w:p w14:paraId="57C6AA1D">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有效</w:t>
            </w:r>
          </w:p>
        </w:tc>
      </w:tr>
      <w:tr w14:paraId="636C8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6DE44EC6">
            <w:pPr>
              <w:spacing w:line="360" w:lineRule="auto"/>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授权发明专利</w:t>
            </w:r>
          </w:p>
        </w:tc>
        <w:tc>
          <w:tcPr>
            <w:tcW w:w="2577" w:type="dxa"/>
            <w:tcBorders>
              <w:top w:val="single" w:color="auto" w:sz="4" w:space="0"/>
              <w:left w:val="single" w:color="auto" w:sz="4" w:space="0"/>
              <w:bottom w:val="single" w:color="auto" w:sz="4" w:space="0"/>
              <w:right w:val="single" w:color="auto" w:sz="4" w:space="0"/>
            </w:tcBorders>
          </w:tcPr>
          <w:p w14:paraId="6AAEE701">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7种耐药基因多重PCR检测的引物、探针及其试剂盒</w:t>
            </w:r>
          </w:p>
        </w:tc>
        <w:tc>
          <w:tcPr>
            <w:tcW w:w="992" w:type="dxa"/>
            <w:tcBorders>
              <w:top w:val="single" w:color="auto" w:sz="4" w:space="0"/>
              <w:left w:val="single" w:color="auto" w:sz="4" w:space="0"/>
              <w:bottom w:val="single" w:color="auto" w:sz="4" w:space="0"/>
              <w:right w:val="single" w:color="auto" w:sz="4" w:space="0"/>
            </w:tcBorders>
          </w:tcPr>
          <w:p w14:paraId="52E112EA">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中国</w:t>
            </w:r>
          </w:p>
        </w:tc>
        <w:tc>
          <w:tcPr>
            <w:tcW w:w="1655" w:type="dxa"/>
            <w:tcBorders>
              <w:top w:val="single" w:color="auto" w:sz="4" w:space="0"/>
              <w:left w:val="single" w:color="auto" w:sz="4" w:space="0"/>
              <w:bottom w:val="single" w:color="auto" w:sz="4" w:space="0"/>
              <w:right w:val="single" w:color="auto" w:sz="4" w:space="0"/>
            </w:tcBorders>
          </w:tcPr>
          <w:p w14:paraId="1F9F7706">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CN2021107059839</w:t>
            </w:r>
          </w:p>
        </w:tc>
        <w:tc>
          <w:tcPr>
            <w:tcW w:w="1213" w:type="dxa"/>
            <w:tcBorders>
              <w:top w:val="single" w:color="auto" w:sz="4" w:space="0"/>
              <w:left w:val="single" w:color="auto" w:sz="4" w:space="0"/>
              <w:bottom w:val="single" w:color="auto" w:sz="4" w:space="0"/>
              <w:right w:val="single" w:color="auto" w:sz="4" w:space="0"/>
            </w:tcBorders>
          </w:tcPr>
          <w:p w14:paraId="43A5D6C1">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2021.6.24.</w:t>
            </w:r>
          </w:p>
        </w:tc>
        <w:tc>
          <w:tcPr>
            <w:tcW w:w="2462" w:type="dxa"/>
            <w:tcBorders>
              <w:top w:val="single" w:color="auto" w:sz="4" w:space="0"/>
              <w:left w:val="single" w:color="auto" w:sz="4" w:space="0"/>
              <w:bottom w:val="single" w:color="auto" w:sz="4" w:space="0"/>
              <w:right w:val="single" w:color="auto" w:sz="4" w:space="0"/>
            </w:tcBorders>
          </w:tcPr>
          <w:p w14:paraId="621421B8">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领航基因科技（杭州）有限公司</w:t>
            </w:r>
          </w:p>
        </w:tc>
        <w:tc>
          <w:tcPr>
            <w:tcW w:w="1843" w:type="dxa"/>
            <w:tcBorders>
              <w:top w:val="single" w:color="auto" w:sz="4" w:space="0"/>
              <w:left w:val="single" w:color="auto" w:sz="4" w:space="0"/>
              <w:bottom w:val="single" w:color="auto" w:sz="4" w:space="0"/>
              <w:right w:val="single" w:color="auto" w:sz="4" w:space="0"/>
            </w:tcBorders>
          </w:tcPr>
          <w:p w14:paraId="395E688F">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夏江;</w:t>
            </w:r>
            <w:r>
              <w:rPr>
                <w:rFonts w:hint="eastAsia" w:ascii="Times New Roman" w:hAnsi="Times New Roman" w:eastAsia="仿宋" w:cs="Times New Roman"/>
                <w:color w:val="000000" w:themeColor="text1"/>
                <w:sz w:val="24"/>
                <w14:textFill>
                  <w14:solidFill>
                    <w14:schemeClr w14:val="tx1"/>
                  </w14:solidFill>
                </w14:textFill>
              </w:rPr>
              <w:t>宋小慧</w:t>
            </w:r>
          </w:p>
        </w:tc>
        <w:tc>
          <w:tcPr>
            <w:tcW w:w="1559" w:type="dxa"/>
            <w:tcBorders>
              <w:top w:val="single" w:color="auto" w:sz="4" w:space="0"/>
              <w:left w:val="single" w:color="auto" w:sz="4" w:space="0"/>
              <w:bottom w:val="single" w:color="auto" w:sz="4" w:space="0"/>
              <w:right w:val="single" w:color="auto" w:sz="4" w:space="0"/>
            </w:tcBorders>
          </w:tcPr>
          <w:p w14:paraId="75DE122F">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有效</w:t>
            </w:r>
          </w:p>
        </w:tc>
      </w:tr>
      <w:tr w14:paraId="4F08F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79E15702">
            <w:pPr>
              <w:spacing w:line="360" w:lineRule="auto"/>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授权发明专利</w:t>
            </w:r>
          </w:p>
        </w:tc>
        <w:tc>
          <w:tcPr>
            <w:tcW w:w="2577" w:type="dxa"/>
            <w:tcBorders>
              <w:top w:val="single" w:color="auto" w:sz="4" w:space="0"/>
              <w:left w:val="single" w:color="auto" w:sz="4" w:space="0"/>
              <w:bottom w:val="single" w:color="auto" w:sz="4" w:space="0"/>
              <w:right w:val="single" w:color="auto" w:sz="4" w:space="0"/>
            </w:tcBorders>
          </w:tcPr>
          <w:p w14:paraId="54D3DA24">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Universal probe, primer-probe set and kit</w:t>
            </w:r>
          </w:p>
        </w:tc>
        <w:tc>
          <w:tcPr>
            <w:tcW w:w="992" w:type="dxa"/>
            <w:tcBorders>
              <w:top w:val="single" w:color="auto" w:sz="4" w:space="0"/>
              <w:left w:val="single" w:color="auto" w:sz="4" w:space="0"/>
              <w:bottom w:val="single" w:color="auto" w:sz="4" w:space="0"/>
              <w:right w:val="single" w:color="auto" w:sz="4" w:space="0"/>
            </w:tcBorders>
          </w:tcPr>
          <w:p w14:paraId="5E647F01">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美国</w:t>
            </w:r>
          </w:p>
        </w:tc>
        <w:tc>
          <w:tcPr>
            <w:tcW w:w="1655" w:type="dxa"/>
            <w:tcBorders>
              <w:top w:val="single" w:color="auto" w:sz="4" w:space="0"/>
              <w:left w:val="single" w:color="auto" w:sz="4" w:space="0"/>
              <w:bottom w:val="single" w:color="auto" w:sz="4" w:space="0"/>
              <w:right w:val="single" w:color="auto" w:sz="4" w:space="0"/>
            </w:tcBorders>
          </w:tcPr>
          <w:p w14:paraId="506920BB">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US11987850B2</w:t>
            </w:r>
          </w:p>
        </w:tc>
        <w:tc>
          <w:tcPr>
            <w:tcW w:w="1213" w:type="dxa"/>
            <w:tcBorders>
              <w:top w:val="single" w:color="auto" w:sz="4" w:space="0"/>
              <w:left w:val="single" w:color="auto" w:sz="4" w:space="0"/>
              <w:bottom w:val="single" w:color="auto" w:sz="4" w:space="0"/>
              <w:right w:val="single" w:color="auto" w:sz="4" w:space="0"/>
            </w:tcBorders>
          </w:tcPr>
          <w:p w14:paraId="6C1977D4">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2023.5.31.</w:t>
            </w:r>
          </w:p>
        </w:tc>
        <w:tc>
          <w:tcPr>
            <w:tcW w:w="2462" w:type="dxa"/>
            <w:tcBorders>
              <w:top w:val="single" w:color="auto" w:sz="4" w:space="0"/>
              <w:left w:val="single" w:color="auto" w:sz="4" w:space="0"/>
              <w:bottom w:val="single" w:color="auto" w:sz="4" w:space="0"/>
              <w:right w:val="single" w:color="auto" w:sz="4" w:space="0"/>
            </w:tcBorders>
          </w:tcPr>
          <w:p w14:paraId="12C134ED">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PILOT GENE TECHNOLOGY (HANGZHOU) CO., LTD.</w:t>
            </w:r>
          </w:p>
        </w:tc>
        <w:tc>
          <w:tcPr>
            <w:tcW w:w="1843" w:type="dxa"/>
            <w:tcBorders>
              <w:top w:val="single" w:color="auto" w:sz="4" w:space="0"/>
              <w:left w:val="single" w:color="auto" w:sz="4" w:space="0"/>
              <w:bottom w:val="single" w:color="auto" w:sz="4" w:space="0"/>
              <w:right w:val="single" w:color="auto" w:sz="4" w:space="0"/>
            </w:tcBorders>
          </w:tcPr>
          <w:p w14:paraId="191834FA">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XIA, JIANG | YU, HAO</w:t>
            </w:r>
          </w:p>
        </w:tc>
        <w:tc>
          <w:tcPr>
            <w:tcW w:w="1559" w:type="dxa"/>
            <w:tcBorders>
              <w:top w:val="single" w:color="auto" w:sz="4" w:space="0"/>
              <w:left w:val="single" w:color="auto" w:sz="4" w:space="0"/>
              <w:bottom w:val="single" w:color="auto" w:sz="4" w:space="0"/>
              <w:right w:val="single" w:color="auto" w:sz="4" w:space="0"/>
            </w:tcBorders>
          </w:tcPr>
          <w:p w14:paraId="50B51C3B">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有效</w:t>
            </w:r>
          </w:p>
        </w:tc>
      </w:tr>
      <w:tr w14:paraId="1EF56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7AA45D58">
            <w:pPr>
              <w:spacing w:line="360" w:lineRule="auto"/>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授权发明专利</w:t>
            </w:r>
          </w:p>
        </w:tc>
        <w:tc>
          <w:tcPr>
            <w:tcW w:w="2577" w:type="dxa"/>
            <w:tcBorders>
              <w:top w:val="single" w:color="auto" w:sz="4" w:space="0"/>
              <w:left w:val="single" w:color="auto" w:sz="4" w:space="0"/>
              <w:bottom w:val="single" w:color="auto" w:sz="4" w:space="0"/>
              <w:right w:val="single" w:color="auto" w:sz="4" w:space="0"/>
            </w:tcBorders>
          </w:tcPr>
          <w:p w14:paraId="0E9DF26E">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Drop preparation device and drop preparation method</w:t>
            </w:r>
          </w:p>
        </w:tc>
        <w:tc>
          <w:tcPr>
            <w:tcW w:w="992" w:type="dxa"/>
            <w:tcBorders>
              <w:top w:val="single" w:color="auto" w:sz="4" w:space="0"/>
              <w:left w:val="single" w:color="auto" w:sz="4" w:space="0"/>
              <w:bottom w:val="single" w:color="auto" w:sz="4" w:space="0"/>
              <w:right w:val="single" w:color="auto" w:sz="4" w:space="0"/>
            </w:tcBorders>
          </w:tcPr>
          <w:p w14:paraId="5C6A2A5E">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美国</w:t>
            </w:r>
          </w:p>
        </w:tc>
        <w:tc>
          <w:tcPr>
            <w:tcW w:w="1655" w:type="dxa"/>
            <w:tcBorders>
              <w:top w:val="single" w:color="auto" w:sz="4" w:space="0"/>
              <w:left w:val="single" w:color="auto" w:sz="4" w:space="0"/>
              <w:bottom w:val="single" w:color="auto" w:sz="4" w:space="0"/>
              <w:right w:val="single" w:color="auto" w:sz="4" w:space="0"/>
            </w:tcBorders>
          </w:tcPr>
          <w:p w14:paraId="6FE85221">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US11964271B2</w:t>
            </w:r>
          </w:p>
        </w:tc>
        <w:tc>
          <w:tcPr>
            <w:tcW w:w="1213" w:type="dxa"/>
            <w:tcBorders>
              <w:top w:val="single" w:color="auto" w:sz="4" w:space="0"/>
              <w:left w:val="single" w:color="auto" w:sz="4" w:space="0"/>
              <w:bottom w:val="single" w:color="auto" w:sz="4" w:space="0"/>
              <w:right w:val="single" w:color="auto" w:sz="4" w:space="0"/>
            </w:tcBorders>
          </w:tcPr>
          <w:p w14:paraId="3EA3B11A">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2023.5.15.</w:t>
            </w:r>
          </w:p>
        </w:tc>
        <w:tc>
          <w:tcPr>
            <w:tcW w:w="2462" w:type="dxa"/>
            <w:tcBorders>
              <w:top w:val="single" w:color="auto" w:sz="4" w:space="0"/>
              <w:left w:val="single" w:color="auto" w:sz="4" w:space="0"/>
              <w:bottom w:val="single" w:color="auto" w:sz="4" w:space="0"/>
              <w:right w:val="single" w:color="auto" w:sz="4" w:space="0"/>
            </w:tcBorders>
          </w:tcPr>
          <w:p w14:paraId="03302467">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PILOT GENE TECHNOLOGY (HANGZHOU) CO., LTD.</w:t>
            </w:r>
          </w:p>
        </w:tc>
        <w:tc>
          <w:tcPr>
            <w:tcW w:w="1843" w:type="dxa"/>
            <w:tcBorders>
              <w:top w:val="single" w:color="auto" w:sz="4" w:space="0"/>
              <w:left w:val="single" w:color="auto" w:sz="4" w:space="0"/>
              <w:bottom w:val="single" w:color="auto" w:sz="4" w:space="0"/>
              <w:right w:val="single" w:color="auto" w:sz="4" w:space="0"/>
            </w:tcBorders>
          </w:tcPr>
          <w:p w14:paraId="68F13C70">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XIA, JIANG | WANG, ZHUHAI</w:t>
            </w:r>
          </w:p>
        </w:tc>
        <w:tc>
          <w:tcPr>
            <w:tcW w:w="1559" w:type="dxa"/>
            <w:tcBorders>
              <w:top w:val="single" w:color="auto" w:sz="4" w:space="0"/>
              <w:left w:val="single" w:color="auto" w:sz="4" w:space="0"/>
              <w:bottom w:val="single" w:color="auto" w:sz="4" w:space="0"/>
              <w:right w:val="single" w:color="auto" w:sz="4" w:space="0"/>
            </w:tcBorders>
          </w:tcPr>
          <w:p w14:paraId="09A8774D">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有效</w:t>
            </w:r>
          </w:p>
        </w:tc>
      </w:tr>
    </w:tbl>
    <w:p w14:paraId="555A5120">
      <w:pPr>
        <w:spacing w:line="360" w:lineRule="auto"/>
        <w:rPr>
          <w:rFonts w:ascii="Times New Roman" w:hAnsi="Times New Roman" w:eastAsia="仿宋" w:cs="Times New Roman"/>
          <w:color w:val="000000" w:themeColor="text1"/>
          <w:sz w:val="32"/>
          <w:szCs w:val="32"/>
          <w14:textFill>
            <w14:solidFill>
              <w14:schemeClr w14:val="tx1"/>
            </w14:solidFill>
          </w14:textFill>
        </w:rPr>
        <w:sectPr>
          <w:pgSz w:w="16838" w:h="11906" w:orient="landscape"/>
          <w:pgMar w:top="1800" w:right="1440" w:bottom="1800" w:left="1440" w:header="851" w:footer="992" w:gutter="0"/>
          <w:cols w:space="425" w:num="1"/>
          <w:docGrid w:type="lines" w:linePitch="312" w:charSpace="0"/>
        </w:sectPr>
      </w:pPr>
    </w:p>
    <w:p w14:paraId="04E720C7">
      <w:pPr>
        <w:pStyle w:val="2"/>
        <w:spacing w:line="360" w:lineRule="auto"/>
        <w:jc w:val="center"/>
        <w:rPr>
          <w:rFonts w:eastAsia="仿宋"/>
          <w:color w:val="000000" w:themeColor="text1"/>
          <w:sz w:val="32"/>
          <w:szCs w:val="22"/>
          <w14:textFill>
            <w14:solidFill>
              <w14:schemeClr w14:val="tx1"/>
            </w14:solidFill>
          </w14:textFill>
        </w:rPr>
      </w:pPr>
      <w:r>
        <w:rPr>
          <w:rFonts w:hint="eastAsia" w:eastAsia="仿宋"/>
          <w:color w:val="000000" w:themeColor="text1"/>
          <w:sz w:val="32"/>
          <w:szCs w:val="22"/>
          <w14:textFill>
            <w14:solidFill>
              <w14:schemeClr w14:val="tx1"/>
            </w14:solidFill>
          </w14:textFill>
        </w:rPr>
        <w:t>代表性论文专著目录</w:t>
      </w:r>
    </w:p>
    <w:tbl>
      <w:tblPr>
        <w:tblStyle w:val="5"/>
        <w:tblW w:w="80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528"/>
        <w:gridCol w:w="3443"/>
        <w:gridCol w:w="1084"/>
        <w:gridCol w:w="992"/>
      </w:tblGrid>
      <w:tr w14:paraId="7CE83A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55" w:hRule="exact"/>
          <w:jc w:val="center"/>
        </w:trPr>
        <w:tc>
          <w:tcPr>
            <w:tcW w:w="2528" w:type="dxa"/>
            <w:tcBorders>
              <w:top w:val="single" w:color="auto" w:sz="12" w:space="0"/>
              <w:left w:val="single" w:color="auto" w:sz="12" w:space="0"/>
              <w:bottom w:val="single" w:color="auto" w:sz="6" w:space="0"/>
              <w:right w:val="single" w:color="auto" w:sz="6" w:space="0"/>
            </w:tcBorders>
            <w:vAlign w:val="center"/>
          </w:tcPr>
          <w:p w14:paraId="31E13834">
            <w:pPr>
              <w:spacing w:line="360" w:lineRule="auto"/>
              <w:jc w:val="center"/>
              <w:rPr>
                <w:rFonts w:ascii="Times New Roman" w:hAnsi="Times New Roman" w:eastAsia="仿宋" w:cs="Times New Roman"/>
                <w:color w:val="000000" w:themeColor="text1"/>
                <w:sz w:val="24"/>
                <w14:textFill>
                  <w14:solidFill>
                    <w14:schemeClr w14:val="tx1"/>
                  </w14:solidFill>
                </w14:textFill>
              </w:rPr>
            </w:pPr>
            <w:bookmarkStart w:id="0" w:name="_Hlk232153029"/>
            <w:r>
              <w:rPr>
                <w:rFonts w:ascii="Times New Roman" w:hAnsi="Times New Roman" w:eastAsia="仿宋" w:cs="Times New Roman"/>
                <w:color w:val="000000" w:themeColor="text1"/>
                <w:sz w:val="24"/>
                <w14:textFill>
                  <w14:solidFill>
                    <w14:schemeClr w14:val="tx1"/>
                  </w14:solidFill>
                </w14:textFill>
              </w:rPr>
              <w:t>作 者</w:t>
            </w:r>
          </w:p>
        </w:tc>
        <w:tc>
          <w:tcPr>
            <w:tcW w:w="3443" w:type="dxa"/>
            <w:tcBorders>
              <w:top w:val="single" w:color="auto" w:sz="12" w:space="0"/>
              <w:left w:val="single" w:color="auto" w:sz="6" w:space="0"/>
              <w:bottom w:val="single" w:color="auto" w:sz="6" w:space="0"/>
              <w:right w:val="single" w:color="auto" w:sz="6" w:space="0"/>
            </w:tcBorders>
            <w:vAlign w:val="center"/>
          </w:tcPr>
          <w:p w14:paraId="2835E86D">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论文专著名称/刊物</w:t>
            </w:r>
          </w:p>
        </w:tc>
        <w:tc>
          <w:tcPr>
            <w:tcW w:w="1084"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372266A7">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年卷</w:t>
            </w:r>
          </w:p>
          <w:p w14:paraId="3DC8F254">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页码</w:t>
            </w:r>
          </w:p>
        </w:tc>
        <w:tc>
          <w:tcPr>
            <w:tcW w:w="992"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61055C4D">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发表</w:t>
            </w:r>
          </w:p>
          <w:p w14:paraId="25B2E35F">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时间</w:t>
            </w:r>
          </w:p>
          <w:p w14:paraId="5AC96E7B">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（年、月）</w:t>
            </w:r>
          </w:p>
        </w:tc>
      </w:tr>
      <w:tr w14:paraId="1777C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23" w:hRule="exact"/>
          <w:jc w:val="center"/>
        </w:trPr>
        <w:tc>
          <w:tcPr>
            <w:tcW w:w="2528" w:type="dxa"/>
            <w:tcBorders>
              <w:top w:val="single" w:color="auto" w:sz="12" w:space="0"/>
              <w:left w:val="single" w:color="auto" w:sz="12" w:space="0"/>
              <w:bottom w:val="single" w:color="auto" w:sz="6" w:space="0"/>
              <w:right w:val="single" w:color="auto" w:sz="6" w:space="0"/>
            </w:tcBorders>
            <w:vAlign w:val="center"/>
          </w:tcPr>
          <w:p w14:paraId="74282F04">
            <w:pPr>
              <w:spacing w:line="360" w:lineRule="auto"/>
              <w:jc w:val="left"/>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b/>
                <w:bCs/>
                <w:sz w:val="24"/>
              </w:rPr>
              <w:t>Weng S</w:t>
            </w:r>
            <w:r>
              <w:rPr>
                <w:rFonts w:hint="eastAsia" w:ascii="Times New Roman" w:hAnsi="Times New Roman" w:eastAsia="仿宋"/>
                <w:b/>
                <w:bCs/>
                <w:sz w:val="24"/>
              </w:rPr>
              <w:t>（翁珊珊）</w:t>
            </w:r>
            <w:r>
              <w:rPr>
                <w:rFonts w:ascii="Times New Roman" w:hAnsi="Times New Roman" w:eastAsia="仿宋"/>
                <w:sz w:val="24"/>
              </w:rPr>
              <w:t xml:space="preserve">, Lin L, Xie J, Hu B, Ma X, Xia J, </w:t>
            </w:r>
            <w:r>
              <w:rPr>
                <w:rFonts w:ascii="Times New Roman" w:hAnsi="Times New Roman" w:eastAsia="仿宋"/>
                <w:b/>
                <w:bCs/>
                <w:sz w:val="24"/>
              </w:rPr>
              <w:t>Jiang Y</w:t>
            </w:r>
            <w:r>
              <w:rPr>
                <w:rFonts w:hint="eastAsia" w:ascii="Times New Roman" w:hAnsi="Times New Roman" w:eastAsia="仿宋"/>
                <w:b/>
                <w:bCs/>
                <w:sz w:val="24"/>
              </w:rPr>
              <w:t>（蒋琰）</w:t>
            </w:r>
            <w:r>
              <w:rPr>
                <w:rFonts w:ascii="Times New Roman" w:hAnsi="Times New Roman" w:eastAsia="仿宋"/>
                <w:sz w:val="24"/>
              </w:rPr>
              <w:t xml:space="preserve">, </w:t>
            </w:r>
            <w:r>
              <w:rPr>
                <w:rFonts w:ascii="Times New Roman" w:hAnsi="Times New Roman" w:eastAsia="仿宋"/>
                <w:b/>
                <w:bCs/>
                <w:sz w:val="24"/>
              </w:rPr>
              <w:t>Zhou H</w:t>
            </w:r>
            <w:r>
              <w:rPr>
                <w:rFonts w:hint="eastAsia" w:ascii="Times New Roman" w:hAnsi="Times New Roman" w:eastAsia="仿宋"/>
                <w:b/>
                <w:bCs/>
                <w:sz w:val="24"/>
              </w:rPr>
              <w:t>（周华）</w:t>
            </w:r>
            <w:r>
              <w:rPr>
                <w:rFonts w:ascii="Times New Roman" w:hAnsi="Times New Roman" w:eastAsia="仿宋"/>
                <w:sz w:val="24"/>
              </w:rPr>
              <w:t xml:space="preserve">, Wu X, Jin Y, Wu G, Yang Y, </w:t>
            </w:r>
            <w:r>
              <w:rPr>
                <w:rFonts w:ascii="Times New Roman" w:hAnsi="Times New Roman" w:eastAsia="仿宋"/>
                <w:b/>
                <w:bCs/>
                <w:sz w:val="24"/>
              </w:rPr>
              <w:t>Sun R</w:t>
            </w:r>
            <w:r>
              <w:rPr>
                <w:rFonts w:hint="eastAsia" w:ascii="Times New Roman" w:hAnsi="Times New Roman" w:eastAsia="仿宋"/>
                <w:b/>
                <w:bCs/>
                <w:sz w:val="24"/>
              </w:rPr>
              <w:t>（孙仁华）</w:t>
            </w:r>
            <w:r>
              <w:rPr>
                <w:rFonts w:ascii="Times New Roman" w:hAnsi="Times New Roman" w:eastAsia="仿宋"/>
                <w:b/>
                <w:bCs/>
                <w:sz w:val="24"/>
              </w:rPr>
              <w:t>, Yu Y</w:t>
            </w:r>
            <w:r>
              <w:rPr>
                <w:rFonts w:hint="eastAsia" w:ascii="Times New Roman" w:hAnsi="Times New Roman" w:eastAsia="仿宋"/>
                <w:b/>
                <w:bCs/>
                <w:sz w:val="24"/>
              </w:rPr>
              <w:t>（俞云松）</w:t>
            </w:r>
            <w:r>
              <w:rPr>
                <w:rFonts w:ascii="Times New Roman" w:hAnsi="Times New Roman" w:eastAsia="仿宋"/>
                <w:b/>
                <w:bCs/>
                <w:sz w:val="24"/>
              </w:rPr>
              <w:t>, Zhao D</w:t>
            </w:r>
            <w:r>
              <w:rPr>
                <w:rFonts w:hint="eastAsia" w:ascii="Times New Roman" w:hAnsi="Times New Roman" w:eastAsia="仿宋"/>
                <w:b/>
                <w:bCs/>
                <w:sz w:val="24"/>
              </w:rPr>
              <w:t>（赵冬冬）</w:t>
            </w:r>
          </w:p>
        </w:tc>
        <w:tc>
          <w:tcPr>
            <w:tcW w:w="3443" w:type="dxa"/>
            <w:tcBorders>
              <w:top w:val="single" w:color="auto" w:sz="12" w:space="0"/>
              <w:left w:val="single" w:color="auto" w:sz="6" w:space="0"/>
              <w:bottom w:val="single" w:color="auto" w:sz="6" w:space="0"/>
              <w:right w:val="single" w:color="auto" w:sz="6" w:space="0"/>
            </w:tcBorders>
            <w:vAlign w:val="center"/>
          </w:tcPr>
          <w:p w14:paraId="44A0A5C3">
            <w:pPr>
              <w:spacing w:line="360" w:lineRule="auto"/>
              <w:jc w:val="left"/>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sz w:val="24"/>
              </w:rPr>
              <w:t>Performance of ddPCR-GNB for microbial diagnosis of suspected bloodstream infection due to the four most common gram-negative bacteria: a prospective, multicenter study</w:t>
            </w:r>
            <w:r>
              <w:rPr>
                <w:rFonts w:hint="eastAsia" w:ascii="Times New Roman" w:hAnsi="Times New Roman" w:eastAsia="仿宋"/>
                <w:sz w:val="24"/>
              </w:rPr>
              <w:t xml:space="preserve"> / </w:t>
            </w:r>
            <w:r>
              <w:rPr>
                <w:rFonts w:ascii="Times New Roman" w:hAnsi="Times New Roman" w:eastAsia="仿宋"/>
                <w:sz w:val="24"/>
              </w:rPr>
              <w:t>Microbiol Spectr</w:t>
            </w:r>
          </w:p>
        </w:tc>
        <w:tc>
          <w:tcPr>
            <w:tcW w:w="1084"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620406AD">
            <w:pPr>
              <w:spacing w:line="360" w:lineRule="auto"/>
              <w:jc w:val="left"/>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sz w:val="24"/>
              </w:rPr>
              <w:t>2025</w:t>
            </w:r>
            <w:r>
              <w:rPr>
                <w:rFonts w:hint="eastAsia" w:ascii="Times New Roman" w:hAnsi="Times New Roman" w:eastAsia="仿宋"/>
                <w:sz w:val="24"/>
              </w:rPr>
              <w:t xml:space="preserve">; </w:t>
            </w:r>
            <w:r>
              <w:rPr>
                <w:rFonts w:ascii="Times New Roman" w:hAnsi="Times New Roman" w:eastAsia="仿宋"/>
                <w:sz w:val="24"/>
              </w:rPr>
              <w:t>13(4): e0101524</w:t>
            </w:r>
          </w:p>
        </w:tc>
        <w:tc>
          <w:tcPr>
            <w:tcW w:w="992"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4F80F6B6">
            <w:pPr>
              <w:spacing w:line="360" w:lineRule="auto"/>
              <w:jc w:val="left"/>
              <w:rPr>
                <w:rFonts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2025.4.</w:t>
            </w:r>
          </w:p>
        </w:tc>
      </w:tr>
      <w:tr w14:paraId="2F9563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9" w:hRule="exact"/>
          <w:jc w:val="center"/>
        </w:trPr>
        <w:tc>
          <w:tcPr>
            <w:tcW w:w="2528" w:type="dxa"/>
            <w:tcBorders>
              <w:top w:val="single" w:color="auto" w:sz="12" w:space="0"/>
              <w:left w:val="single" w:color="auto" w:sz="12" w:space="0"/>
              <w:bottom w:val="single" w:color="auto" w:sz="6" w:space="0"/>
              <w:right w:val="single" w:color="auto" w:sz="6" w:space="0"/>
            </w:tcBorders>
            <w:vAlign w:val="center"/>
          </w:tcPr>
          <w:p w14:paraId="68F7F883">
            <w:pPr>
              <w:spacing w:line="360" w:lineRule="auto"/>
              <w:jc w:val="left"/>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sz w:val="24"/>
              </w:rPr>
              <w:t xml:space="preserve">Wu J, Tang B, Qiu Y, Tan R, Liu J, Xia J, Zhang J, Huang J, Qu J, Sun J, Wang X, </w:t>
            </w:r>
            <w:r>
              <w:rPr>
                <w:rFonts w:ascii="Times New Roman" w:hAnsi="Times New Roman" w:eastAsia="仿宋"/>
                <w:b/>
                <w:bCs/>
                <w:sz w:val="24"/>
              </w:rPr>
              <w:t>Qu H</w:t>
            </w:r>
            <w:r>
              <w:rPr>
                <w:rFonts w:hint="eastAsia" w:ascii="Times New Roman" w:hAnsi="Times New Roman" w:eastAsia="仿宋"/>
                <w:b/>
                <w:bCs/>
                <w:sz w:val="24"/>
              </w:rPr>
              <w:t>（瞿洪平）</w:t>
            </w:r>
          </w:p>
        </w:tc>
        <w:tc>
          <w:tcPr>
            <w:tcW w:w="3443" w:type="dxa"/>
            <w:tcBorders>
              <w:top w:val="single" w:color="auto" w:sz="12" w:space="0"/>
              <w:left w:val="single" w:color="auto" w:sz="6" w:space="0"/>
              <w:bottom w:val="single" w:color="auto" w:sz="6" w:space="0"/>
              <w:right w:val="single" w:color="auto" w:sz="6" w:space="0"/>
            </w:tcBorders>
            <w:vAlign w:val="center"/>
          </w:tcPr>
          <w:p w14:paraId="0C05995A">
            <w:pPr>
              <w:spacing w:line="360" w:lineRule="auto"/>
              <w:jc w:val="left"/>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sz w:val="24"/>
              </w:rPr>
              <w:t>Clinical validation of a multiplex droplet digital PCR for diagnosing suspected bloodstream infections in ICU practice: a promising diagnostic tool</w:t>
            </w:r>
            <w:r>
              <w:rPr>
                <w:rFonts w:hint="eastAsia" w:ascii="Times New Roman" w:hAnsi="Times New Roman" w:eastAsia="仿宋"/>
                <w:sz w:val="24"/>
              </w:rPr>
              <w:t xml:space="preserve"> / </w:t>
            </w:r>
            <w:r>
              <w:rPr>
                <w:rFonts w:ascii="Times New Roman" w:hAnsi="Times New Roman" w:eastAsia="仿宋"/>
                <w:sz w:val="24"/>
              </w:rPr>
              <w:t>Crit Care</w:t>
            </w:r>
          </w:p>
        </w:tc>
        <w:tc>
          <w:tcPr>
            <w:tcW w:w="1084"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4DD8CA6A">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2022;</w:t>
            </w:r>
            <w:r>
              <w:rPr>
                <w:rFonts w:hint="eastAsia" w:ascii="Times New Roman" w:hAnsi="Times New Roman" w:eastAsia="仿宋" w:cs="Times New Roman"/>
                <w:color w:val="000000" w:themeColor="text1"/>
                <w:sz w:val="24"/>
                <w14:textFill>
                  <w14:solidFill>
                    <w14:schemeClr w14:val="tx1"/>
                  </w14:solidFill>
                </w14:textFill>
              </w:rPr>
              <w:t xml:space="preserve"> </w:t>
            </w:r>
            <w:r>
              <w:rPr>
                <w:rFonts w:ascii="Times New Roman" w:hAnsi="Times New Roman" w:eastAsia="仿宋" w:cs="Times New Roman"/>
                <w:color w:val="000000" w:themeColor="text1"/>
                <w:sz w:val="24"/>
                <w14:textFill>
                  <w14:solidFill>
                    <w14:schemeClr w14:val="tx1"/>
                  </w14:solidFill>
                </w14:textFill>
              </w:rPr>
              <w:t>26(1):243.</w:t>
            </w:r>
          </w:p>
        </w:tc>
        <w:tc>
          <w:tcPr>
            <w:tcW w:w="992"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10DA319B">
            <w:pPr>
              <w:spacing w:line="360" w:lineRule="auto"/>
              <w:jc w:val="center"/>
              <w:rPr>
                <w:rFonts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2022.8.</w:t>
            </w:r>
          </w:p>
        </w:tc>
      </w:tr>
      <w:tr w14:paraId="5A06A4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1" w:hRule="exact"/>
          <w:jc w:val="center"/>
        </w:trPr>
        <w:tc>
          <w:tcPr>
            <w:tcW w:w="2528" w:type="dxa"/>
            <w:tcBorders>
              <w:top w:val="single" w:color="auto" w:sz="6" w:space="0"/>
              <w:left w:val="single" w:color="auto" w:sz="12" w:space="0"/>
              <w:bottom w:val="single" w:color="auto" w:sz="6" w:space="0"/>
              <w:right w:val="single" w:color="auto" w:sz="6" w:space="0"/>
            </w:tcBorders>
            <w:vAlign w:val="center"/>
          </w:tcPr>
          <w:p w14:paraId="111CDF74">
            <w:pPr>
              <w:spacing w:line="360" w:lineRule="auto"/>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sz w:val="24"/>
              </w:rPr>
              <w:t xml:space="preserve">Shao Z, Zhu J, Wei Y, Jin J, Liu J, </w:t>
            </w:r>
            <w:r>
              <w:rPr>
                <w:rFonts w:ascii="Times New Roman" w:hAnsi="Times New Roman" w:eastAsia="仿宋"/>
                <w:b/>
                <w:bCs/>
                <w:sz w:val="24"/>
              </w:rPr>
              <w:t>Sun R</w:t>
            </w:r>
            <w:r>
              <w:rPr>
                <w:rFonts w:hint="eastAsia" w:ascii="Times New Roman" w:hAnsi="Times New Roman" w:eastAsia="仿宋"/>
                <w:b/>
                <w:bCs/>
                <w:sz w:val="24"/>
              </w:rPr>
              <w:t>（孙仁华）</w:t>
            </w:r>
            <w:r>
              <w:rPr>
                <w:rFonts w:ascii="Times New Roman" w:hAnsi="Times New Roman" w:eastAsia="仿宋"/>
                <w:sz w:val="24"/>
              </w:rPr>
              <w:t>, Hu B</w:t>
            </w:r>
          </w:p>
        </w:tc>
        <w:tc>
          <w:tcPr>
            <w:tcW w:w="3443" w:type="dxa"/>
            <w:tcBorders>
              <w:top w:val="single" w:color="auto" w:sz="6" w:space="0"/>
              <w:left w:val="single" w:color="auto" w:sz="6" w:space="0"/>
              <w:bottom w:val="single" w:color="auto" w:sz="6" w:space="0"/>
              <w:right w:val="single" w:color="auto" w:sz="6" w:space="0"/>
            </w:tcBorders>
            <w:vAlign w:val="center"/>
          </w:tcPr>
          <w:p w14:paraId="1BB51A31">
            <w:pPr>
              <w:spacing w:line="360" w:lineRule="auto"/>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sz w:val="24"/>
              </w:rPr>
              <w:t>Clinical Impact of Droplet Digital PCR-Guided Antibiotic Stewardship on Prognosis in Patients with Suspected Bloodstream Infection: A Prospective Observational Study</w:t>
            </w:r>
            <w:r>
              <w:rPr>
                <w:rFonts w:hint="eastAsia" w:ascii="Times New Roman" w:hAnsi="Times New Roman" w:eastAsia="仿宋"/>
                <w:sz w:val="24"/>
              </w:rPr>
              <w:t xml:space="preserve"> / </w:t>
            </w:r>
            <w:r>
              <w:rPr>
                <w:rFonts w:ascii="Times New Roman" w:hAnsi="Times New Roman" w:eastAsia="仿宋"/>
                <w:sz w:val="24"/>
              </w:rPr>
              <w:t>Infect Dis Ther</w:t>
            </w:r>
          </w:p>
        </w:tc>
        <w:tc>
          <w:tcPr>
            <w:tcW w:w="1084" w:type="dxa"/>
            <w:tcBorders>
              <w:top w:val="single" w:color="auto" w:sz="6" w:space="0"/>
              <w:left w:val="single" w:color="auto" w:sz="6" w:space="0"/>
              <w:bottom w:val="single" w:color="auto" w:sz="6" w:space="0"/>
              <w:right w:val="single" w:color="auto" w:sz="6" w:space="0"/>
            </w:tcBorders>
            <w:vAlign w:val="center"/>
          </w:tcPr>
          <w:p w14:paraId="0DBA945C">
            <w:pPr>
              <w:spacing w:line="360" w:lineRule="auto"/>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2026;</w:t>
            </w:r>
            <w:r>
              <w:rPr>
                <w:rFonts w:hint="eastAsia" w:ascii="Times New Roman" w:hAnsi="Times New Roman" w:eastAsia="仿宋" w:cs="Times New Roman"/>
                <w:color w:val="000000" w:themeColor="text1"/>
                <w:sz w:val="24"/>
                <w14:textFill>
                  <w14:solidFill>
                    <w14:schemeClr w14:val="tx1"/>
                  </w14:solidFill>
                </w14:textFill>
              </w:rPr>
              <w:t xml:space="preserve"> </w:t>
            </w:r>
            <w:r>
              <w:rPr>
                <w:rFonts w:ascii="Times New Roman" w:hAnsi="Times New Roman" w:eastAsia="仿宋" w:cs="Times New Roman"/>
                <w:color w:val="000000" w:themeColor="text1"/>
                <w:sz w:val="24"/>
                <w14:textFill>
                  <w14:solidFill>
                    <w14:schemeClr w14:val="tx1"/>
                  </w14:solidFill>
                </w14:textFill>
              </w:rPr>
              <w:t>15(3):787-807</w:t>
            </w:r>
          </w:p>
        </w:tc>
        <w:tc>
          <w:tcPr>
            <w:tcW w:w="992" w:type="dxa"/>
            <w:tcBorders>
              <w:top w:val="single" w:color="auto" w:sz="6" w:space="0"/>
              <w:left w:val="single" w:color="auto" w:sz="6" w:space="0"/>
              <w:bottom w:val="single" w:color="auto" w:sz="6" w:space="0"/>
              <w:right w:val="single" w:color="auto" w:sz="6" w:space="0"/>
            </w:tcBorders>
            <w:vAlign w:val="center"/>
          </w:tcPr>
          <w:p w14:paraId="49DA36A2">
            <w:pPr>
              <w:spacing w:line="360" w:lineRule="auto"/>
              <w:jc w:val="left"/>
              <w:rPr>
                <w:rFonts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2026.3.</w:t>
            </w:r>
          </w:p>
        </w:tc>
      </w:tr>
      <w:tr w14:paraId="674EAA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9" w:hRule="exact"/>
          <w:jc w:val="center"/>
        </w:trPr>
        <w:tc>
          <w:tcPr>
            <w:tcW w:w="2528" w:type="dxa"/>
            <w:tcBorders>
              <w:top w:val="single" w:color="auto" w:sz="6" w:space="0"/>
              <w:left w:val="single" w:color="auto" w:sz="12" w:space="0"/>
              <w:bottom w:val="single" w:color="auto" w:sz="6" w:space="0"/>
              <w:right w:val="single" w:color="auto" w:sz="6" w:space="0"/>
            </w:tcBorders>
            <w:vAlign w:val="center"/>
          </w:tcPr>
          <w:p w14:paraId="4BDF4450">
            <w:pPr>
              <w:spacing w:line="360" w:lineRule="auto"/>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sz w:val="24"/>
              </w:rPr>
              <w:t xml:space="preserve">Wu Z, Yao Y, Li X, Cai H, Wang G, Yu W, Lou H, Chen Q, Zeng Z, Yu H, Xia J, </w:t>
            </w:r>
            <w:r>
              <w:rPr>
                <w:rFonts w:ascii="Times New Roman" w:hAnsi="Times New Roman" w:eastAsia="仿宋"/>
                <w:b/>
                <w:bCs/>
                <w:sz w:val="24"/>
              </w:rPr>
              <w:t>Yu Y</w:t>
            </w:r>
            <w:r>
              <w:rPr>
                <w:rFonts w:hint="eastAsia" w:ascii="Times New Roman" w:hAnsi="Times New Roman" w:eastAsia="仿宋"/>
                <w:b/>
                <w:bCs/>
                <w:sz w:val="24"/>
              </w:rPr>
              <w:t>（俞云松）</w:t>
            </w:r>
            <w:r>
              <w:rPr>
                <w:rFonts w:ascii="Times New Roman" w:hAnsi="Times New Roman" w:eastAsia="仿宋"/>
                <w:b/>
                <w:bCs/>
                <w:sz w:val="24"/>
              </w:rPr>
              <w:t>, Zhou H</w:t>
            </w:r>
            <w:r>
              <w:rPr>
                <w:rFonts w:hint="eastAsia" w:ascii="Times New Roman" w:hAnsi="Times New Roman" w:eastAsia="仿宋"/>
                <w:b/>
                <w:bCs/>
                <w:sz w:val="24"/>
              </w:rPr>
              <w:t>（周华）</w:t>
            </w:r>
          </w:p>
        </w:tc>
        <w:tc>
          <w:tcPr>
            <w:tcW w:w="3443" w:type="dxa"/>
            <w:tcBorders>
              <w:top w:val="single" w:color="auto" w:sz="6" w:space="0"/>
              <w:left w:val="single" w:color="auto" w:sz="6" w:space="0"/>
              <w:bottom w:val="single" w:color="auto" w:sz="6" w:space="0"/>
              <w:right w:val="single" w:color="auto" w:sz="6" w:space="0"/>
            </w:tcBorders>
            <w:vAlign w:val="center"/>
          </w:tcPr>
          <w:p w14:paraId="4F4C92EB">
            <w:pPr>
              <w:spacing w:line="360" w:lineRule="auto"/>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sz w:val="24"/>
              </w:rPr>
              <w:t>Sensitive and rapid identification of pathogens by droplet digital PCR in a cohort of septic patients: a prospective diagnostic study</w:t>
            </w:r>
            <w:r>
              <w:rPr>
                <w:rFonts w:hint="eastAsia" w:ascii="Times New Roman" w:hAnsi="Times New Roman" w:eastAsia="仿宋"/>
                <w:sz w:val="24"/>
              </w:rPr>
              <w:t xml:space="preserve"> / </w:t>
            </w:r>
            <w:r>
              <w:rPr>
                <w:rFonts w:ascii="Times New Roman" w:hAnsi="Times New Roman" w:eastAsia="仿宋"/>
                <w:sz w:val="24"/>
              </w:rPr>
              <w:t>Infect Dis (Lond)</w:t>
            </w:r>
          </w:p>
        </w:tc>
        <w:tc>
          <w:tcPr>
            <w:tcW w:w="1084" w:type="dxa"/>
            <w:tcBorders>
              <w:top w:val="single" w:color="auto" w:sz="6" w:space="0"/>
              <w:left w:val="single" w:color="auto" w:sz="6" w:space="0"/>
              <w:bottom w:val="single" w:color="auto" w:sz="6" w:space="0"/>
              <w:right w:val="single" w:color="auto" w:sz="6" w:space="0"/>
            </w:tcBorders>
            <w:vAlign w:val="center"/>
          </w:tcPr>
          <w:p w14:paraId="47AD23C0">
            <w:pPr>
              <w:spacing w:line="360" w:lineRule="auto"/>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sz w:val="24"/>
              </w:rPr>
              <w:t>2024</w:t>
            </w:r>
            <w:r>
              <w:rPr>
                <w:rFonts w:hint="eastAsia" w:ascii="Times New Roman" w:hAnsi="Times New Roman" w:eastAsia="仿宋"/>
                <w:sz w:val="24"/>
              </w:rPr>
              <w:t>;</w:t>
            </w:r>
            <w:r>
              <w:rPr>
                <w:rFonts w:ascii="Times New Roman" w:hAnsi="Times New Roman" w:eastAsia="仿宋"/>
                <w:sz w:val="24"/>
              </w:rPr>
              <w:t xml:space="preserve"> 56(10): 830–41</w:t>
            </w:r>
          </w:p>
        </w:tc>
        <w:tc>
          <w:tcPr>
            <w:tcW w:w="992" w:type="dxa"/>
            <w:tcBorders>
              <w:top w:val="single" w:color="auto" w:sz="6" w:space="0"/>
              <w:left w:val="single" w:color="auto" w:sz="6" w:space="0"/>
              <w:bottom w:val="single" w:color="auto" w:sz="6" w:space="0"/>
              <w:right w:val="single" w:color="auto" w:sz="6" w:space="0"/>
            </w:tcBorders>
            <w:vAlign w:val="center"/>
          </w:tcPr>
          <w:p w14:paraId="5841698B">
            <w:pPr>
              <w:spacing w:line="360" w:lineRule="auto"/>
              <w:jc w:val="left"/>
              <w:rPr>
                <w:rFonts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2024.10.</w:t>
            </w:r>
          </w:p>
        </w:tc>
      </w:tr>
      <w:tr w14:paraId="077FBC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2" w:hRule="exact"/>
          <w:jc w:val="center"/>
        </w:trPr>
        <w:tc>
          <w:tcPr>
            <w:tcW w:w="2528" w:type="dxa"/>
            <w:tcBorders>
              <w:top w:val="single" w:color="auto" w:sz="6" w:space="0"/>
              <w:left w:val="single" w:color="auto" w:sz="12" w:space="0"/>
              <w:bottom w:val="single" w:color="auto" w:sz="6" w:space="0"/>
              <w:right w:val="single" w:color="auto" w:sz="6" w:space="0"/>
            </w:tcBorders>
            <w:vAlign w:val="center"/>
          </w:tcPr>
          <w:p w14:paraId="4FFA27D9">
            <w:pPr>
              <w:spacing w:line="360" w:lineRule="auto"/>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sz w:val="24"/>
              </w:rPr>
              <w:t xml:space="preserve">Lin K, Zhao Y, Xu B, Yu S, Fu Z, Zhang Y, Wang H, Song J, Fan M, Zhou Y, </w:t>
            </w:r>
            <w:r>
              <w:rPr>
                <w:rFonts w:ascii="Times New Roman" w:hAnsi="Times New Roman" w:eastAsia="仿宋"/>
                <w:b/>
                <w:bCs/>
                <w:sz w:val="24"/>
              </w:rPr>
              <w:t>Ai J</w:t>
            </w:r>
            <w:r>
              <w:rPr>
                <w:rFonts w:hint="eastAsia" w:ascii="Times New Roman" w:hAnsi="Times New Roman" w:eastAsia="仿宋"/>
                <w:b/>
                <w:bCs/>
                <w:sz w:val="24"/>
              </w:rPr>
              <w:t>（艾静文）</w:t>
            </w:r>
            <w:r>
              <w:rPr>
                <w:rFonts w:ascii="Times New Roman" w:hAnsi="Times New Roman" w:eastAsia="仿宋"/>
                <w:sz w:val="24"/>
              </w:rPr>
              <w:t>, Qiu C, Zhang H, Zhang W</w:t>
            </w:r>
          </w:p>
        </w:tc>
        <w:tc>
          <w:tcPr>
            <w:tcW w:w="3443" w:type="dxa"/>
            <w:tcBorders>
              <w:top w:val="single" w:color="auto" w:sz="6" w:space="0"/>
              <w:left w:val="single" w:color="auto" w:sz="6" w:space="0"/>
              <w:bottom w:val="single" w:color="auto" w:sz="6" w:space="0"/>
              <w:right w:val="single" w:color="auto" w:sz="6" w:space="0"/>
            </w:tcBorders>
            <w:vAlign w:val="center"/>
          </w:tcPr>
          <w:p w14:paraId="4AD79955">
            <w:pPr>
              <w:spacing w:line="360" w:lineRule="auto"/>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sz w:val="24"/>
              </w:rPr>
              <w:t>Clinical Diagnostic Performance of Droplet Digital PCR for Suspected Bloodstream Infections</w:t>
            </w:r>
            <w:r>
              <w:rPr>
                <w:rFonts w:hint="eastAsia" w:ascii="Times New Roman" w:hAnsi="Times New Roman" w:eastAsia="仿宋"/>
                <w:sz w:val="24"/>
              </w:rPr>
              <w:t xml:space="preserve"> / </w:t>
            </w:r>
            <w:r>
              <w:rPr>
                <w:rFonts w:ascii="Times New Roman" w:hAnsi="Times New Roman" w:eastAsia="仿宋"/>
                <w:sz w:val="24"/>
              </w:rPr>
              <w:t>Microbiol Spectr</w:t>
            </w:r>
          </w:p>
        </w:tc>
        <w:tc>
          <w:tcPr>
            <w:tcW w:w="1084" w:type="dxa"/>
            <w:tcBorders>
              <w:top w:val="single" w:color="auto" w:sz="6" w:space="0"/>
              <w:left w:val="single" w:color="auto" w:sz="6" w:space="0"/>
              <w:bottom w:val="single" w:color="auto" w:sz="6" w:space="0"/>
              <w:right w:val="single" w:color="auto" w:sz="6" w:space="0"/>
            </w:tcBorders>
            <w:vAlign w:val="center"/>
          </w:tcPr>
          <w:p w14:paraId="4C222220">
            <w:pPr>
              <w:spacing w:line="360" w:lineRule="auto"/>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sz w:val="24"/>
              </w:rPr>
              <w:t>2023, 11(1): e0137822</w:t>
            </w:r>
          </w:p>
        </w:tc>
        <w:tc>
          <w:tcPr>
            <w:tcW w:w="992" w:type="dxa"/>
            <w:tcBorders>
              <w:top w:val="single" w:color="auto" w:sz="6" w:space="0"/>
              <w:left w:val="single" w:color="auto" w:sz="6" w:space="0"/>
              <w:bottom w:val="single" w:color="auto" w:sz="6" w:space="0"/>
              <w:right w:val="single" w:color="auto" w:sz="6" w:space="0"/>
            </w:tcBorders>
            <w:vAlign w:val="center"/>
          </w:tcPr>
          <w:p w14:paraId="54841412">
            <w:pPr>
              <w:spacing w:line="360" w:lineRule="auto"/>
              <w:jc w:val="left"/>
              <w:rPr>
                <w:rFonts w:ascii="Times New Roman" w:hAnsi="Times New Roman" w:eastAsia="仿宋" w:cs="Times New Roman"/>
                <w:color w:val="000000" w:themeColor="text1"/>
                <w:sz w:val="24"/>
                <w14:textFill>
                  <w14:solidFill>
                    <w14:schemeClr w14:val="tx1"/>
                  </w14:solidFill>
                </w14:textFill>
              </w:rPr>
            </w:pPr>
            <w:r>
              <w:rPr>
                <w:rFonts w:hint="eastAsia" w:ascii="Times New Roman" w:hAnsi="Times New Roman" w:eastAsia="仿宋" w:cs="Times New Roman"/>
                <w:color w:val="000000" w:themeColor="text1"/>
                <w:sz w:val="24"/>
                <w14:textFill>
                  <w14:solidFill>
                    <w14:schemeClr w14:val="tx1"/>
                  </w14:solidFill>
                </w14:textFill>
              </w:rPr>
              <w:t>2023.2.</w:t>
            </w:r>
          </w:p>
        </w:tc>
      </w:tr>
      <w:bookmarkEnd w:id="0"/>
    </w:tbl>
    <w:p w14:paraId="64215AD4">
      <w:pPr>
        <w:rPr>
          <w:rFonts w:ascii="Times New Roman" w:hAnsi="Times New Roman" w:cs="Times New Roman"/>
        </w:rPr>
      </w:pPr>
    </w:p>
    <w:p w14:paraId="4ABB6737"/>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4861A1F-D679-4DD6-9EA8-EA5ABCDA023D}"/>
  </w:font>
  <w:font w:name="宋体">
    <w:panose1 w:val="02010600030101010101"/>
    <w:charset w:val="86"/>
    <w:family w:val="auto"/>
    <w:pitch w:val="default"/>
    <w:sig w:usb0="00000203" w:usb1="288F0000" w:usb2="00000006" w:usb3="00000000" w:csb0="00040001" w:csb1="00000000"/>
    <w:embedRegular r:id="rId2" w:fontKey="{7622E25C-16EC-455F-9E5E-4D798F39FB18}"/>
  </w:font>
  <w:font w:name="Wingdings">
    <w:panose1 w:val="05000000000000000000"/>
    <w:charset w:val="02"/>
    <w:family w:val="auto"/>
    <w:pitch w:val="default"/>
    <w:sig w:usb0="00000000" w:usb1="00000000" w:usb2="00000000" w:usb3="00000000" w:csb0="80000000" w:csb1="00000000"/>
    <w:embedRegular r:id="rId3" w:fontKey="{9AEF348A-1A3F-4FE7-BA0A-7BC1762EA8F2}"/>
  </w:font>
  <w:font w:name="Arial">
    <w:panose1 w:val="020B0604020202020204"/>
    <w:charset w:val="01"/>
    <w:family w:val="swiss"/>
    <w:pitch w:val="default"/>
    <w:sig w:usb0="E0002EFF" w:usb1="C000785B" w:usb2="00000009" w:usb3="00000000" w:csb0="400001FF" w:csb1="FFFF0000"/>
    <w:embedRegular r:id="rId4" w:fontKey="{D7D62FB5-2CBA-401F-A213-A7B22347E86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3B70027A-7BED-4391-BE4A-79412B12095E}"/>
  </w:font>
  <w:font w:name="Symbol">
    <w:panose1 w:val="05050102010706020507"/>
    <w:charset w:val="02"/>
    <w:family w:val="roman"/>
    <w:pitch w:val="default"/>
    <w:sig w:usb0="00000000" w:usb1="00000000" w:usb2="00000000" w:usb3="00000000" w:csb0="80000000" w:csb1="00000000"/>
    <w:embedRegular r:id="rId6" w:fontKey="{E7966C7D-D510-4645-B9C8-E56BDBC0148C}"/>
  </w:font>
  <w:font w:name="Calibri">
    <w:panose1 w:val="020F0502020204030204"/>
    <w:charset w:val="00"/>
    <w:family w:val="swiss"/>
    <w:pitch w:val="default"/>
    <w:sig w:usb0="E4002EFF" w:usb1="C000247B" w:usb2="00000009" w:usb3="00000000" w:csb0="200001FF" w:csb1="00000000"/>
    <w:embedRegular r:id="rId7" w:fontKey="{BF3F2CE8-13AC-4144-9B3F-DDDAB4925DBA}"/>
  </w:font>
  <w:font w:name="方正小标宋简体">
    <w:panose1 w:val="02000000000000000000"/>
    <w:charset w:val="86"/>
    <w:family w:val="auto"/>
    <w:pitch w:val="default"/>
    <w:sig w:usb0="00000001" w:usb1="08000000" w:usb2="00000000" w:usb3="00000000" w:csb0="00040000" w:csb1="00000000"/>
    <w:embedRegular r:id="rId8" w:fontKey="{D87FE72F-BA8E-4F3D-B920-67463DA18451}"/>
  </w:font>
  <w:font w:name="仿宋_GB2312">
    <w:altName w:val="仿宋"/>
    <w:panose1 w:val="00000000000000000000"/>
    <w:charset w:val="86"/>
    <w:family w:val="modern"/>
    <w:pitch w:val="default"/>
    <w:sig w:usb0="00000000" w:usb1="00000000" w:usb2="00000010" w:usb3="00000000" w:csb0="00040000" w:csb1="00000000"/>
    <w:embedRegular r:id="rId9" w:fontKey="{A12212F9-7133-479D-A924-B7AFAF6E7D4E}"/>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embedRegular r:id="rId10" w:fontKey="{00EA20AC-CAF6-4BAB-BBA3-6159ADD3A117}"/>
  </w:font>
  <w:font w:name="仿宋">
    <w:panose1 w:val="02010609060101010101"/>
    <w:charset w:val="86"/>
    <w:family w:val="modern"/>
    <w:pitch w:val="default"/>
    <w:sig w:usb0="800002BF" w:usb1="38CF7CFA" w:usb2="00000016" w:usb3="00000000" w:csb0="00040001" w:csb1="00000000"/>
    <w:embedRegular r:id="rId11" w:fontKey="{FE34724B-6B91-467B-84DB-3E7B3168313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942E6C"/>
    <w:rsid w:val="00020033"/>
    <w:rsid w:val="00037D4B"/>
    <w:rsid w:val="00074747"/>
    <w:rsid w:val="000B4D52"/>
    <w:rsid w:val="000F4140"/>
    <w:rsid w:val="00120AAF"/>
    <w:rsid w:val="0016435A"/>
    <w:rsid w:val="001873D7"/>
    <w:rsid w:val="001C4244"/>
    <w:rsid w:val="002A2F4F"/>
    <w:rsid w:val="002D242B"/>
    <w:rsid w:val="004C1D1B"/>
    <w:rsid w:val="004E51B2"/>
    <w:rsid w:val="00504931"/>
    <w:rsid w:val="00667296"/>
    <w:rsid w:val="008D014D"/>
    <w:rsid w:val="00952A13"/>
    <w:rsid w:val="009A2271"/>
    <w:rsid w:val="00AA797D"/>
    <w:rsid w:val="00AC39B8"/>
    <w:rsid w:val="00AE0F4F"/>
    <w:rsid w:val="00B9298D"/>
    <w:rsid w:val="00BC662C"/>
    <w:rsid w:val="00C37332"/>
    <w:rsid w:val="00C4557A"/>
    <w:rsid w:val="00C528CA"/>
    <w:rsid w:val="00D34EB3"/>
    <w:rsid w:val="00E81703"/>
    <w:rsid w:val="00E909DB"/>
    <w:rsid w:val="00F0550C"/>
    <w:rsid w:val="00F81CCB"/>
    <w:rsid w:val="2B942E6C"/>
    <w:rsid w:val="450D72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0"/>
    <w:unhideWhenUsed/>
    <w:qFormat/>
    <w:uiPriority w:val="99"/>
    <w:pPr>
      <w:widowControl/>
      <w:jc w:val="left"/>
    </w:pPr>
    <w:rPr>
      <w:rFonts w:ascii="Times New Roman" w:hAnsi="Times New Roman" w:eastAsia="宋体" w:cs="Times New Roman"/>
      <w:szCs w:val="20"/>
    </w:rPr>
  </w:style>
  <w:style w:type="paragraph" w:styleId="3">
    <w:name w:val="footer"/>
    <w:basedOn w:val="1"/>
    <w:link w:val="8"/>
    <w:uiPriority w:val="0"/>
    <w:pPr>
      <w:tabs>
        <w:tab w:val="center" w:pos="4153"/>
        <w:tab w:val="right" w:pos="8306"/>
      </w:tabs>
      <w:snapToGrid w:val="0"/>
      <w:jc w:val="left"/>
    </w:pPr>
    <w:rPr>
      <w:sz w:val="18"/>
      <w:szCs w:val="18"/>
    </w:rPr>
  </w:style>
  <w:style w:type="paragraph" w:styleId="4">
    <w:name w:val="header"/>
    <w:basedOn w:val="1"/>
    <w:link w:val="7"/>
    <w:uiPriority w:val="0"/>
    <w:pPr>
      <w:tabs>
        <w:tab w:val="center" w:pos="4153"/>
        <w:tab w:val="right" w:pos="8306"/>
      </w:tabs>
      <w:snapToGrid w:val="0"/>
      <w:jc w:val="center"/>
    </w:pPr>
    <w:rPr>
      <w:sz w:val="18"/>
      <w:szCs w:val="18"/>
    </w:rPr>
  </w:style>
  <w:style w:type="character" w:customStyle="1" w:styleId="7">
    <w:name w:val="页眉 字符"/>
    <w:basedOn w:val="6"/>
    <w:link w:val="4"/>
    <w:uiPriority w:val="0"/>
    <w:rPr>
      <w:kern w:val="2"/>
      <w:sz w:val="18"/>
      <w:szCs w:val="18"/>
    </w:rPr>
  </w:style>
  <w:style w:type="character" w:customStyle="1" w:styleId="8">
    <w:name w:val="页脚 字符"/>
    <w:basedOn w:val="6"/>
    <w:link w:val="3"/>
    <w:uiPriority w:val="0"/>
    <w:rPr>
      <w:kern w:val="2"/>
      <w:sz w:val="18"/>
      <w:szCs w:val="18"/>
    </w:rPr>
  </w:style>
  <w:style w:type="paragraph" w:styleId="9">
    <w:name w:val="List Paragraph"/>
    <w:basedOn w:val="1"/>
    <w:unhideWhenUsed/>
    <w:uiPriority w:val="99"/>
    <w:pPr>
      <w:ind w:firstLine="420" w:firstLineChars="200"/>
    </w:pPr>
  </w:style>
  <w:style w:type="character" w:customStyle="1" w:styleId="10">
    <w:name w:val="批注文字 字符"/>
    <w:basedOn w:val="6"/>
    <w:link w:val="2"/>
    <w:qFormat/>
    <w:uiPriority w:val="99"/>
    <w:rPr>
      <w:rFonts w:ascii="Times New Roman" w:hAnsi="Times New Roman" w:eastAsia="宋体" w:cs="Times New Roman"/>
      <w:kern w:val="2"/>
      <w:sz w:val="21"/>
    </w:rPr>
  </w:style>
  <w:style w:type="character" w:customStyle="1" w:styleId="11">
    <w:name w:val="title1"/>
    <w:qFormat/>
    <w:uiPriority w:val="0"/>
    <w:rPr>
      <w:b/>
      <w:bCs/>
      <w:color w:val="999900"/>
      <w:sz w:val="24"/>
      <w:szCs w:val="24"/>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1647</Words>
  <Characters>2805</Characters>
  <Lines>22</Lines>
  <Paragraphs>6</Paragraphs>
  <TotalTime>114</TotalTime>
  <ScaleCrop>false</ScaleCrop>
  <LinksUpToDate>false</LinksUpToDate>
  <CharactersWithSpaces>3066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2026-05-27T07:54:00Z</dcterms:created>
  <dc:creator>詹淑贝</dc:creator>
  <cp:lastModifiedBy>詹淑贝</cp:lastModifiedBy>
  <dcterms:modified xsi:type="dcterms:W3CDTF">2026-06-17T01:07:49Z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FB84572423484FBA9855401BDB48A8B0_11</vt:lpwstr>
  </property>
  <property fmtid="{D5CDD505-2E9C-101B-9397-08002B2CF9AE}" pid="4" name="KSOTemplateDocerSaveRecord">
    <vt:lpwstr>eyJoZGlkIjoiY2FmYzE5MDMyMWQ0MzE2YjViM2ZiODE5N2JmNzNkZWYiLCJ1c2VySWQiOiIyNjExNDgzODcifQ==</vt:lpwstr>
  </property>
</Properties>
</file>