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68F784">
      <w:pPr>
        <w:jc w:val="center"/>
        <w:rPr>
          <w:rStyle w:val="37"/>
          <w:rFonts w:eastAsia="方正小标宋简体"/>
          <w:bCs w:val="0"/>
          <w:color w:val="auto"/>
          <w:sz w:val="36"/>
          <w:szCs w:val="36"/>
        </w:rPr>
      </w:pPr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7"/>
          <w:rFonts w:eastAsia="仿宋_GB2312"/>
          <w:b w:val="0"/>
          <w:color w:val="auto"/>
          <w:sz w:val="32"/>
          <w:szCs w:val="32"/>
        </w:rPr>
        <w:t>（单位提名）</w:t>
      </w:r>
    </w:p>
    <w:p w14:paraId="28EC6A5B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105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8250"/>
      </w:tblGrid>
      <w:tr w14:paraId="1F8F5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2269" w:type="dxa"/>
            <w:vAlign w:val="center"/>
          </w:tcPr>
          <w:p w14:paraId="10B8F203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8250" w:type="dxa"/>
            <w:vAlign w:val="center"/>
          </w:tcPr>
          <w:p w14:paraId="22292579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bookmarkStart w:id="0" w:name="OLE_LINK1"/>
            <w:r>
              <w:rPr>
                <w:rStyle w:val="37"/>
                <w:rFonts w:eastAsia="仿宋_GB2312"/>
                <w:b w:val="0"/>
                <w:color w:val="auto"/>
                <w:sz w:val="28"/>
              </w:rPr>
              <w:t>自体脂肪移植成活的再血管化与微环境调控关键技术及临床应用</w:t>
            </w:r>
            <w:bookmarkEnd w:id="0"/>
          </w:p>
        </w:tc>
      </w:tr>
      <w:tr w14:paraId="356FE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2269" w:type="dxa"/>
            <w:vAlign w:val="center"/>
          </w:tcPr>
          <w:p w14:paraId="593A0337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8250" w:type="dxa"/>
            <w:vAlign w:val="center"/>
          </w:tcPr>
          <w:p w14:paraId="219A3F02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</w:rPr>
              <w:t>二等奖</w:t>
            </w:r>
          </w:p>
        </w:tc>
      </w:tr>
      <w:tr w14:paraId="6E7FF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  <w:jc w:val="center"/>
        </w:trPr>
        <w:tc>
          <w:tcPr>
            <w:tcW w:w="2269" w:type="dxa"/>
            <w:vAlign w:val="center"/>
          </w:tcPr>
          <w:p w14:paraId="208BB224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A3DE18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8250" w:type="dxa"/>
            <w:vAlign w:val="center"/>
          </w:tcPr>
          <w:p w14:paraId="2300BDD9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提名书的主要知识产权和标准规范目录、代表性论文专著目录见附录。</w:t>
            </w:r>
          </w:p>
        </w:tc>
      </w:tr>
      <w:tr w14:paraId="58734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  <w:jc w:val="center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3E885C1E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8250" w:type="dxa"/>
            <w:tcBorders>
              <w:left w:val="single" w:color="auto" w:sz="4" w:space="0"/>
            </w:tcBorders>
            <w:vAlign w:val="center"/>
          </w:tcPr>
          <w:p w14:paraId="1042BA1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谈伟强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主任医师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浙江大学医学院附属邵逸夫医院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6AEA2AB2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陈晓玲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主治医师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浙江大学医学院附属第四医院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474D1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徐凯</w:t>
            </w:r>
            <w:r>
              <w:rPr>
                <w:rFonts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主治医师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浙江大学医学院附属第四医院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00A13E94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廖云君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主任医师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南方医科大学南方医院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4EA6179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马菁晶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副主任医师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浙江大学医学院附属邵逸夫医院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6EAA312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李烨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南方医科大学南方医院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22C9471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施帮辉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主治医师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浙江大学医学院附属第四医院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53475C7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顾子春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副主任医师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浙江大学医学院附属邵逸夫医院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73B3EC0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陈力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副主任医师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浙江大学医学院附属邵逸夫医院。</w:t>
            </w:r>
          </w:p>
        </w:tc>
      </w:tr>
      <w:tr w14:paraId="565B9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  <w:jc w:val="center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59FEB924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8250" w:type="dxa"/>
            <w:tcBorders>
              <w:left w:val="single" w:color="auto" w:sz="4" w:space="0"/>
            </w:tcBorders>
            <w:vAlign w:val="center"/>
          </w:tcPr>
          <w:p w14:paraId="1C117857">
            <w:pPr>
              <w:pStyle w:val="32"/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单位名称：浙江大学</w:t>
            </w:r>
            <w:r>
              <w:rPr>
                <w:rFonts w:hint="eastAsia" w:eastAsia="仿宋_GB2312"/>
                <w:bCs/>
                <w:sz w:val="24"/>
                <w:szCs w:val="24"/>
              </w:rPr>
              <w:t>医学院附属邵逸夫医院</w:t>
            </w:r>
          </w:p>
          <w:p w14:paraId="65426869">
            <w:pPr>
              <w:pStyle w:val="32"/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单位名称：浙江大学医学院附属第四医院</w:t>
            </w:r>
          </w:p>
          <w:p w14:paraId="3FAC76EF">
            <w:pPr>
              <w:pStyle w:val="32"/>
              <w:numPr>
                <w:ilvl w:val="0"/>
                <w:numId w:val="1"/>
              </w:num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/>
                <w:bCs/>
                <w:sz w:val="24"/>
                <w:szCs w:val="24"/>
              </w:rPr>
              <w:t>南方医科大学南方医院</w:t>
            </w:r>
          </w:p>
        </w:tc>
      </w:tr>
      <w:tr w14:paraId="72959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269" w:type="dxa"/>
            <w:vAlign w:val="center"/>
          </w:tcPr>
          <w:p w14:paraId="12292154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8250" w:type="dxa"/>
            <w:vAlign w:val="center"/>
          </w:tcPr>
          <w:p w14:paraId="4EF0450B">
            <w:pPr>
              <w:contextualSpacing/>
              <w:jc w:val="center"/>
              <w:rPr>
                <w:rStyle w:val="37"/>
                <w:b w:val="0"/>
                <w:color w:val="auto"/>
              </w:rPr>
            </w:pPr>
            <w:r>
              <w:rPr>
                <w:rStyle w:val="37"/>
                <w:rFonts w:hint="eastAsia"/>
                <w:b w:val="0"/>
                <w:color w:val="auto"/>
              </w:rPr>
              <w:t>浙江大学</w:t>
            </w:r>
          </w:p>
        </w:tc>
      </w:tr>
      <w:tr w14:paraId="14F37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  <w:jc w:val="center"/>
        </w:trPr>
        <w:tc>
          <w:tcPr>
            <w:tcW w:w="2269" w:type="dxa"/>
            <w:vAlign w:val="center"/>
          </w:tcPr>
          <w:p w14:paraId="6F410F25">
            <w:pPr>
              <w:jc w:val="center"/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7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8250" w:type="dxa"/>
            <w:vAlign w:val="center"/>
          </w:tcPr>
          <w:p w14:paraId="2DEEE95E">
            <w:pPr>
              <w:contextualSpacing/>
              <w:jc w:val="left"/>
              <w:rPr>
                <w:rStyle w:val="37"/>
                <w:b w:val="0"/>
                <w:color w:val="auto"/>
              </w:rPr>
            </w:pPr>
            <w:r>
              <w:rPr>
                <w:rStyle w:val="37"/>
                <w:rFonts w:hint="eastAsia"/>
                <w:b w:val="0"/>
                <w:color w:val="auto"/>
              </w:rPr>
              <w:t xml:space="preserve">   </w:t>
            </w:r>
            <w:bookmarkStart w:id="1" w:name="OLE_LINK18"/>
            <w:r>
              <w:rPr>
                <w:rStyle w:val="37"/>
                <w:rFonts w:hint="eastAsia"/>
                <w:b w:val="0"/>
                <w:color w:val="auto"/>
              </w:rPr>
              <w:t xml:space="preserve"> </w:t>
            </w:r>
            <w:bookmarkStart w:id="2" w:name="OLE_LINK53"/>
            <w:bookmarkStart w:id="3" w:name="OLE_LINK3"/>
            <w:r>
              <w:rPr>
                <w:rStyle w:val="37"/>
                <w:b w:val="0"/>
                <w:color w:val="auto"/>
              </w:rPr>
              <w:t>本</w:t>
            </w:r>
            <w:r>
              <w:rPr>
                <w:rStyle w:val="37"/>
                <w:rFonts w:hint="eastAsia"/>
                <w:b w:val="0"/>
                <w:color w:val="auto"/>
              </w:rPr>
              <w:t>成果</w:t>
            </w:r>
            <w:r>
              <w:rPr>
                <w:rStyle w:val="37"/>
                <w:b w:val="0"/>
                <w:color w:val="auto"/>
              </w:rPr>
              <w:t>针对自体脂肪移植成活率</w:t>
            </w:r>
            <w:r>
              <w:rPr>
                <w:rStyle w:val="37"/>
                <w:rFonts w:hint="eastAsia"/>
                <w:b w:val="0"/>
                <w:color w:val="auto"/>
              </w:rPr>
              <w:t>不稳定、</w:t>
            </w:r>
            <w:r>
              <w:rPr>
                <w:bCs/>
                <w:sz w:val="24"/>
                <w:szCs w:val="24"/>
              </w:rPr>
              <w:t>远期体积保留率波动及</w:t>
            </w:r>
            <w:r>
              <w:rPr>
                <w:rFonts w:hint="eastAsia"/>
                <w:bCs/>
                <w:sz w:val="24"/>
                <w:szCs w:val="24"/>
              </w:rPr>
              <w:t>相关</w:t>
            </w:r>
            <w:r>
              <w:rPr>
                <w:bCs/>
                <w:sz w:val="24"/>
                <w:szCs w:val="24"/>
              </w:rPr>
              <w:t>并发症影响临床疗效等</w:t>
            </w:r>
            <w:r>
              <w:rPr>
                <w:rStyle w:val="37"/>
                <w:b w:val="0"/>
                <w:color w:val="auto"/>
              </w:rPr>
              <w:t>长期制约临床应用的关键问题，围绕移植后早期</w:t>
            </w:r>
            <w:r>
              <w:rPr>
                <w:rStyle w:val="37"/>
                <w:rFonts w:hint="eastAsia"/>
                <w:b w:val="0"/>
                <w:color w:val="auto"/>
              </w:rPr>
              <w:t>血供重建</w:t>
            </w:r>
            <w:r>
              <w:rPr>
                <w:rStyle w:val="37"/>
                <w:b w:val="0"/>
                <w:color w:val="auto"/>
              </w:rPr>
              <w:t>不足及</w:t>
            </w:r>
            <w:r>
              <w:rPr>
                <w:rStyle w:val="37"/>
                <w:rFonts w:hint="eastAsia"/>
                <w:b w:val="0"/>
                <w:color w:val="auto"/>
              </w:rPr>
              <w:t>受区</w:t>
            </w:r>
            <w:r>
              <w:rPr>
                <w:rStyle w:val="37"/>
                <w:b w:val="0"/>
                <w:color w:val="auto"/>
              </w:rPr>
              <w:t>微环境不良等核心瓶颈，系统开展关键技术研究与临床应用探索，形成了提高脂肪移植</w:t>
            </w:r>
            <w:r>
              <w:rPr>
                <w:rStyle w:val="37"/>
                <w:rFonts w:hint="eastAsia"/>
                <w:b w:val="0"/>
                <w:color w:val="auto"/>
              </w:rPr>
              <w:t>成活质量和治疗效果稳定性</w:t>
            </w:r>
            <w:r>
              <w:rPr>
                <w:rStyle w:val="37"/>
                <w:b w:val="0"/>
                <w:color w:val="auto"/>
              </w:rPr>
              <w:t>的系列关键技术及应用模式。</w:t>
            </w:r>
          </w:p>
          <w:p w14:paraId="417B766B">
            <w:pPr>
              <w:ind w:firstLine="480" w:firstLineChars="200"/>
              <w:contextualSpacing/>
              <w:jc w:val="left"/>
              <w:rPr>
                <w:rStyle w:val="37"/>
                <w:b w:val="0"/>
                <w:color w:val="auto"/>
              </w:rPr>
            </w:pPr>
            <w:bookmarkStart w:id="4" w:name="OLE_LINK14"/>
            <w:r>
              <w:rPr>
                <w:rStyle w:val="37"/>
                <w:rFonts w:hint="eastAsia"/>
                <w:b w:val="0"/>
                <w:color w:val="auto"/>
              </w:rPr>
              <w:t>该成果建立</w:t>
            </w:r>
            <w:r>
              <w:rPr>
                <w:rStyle w:val="37"/>
                <w:b w:val="0"/>
                <w:color w:val="auto"/>
              </w:rPr>
              <w:t>了以</w:t>
            </w:r>
            <w:r>
              <w:rPr>
                <w:bCs/>
                <w:sz w:val="24"/>
                <w:szCs w:val="24"/>
              </w:rPr>
              <w:t>血管内皮生长因子（VEGF）</w:t>
            </w:r>
            <w:r>
              <w:rPr>
                <w:rStyle w:val="37"/>
                <w:b w:val="0"/>
                <w:color w:val="auto"/>
              </w:rPr>
              <w:t>为核心的</w:t>
            </w:r>
            <w:r>
              <w:rPr>
                <w:rStyle w:val="37"/>
                <w:rFonts w:hint="eastAsia"/>
                <w:b w:val="0"/>
                <w:color w:val="auto"/>
              </w:rPr>
              <w:t>局部</w:t>
            </w:r>
            <w:r>
              <w:rPr>
                <w:rStyle w:val="37"/>
                <w:b w:val="0"/>
                <w:color w:val="auto"/>
              </w:rPr>
              <w:t>缓释递送技术，</w:t>
            </w:r>
            <w:r>
              <w:rPr>
                <w:rStyle w:val="37"/>
                <w:rFonts w:hint="eastAsia"/>
                <w:b w:val="0"/>
                <w:color w:val="auto"/>
              </w:rPr>
              <w:t>促进移植早期再血管化，</w:t>
            </w:r>
            <w:r>
              <w:rPr>
                <w:rStyle w:val="37"/>
                <w:b w:val="0"/>
                <w:color w:val="auto"/>
              </w:rPr>
              <w:t>改善血供重建不足</w:t>
            </w:r>
            <w:r>
              <w:rPr>
                <w:rStyle w:val="37"/>
                <w:rFonts w:hint="eastAsia"/>
                <w:b w:val="0"/>
                <w:color w:val="auto"/>
              </w:rPr>
              <w:t>，为移植物早期成活奠定血管化基础。在此基础上</w:t>
            </w:r>
            <w:r>
              <w:rPr>
                <w:rStyle w:val="37"/>
                <w:b w:val="0"/>
                <w:color w:val="auto"/>
              </w:rPr>
              <w:t>，进一步阐明机械力</w:t>
            </w:r>
            <w:r>
              <w:rPr>
                <w:rStyle w:val="37"/>
                <w:rFonts w:hint="eastAsia"/>
                <w:b w:val="0"/>
                <w:color w:val="auto"/>
              </w:rPr>
              <w:t>调控</w:t>
            </w:r>
            <w:r>
              <w:rPr>
                <w:rStyle w:val="37"/>
                <w:b w:val="0"/>
                <w:color w:val="auto"/>
              </w:rPr>
              <w:t>、免疫</w:t>
            </w:r>
            <w:r>
              <w:rPr>
                <w:rStyle w:val="37"/>
                <w:rFonts w:hint="eastAsia"/>
                <w:b w:val="0"/>
                <w:color w:val="auto"/>
              </w:rPr>
              <w:t>微环境改善和</w:t>
            </w:r>
            <w:r>
              <w:rPr>
                <w:rStyle w:val="37"/>
                <w:b w:val="0"/>
                <w:color w:val="auto"/>
              </w:rPr>
              <w:t>脂肪细胞功能调节等因素对脂肪移植成活、血管生成和组织再生的作用，形成</w:t>
            </w:r>
            <w:r>
              <w:rPr>
                <w:rStyle w:val="37"/>
                <w:rFonts w:hint="eastAsia"/>
                <w:b w:val="0"/>
                <w:color w:val="auto"/>
              </w:rPr>
              <w:t>以</w:t>
            </w:r>
            <w:r>
              <w:rPr>
                <w:rStyle w:val="37"/>
                <w:b w:val="0"/>
                <w:color w:val="auto"/>
              </w:rPr>
              <w:t>移植物优化、受区微环境改善、再血管化促进为核心的综合技术路径，提升脂肪移植远期保留</w:t>
            </w:r>
            <w:r>
              <w:rPr>
                <w:rStyle w:val="37"/>
                <w:rFonts w:hint="eastAsia"/>
                <w:b w:val="0"/>
                <w:color w:val="auto"/>
              </w:rPr>
              <w:t>的</w:t>
            </w:r>
            <w:r>
              <w:rPr>
                <w:rStyle w:val="37"/>
                <w:b w:val="0"/>
                <w:color w:val="auto"/>
              </w:rPr>
              <w:t>稳定性。</w:t>
            </w:r>
          </w:p>
          <w:bookmarkEnd w:id="4"/>
          <w:p w14:paraId="387AB459">
            <w:pPr>
              <w:ind w:firstLine="480" w:firstLineChars="200"/>
              <w:contextualSpacing/>
              <w:jc w:val="left"/>
              <w:rPr>
                <w:rStyle w:val="37"/>
                <w:b w:val="0"/>
                <w:color w:val="auto"/>
              </w:rPr>
            </w:pPr>
            <w:r>
              <w:rPr>
                <w:rStyle w:val="37"/>
                <w:rFonts w:hint="eastAsia"/>
                <w:b w:val="0"/>
                <w:color w:val="auto"/>
              </w:rPr>
              <w:t>该成果已经</w:t>
            </w:r>
            <w:r>
              <w:rPr>
                <w:rStyle w:val="37"/>
                <w:b w:val="0"/>
                <w:color w:val="auto"/>
              </w:rPr>
              <w:t>应用于瘢痕修复、乳房整形与重建</w:t>
            </w:r>
            <w:r>
              <w:rPr>
                <w:rStyle w:val="37"/>
                <w:rFonts w:hint="eastAsia"/>
                <w:b w:val="0"/>
                <w:color w:val="auto"/>
              </w:rPr>
              <w:t>、</w:t>
            </w:r>
            <w:r>
              <w:rPr>
                <w:rStyle w:val="37"/>
                <w:b w:val="0"/>
                <w:color w:val="auto"/>
              </w:rPr>
              <w:t>慢性创面</w:t>
            </w:r>
            <w:r>
              <w:rPr>
                <w:rStyle w:val="37"/>
                <w:rFonts w:hint="eastAsia"/>
                <w:b w:val="0"/>
                <w:color w:val="auto"/>
              </w:rPr>
              <w:t>修复及脂肪移植并发症防控</w:t>
            </w:r>
            <w:r>
              <w:rPr>
                <w:rStyle w:val="37"/>
                <w:b w:val="0"/>
                <w:color w:val="auto"/>
              </w:rPr>
              <w:t>等临床场景，</w:t>
            </w:r>
            <w:r>
              <w:rPr>
                <w:rStyle w:val="37"/>
                <w:rFonts w:hint="eastAsia"/>
                <w:b w:val="0"/>
                <w:color w:val="auto"/>
              </w:rPr>
              <w:t>有效提升了</w:t>
            </w:r>
            <w:r>
              <w:rPr>
                <w:rStyle w:val="37"/>
                <w:b w:val="0"/>
                <w:color w:val="auto"/>
              </w:rPr>
              <w:t>脂肪移植成活率与治疗效果稳定性，降低</w:t>
            </w:r>
            <w:r>
              <w:rPr>
                <w:rStyle w:val="37"/>
                <w:rFonts w:hint="eastAsia"/>
                <w:b w:val="0"/>
                <w:color w:val="auto"/>
              </w:rPr>
              <w:t>了</w:t>
            </w:r>
            <w:r>
              <w:rPr>
                <w:rStyle w:val="37"/>
                <w:b w:val="0"/>
                <w:color w:val="auto"/>
              </w:rPr>
              <w:t>并发症</w:t>
            </w:r>
            <w:r>
              <w:rPr>
                <w:rStyle w:val="37"/>
                <w:rFonts w:hint="eastAsia"/>
                <w:b w:val="0"/>
                <w:color w:val="auto"/>
              </w:rPr>
              <w:t>风险</w:t>
            </w:r>
            <w:r>
              <w:rPr>
                <w:rStyle w:val="37"/>
                <w:b w:val="0"/>
                <w:color w:val="auto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改善了</w:t>
            </w:r>
            <w:r>
              <w:rPr>
                <w:bCs/>
                <w:sz w:val="24"/>
                <w:szCs w:val="24"/>
              </w:rPr>
              <w:t>患者</w:t>
            </w:r>
            <w:r>
              <w:rPr>
                <w:rFonts w:hint="eastAsia"/>
                <w:bCs/>
                <w:sz w:val="24"/>
                <w:szCs w:val="24"/>
              </w:rPr>
              <w:t>修复效果</w:t>
            </w:r>
            <w:r>
              <w:rPr>
                <w:bCs/>
                <w:sz w:val="24"/>
                <w:szCs w:val="24"/>
              </w:rPr>
              <w:t>和生活质量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Style w:val="37"/>
                <w:b w:val="0"/>
                <w:color w:val="auto"/>
              </w:rPr>
              <w:t>具有良好的</w:t>
            </w:r>
            <w:r>
              <w:rPr>
                <w:rStyle w:val="37"/>
                <w:rFonts w:hint="eastAsia"/>
                <w:b w:val="0"/>
                <w:color w:val="auto"/>
              </w:rPr>
              <w:t>临床实用性、</w:t>
            </w:r>
            <w:r>
              <w:rPr>
                <w:rStyle w:val="37"/>
                <w:b w:val="0"/>
                <w:color w:val="auto"/>
              </w:rPr>
              <w:t>可复制性和</w:t>
            </w:r>
            <w:r>
              <w:rPr>
                <w:rStyle w:val="37"/>
                <w:rFonts w:hint="eastAsia"/>
                <w:b w:val="0"/>
                <w:color w:val="auto"/>
              </w:rPr>
              <w:t>推广</w:t>
            </w:r>
            <w:r>
              <w:rPr>
                <w:rStyle w:val="37"/>
                <w:b w:val="0"/>
                <w:color w:val="auto"/>
              </w:rPr>
              <w:t>价值。</w:t>
            </w:r>
          </w:p>
          <w:p w14:paraId="3E8DB8D0">
            <w:pPr>
              <w:ind w:firstLine="480" w:firstLineChars="200"/>
              <w:contextualSpacing/>
              <w:jc w:val="left"/>
              <w:rPr>
                <w:rStyle w:val="37"/>
                <w:b w:val="0"/>
                <w:color w:val="auto"/>
              </w:rPr>
            </w:pPr>
            <w:r>
              <w:rPr>
                <w:bCs/>
                <w:sz w:val="24"/>
                <w:szCs w:val="24"/>
              </w:rPr>
              <w:t>该成果技术路线清晰，创新性</w:t>
            </w:r>
            <w:r>
              <w:rPr>
                <w:rFonts w:hint="eastAsia"/>
                <w:bCs/>
                <w:sz w:val="24"/>
                <w:szCs w:val="24"/>
              </w:rPr>
              <w:t>和实用性</w:t>
            </w:r>
            <w:r>
              <w:rPr>
                <w:bCs/>
                <w:sz w:val="24"/>
                <w:szCs w:val="24"/>
              </w:rPr>
              <w:t>较强，</w:t>
            </w:r>
            <w:r>
              <w:rPr>
                <w:rFonts w:hint="eastAsia"/>
                <w:bCs/>
                <w:sz w:val="24"/>
                <w:szCs w:val="24"/>
              </w:rPr>
              <w:t>基础研究与临床应用结合紧密，</w:t>
            </w:r>
            <w:r>
              <w:rPr>
                <w:bCs/>
                <w:sz w:val="24"/>
                <w:szCs w:val="24"/>
              </w:rPr>
              <w:t>已发表相关论文</w:t>
            </w:r>
            <w:r>
              <w:rPr>
                <w:rFonts w:hint="eastAsia"/>
                <w:bCs/>
                <w:sz w:val="24"/>
                <w:szCs w:val="24"/>
              </w:rPr>
              <w:t>10余</w:t>
            </w:r>
            <w:r>
              <w:rPr>
                <w:bCs/>
                <w:sz w:val="24"/>
                <w:szCs w:val="24"/>
              </w:rPr>
              <w:t>篇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Style w:val="37"/>
                <w:rFonts w:hint="eastAsia"/>
                <w:b w:val="0"/>
                <w:color w:val="auto"/>
              </w:rPr>
              <w:t>近3年</w:t>
            </w:r>
            <w:r>
              <w:rPr>
                <w:rStyle w:val="37"/>
                <w:b w:val="0"/>
                <w:color w:val="auto"/>
              </w:rPr>
              <w:t>相关成果</w:t>
            </w:r>
            <w:r>
              <w:rPr>
                <w:bCs/>
                <w:sz w:val="24"/>
                <w:szCs w:val="24"/>
              </w:rPr>
              <w:t>应用病例1000余例</w:t>
            </w:r>
            <w:r>
              <w:rPr>
                <w:rStyle w:val="37"/>
                <w:b w:val="0"/>
                <w:color w:val="auto"/>
              </w:rPr>
              <w:t>，并在多中心推广</w:t>
            </w:r>
            <w:r>
              <w:rPr>
                <w:rStyle w:val="37"/>
                <w:rFonts w:hint="eastAsia"/>
                <w:b w:val="0"/>
                <w:color w:val="auto"/>
              </w:rPr>
              <w:t>应用</w:t>
            </w:r>
            <w:r>
              <w:rPr>
                <w:rStyle w:val="37"/>
                <w:b w:val="0"/>
                <w:color w:val="auto"/>
              </w:rPr>
              <w:t>，取得了良好的社会效益</w:t>
            </w:r>
            <w:r>
              <w:rPr>
                <w:rStyle w:val="37"/>
                <w:rFonts w:hint="eastAsia"/>
                <w:b w:val="0"/>
                <w:color w:val="auto"/>
              </w:rPr>
              <w:t>，</w:t>
            </w:r>
            <w:r>
              <w:rPr>
                <w:rStyle w:val="37"/>
                <w:b w:val="0"/>
                <w:color w:val="auto"/>
              </w:rPr>
              <w:t>对推动整形</w:t>
            </w:r>
            <w:r>
              <w:rPr>
                <w:rStyle w:val="37"/>
                <w:rFonts w:hint="eastAsia"/>
                <w:b w:val="0"/>
                <w:color w:val="auto"/>
              </w:rPr>
              <w:t>与创面修复重建</w:t>
            </w:r>
            <w:r>
              <w:rPr>
                <w:rStyle w:val="37"/>
                <w:b w:val="0"/>
                <w:color w:val="auto"/>
              </w:rPr>
              <w:t>技术进步具有重要意义。</w:t>
            </w:r>
            <w:bookmarkEnd w:id="1"/>
            <w:bookmarkEnd w:id="2"/>
          </w:p>
          <w:bookmarkEnd w:id="3"/>
          <w:p w14:paraId="10E3F9D1">
            <w:pPr>
              <w:ind w:firstLine="480" w:firstLineChars="200"/>
              <w:contextualSpacing/>
              <w:jc w:val="left"/>
              <w:rPr>
                <w:rStyle w:val="37"/>
                <w:rFonts w:hint="eastAsia"/>
                <w:b w:val="0"/>
                <w:color w:val="auto"/>
              </w:rPr>
            </w:pPr>
            <w:r>
              <w:rPr>
                <w:bCs/>
                <w:sz w:val="24"/>
                <w:szCs w:val="24"/>
              </w:rPr>
              <w:t>提名该成果为省科学技术进步奖二等奖</w:t>
            </w:r>
            <w:r>
              <w:rPr>
                <w:rFonts w:hint="eastAsia"/>
                <w:bCs/>
                <w:sz w:val="24"/>
                <w:szCs w:val="24"/>
              </w:rPr>
              <w:t>。</w:t>
            </w:r>
          </w:p>
        </w:tc>
      </w:tr>
    </w:tbl>
    <w:p w14:paraId="5C2A0D6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5450E5EF">
      <w:pPr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br w:type="page"/>
      </w:r>
    </w:p>
    <w:p w14:paraId="3E91E089">
      <w:pPr>
        <w:pStyle w:val="11"/>
        <w:jc w:val="center"/>
        <w:rPr>
          <w:rFonts w:eastAsia="方正黑体简体"/>
          <w:sz w:val="32"/>
          <w:szCs w:val="22"/>
        </w:rPr>
      </w:pPr>
      <w:r>
        <w:rPr>
          <w:rFonts w:hint="eastAsia" w:eastAsia="方正黑体简体"/>
          <w:sz w:val="32"/>
          <w:szCs w:val="22"/>
        </w:rPr>
        <w:t>附录</w:t>
      </w:r>
    </w:p>
    <w:p w14:paraId="7D5FB205">
      <w:pPr>
        <w:pStyle w:val="11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944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9"/>
        <w:gridCol w:w="3888"/>
        <w:gridCol w:w="1262"/>
        <w:gridCol w:w="1000"/>
        <w:gridCol w:w="987"/>
      </w:tblGrid>
      <w:tr w14:paraId="7D5242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230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3D6A3E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作 者</w:t>
            </w:r>
          </w:p>
        </w:tc>
        <w:tc>
          <w:tcPr>
            <w:tcW w:w="388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21B340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论文专著名称/刊物</w:t>
            </w:r>
          </w:p>
        </w:tc>
        <w:tc>
          <w:tcPr>
            <w:tcW w:w="126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67936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年卷</w:t>
            </w:r>
          </w:p>
          <w:p w14:paraId="1DC4FA17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页码</w:t>
            </w:r>
          </w:p>
        </w:tc>
        <w:tc>
          <w:tcPr>
            <w:tcW w:w="100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B064B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发表</w:t>
            </w:r>
          </w:p>
          <w:p w14:paraId="29ED3F18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时间</w:t>
            </w:r>
          </w:p>
          <w:p w14:paraId="0D9A3903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（年、月）</w:t>
            </w:r>
          </w:p>
        </w:tc>
        <w:tc>
          <w:tcPr>
            <w:tcW w:w="987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9F1E4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他引</w:t>
            </w:r>
          </w:p>
          <w:p w14:paraId="7711B4CE"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总次数</w:t>
            </w:r>
          </w:p>
        </w:tc>
      </w:tr>
      <w:tr w14:paraId="1905E8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1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C029EE">
            <w:pPr>
              <w:rPr>
                <w:szCs w:val="21"/>
              </w:rPr>
            </w:pPr>
            <w:r>
              <w:rPr>
                <w:szCs w:val="21"/>
              </w:rPr>
              <w:t>Meng-Yuan Zhang, Shi-Li Ding, Song-Jia Tang, Hu Yang, Hai-Fei Shi, Xiao Z Shen, Wei-Qiang Tan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157AFD">
            <w:pPr>
              <w:rPr>
                <w:szCs w:val="21"/>
              </w:rPr>
            </w:pPr>
            <w:bookmarkStart w:id="5" w:name="OLE_LINK50"/>
            <w:r>
              <w:rPr>
                <w:rFonts w:eastAsiaTheme="minorEastAsia"/>
                <w:bCs/>
                <w:szCs w:val="22"/>
              </w:rPr>
              <w:t>Effect of chitosan nanospheres loaded with VEGF on adipose tissue transplantation: a preliminary report</w:t>
            </w:r>
            <w:bookmarkEnd w:id="5"/>
            <w:r>
              <w:rPr>
                <w:rFonts w:hint="eastAsia" w:eastAsiaTheme="minorEastAsia"/>
                <w:bCs/>
                <w:szCs w:val="22"/>
              </w:rPr>
              <w:t xml:space="preserve">/ </w:t>
            </w:r>
            <w:r>
              <w:rPr>
                <w:szCs w:val="21"/>
              </w:rPr>
              <w:t>Tissue Eng Part A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BE221">
            <w:pPr>
              <w:rPr>
                <w:szCs w:val="21"/>
              </w:rPr>
            </w:pPr>
            <w:r>
              <w:rPr>
                <w:szCs w:val="21"/>
              </w:rPr>
              <w:t>2014 Sep;20(17-18):2273-82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BEB189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2014 Sep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BAD78F4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0DFF18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4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C6F167">
            <w:pPr>
              <w:rPr>
                <w:szCs w:val="21"/>
              </w:rPr>
            </w:pPr>
            <w:r>
              <w:rPr>
                <w:szCs w:val="21"/>
              </w:rPr>
              <w:t>Shi-Li Ding, Meng-Yuan Zhang, Song-Jia Tang, Hu Yang, Wei-Qiang Tan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7C5C0">
            <w:pPr>
              <w:rPr>
                <w:szCs w:val="21"/>
              </w:rPr>
            </w:pPr>
            <w:bookmarkStart w:id="6" w:name="OLE_LINK51"/>
            <w:r>
              <w:rPr>
                <w:szCs w:val="21"/>
              </w:rPr>
              <w:t>Effect of Calcium Alginate Microsphere Loaded With Vascular Endothelial Growth Factor on Adipose Tissue Transplantation</w:t>
            </w:r>
            <w:bookmarkEnd w:id="6"/>
            <w:r>
              <w:rPr>
                <w:szCs w:val="21"/>
              </w:rPr>
              <w:t xml:space="preserve"> / Annals of Plastic Surgery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DA5823">
            <w:pPr>
              <w:rPr>
                <w:szCs w:val="21"/>
              </w:rPr>
            </w:pPr>
            <w:r>
              <w:rPr>
                <w:szCs w:val="21"/>
              </w:rPr>
              <w:t>2015 Dec; 75(6): 644-51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73E64C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2015 Dec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56B232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419F3A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49D7A1">
            <w:pPr>
              <w:rPr>
                <w:szCs w:val="21"/>
              </w:rPr>
            </w:pPr>
            <w:r>
              <w:rPr>
                <w:szCs w:val="21"/>
              </w:rPr>
              <w:t>Jingjing Ma, Jing Xia, Jianhua Gao, Feng Lu, Yunjun Liao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E20478">
            <w:pPr>
              <w:rPr>
                <w:szCs w:val="21"/>
              </w:rPr>
            </w:pPr>
            <w:bookmarkStart w:id="7" w:name="OLE_LINK17"/>
            <w:r>
              <w:rPr>
                <w:szCs w:val="21"/>
              </w:rPr>
              <w:t>Mechanical Signals Induce Dedifferentiation of Mature Adipocytes and Increase the Retention Rate of Fat Grafts</w:t>
            </w:r>
            <w:bookmarkEnd w:id="7"/>
            <w:r>
              <w:rPr>
                <w:szCs w:val="21"/>
              </w:rPr>
              <w:t xml:space="preserve"> </w:t>
            </w:r>
            <w:bookmarkStart w:id="8" w:name="OLE_LINK21"/>
            <w:r>
              <w:rPr>
                <w:szCs w:val="21"/>
              </w:rPr>
              <w:t>/ Plastic and Reconstructive Surgery</w:t>
            </w:r>
            <w:bookmarkEnd w:id="8"/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2464A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2019 Dec;144(6):1323-</w:t>
            </w:r>
            <w:r>
              <w:rPr>
                <w:rFonts w:hint="eastAsia"/>
                <w:szCs w:val="21"/>
              </w:rPr>
              <w:t>13</w:t>
            </w:r>
            <w:r>
              <w:rPr>
                <w:szCs w:val="21"/>
              </w:rPr>
              <w:t>33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DF3E6E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2019 Dec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6AC89E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29</w:t>
            </w:r>
          </w:p>
        </w:tc>
      </w:tr>
      <w:tr w14:paraId="22A553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1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604269"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Yuan Ye, Yunjun Liao, Feng Lu, Jianhua Gao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E07934">
            <w:pPr>
              <w:rPr>
                <w:rFonts w:hint="eastAsia" w:eastAsiaTheme="minorEastAsia"/>
                <w:bCs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Daily Suction Provided by External Volume Expansion Inducing Regeneration of Grafted Fat in a Murine Model</w:t>
            </w:r>
            <w:r>
              <w:rPr>
                <w:rFonts w:hint="eastAsia" w:eastAsiaTheme="minorEastAsia"/>
                <w:bCs/>
                <w:szCs w:val="22"/>
              </w:rPr>
              <w:t xml:space="preserve"> / </w:t>
            </w:r>
            <w:r>
              <w:rPr>
                <w:szCs w:val="21"/>
              </w:rPr>
              <w:t>Plastic and Reconstructive Surgery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96AF89">
            <w:pPr>
              <w:rPr>
                <w:szCs w:val="21"/>
              </w:rPr>
            </w:pPr>
            <w:r>
              <w:rPr>
                <w:szCs w:val="21"/>
              </w:rPr>
              <w:t>2017 Feb;139(2):392e-402e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D8E71F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2017 Feb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276DA0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3E5B8B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48A95D3">
            <w:pPr>
              <w:rPr>
                <w:szCs w:val="21"/>
              </w:rPr>
            </w:pPr>
            <w:r>
              <w:rPr>
                <w:szCs w:val="21"/>
              </w:rPr>
              <w:t>Ye Li, Xinyao Chen, Lin Liu, Yunzi Chen, Xin Bi, Yuting Chen, Jialiang Zou, Zijue Wang, Ziqing Dong, Feng Lu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3A27AB3">
            <w:pPr>
              <w:rPr>
                <w:szCs w:val="21"/>
              </w:rPr>
            </w:pPr>
            <w:bookmarkStart w:id="9" w:name="OLE_LINK40"/>
            <w:r>
              <w:rPr>
                <w:szCs w:val="21"/>
              </w:rPr>
              <w:t>Alternatively activated macrophages at the recipient site improve fat graft retention by promoting angiogenesis and adipogenesis</w:t>
            </w:r>
            <w:bookmarkEnd w:id="9"/>
            <w:r>
              <w:rPr>
                <w:rFonts w:hint="eastAsia"/>
                <w:szCs w:val="21"/>
              </w:rPr>
              <w:t xml:space="preserve">/ </w:t>
            </w:r>
            <w:r>
              <w:rPr>
                <w:szCs w:val="21"/>
              </w:rPr>
              <w:t>Journal of cellular and molecular medicine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49DD9A">
            <w:pPr>
              <w:rPr>
                <w:szCs w:val="21"/>
              </w:rPr>
            </w:pPr>
            <w:r>
              <w:rPr>
                <w:szCs w:val="21"/>
              </w:rPr>
              <w:t>2022 Jun;26(11):3235-3242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BC715BE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2022 Jun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99E7BA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</w:tr>
      <w:tr w14:paraId="75A438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2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CFCC47C">
            <w:pPr>
              <w:rPr>
                <w:szCs w:val="21"/>
              </w:rPr>
            </w:pPr>
            <w:r>
              <w:rPr>
                <w:szCs w:val="21"/>
              </w:rPr>
              <w:t>Jing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Xia, Huidong Zhu, Shengqian Zhu, Jinbo Ge, Zijue Wang, Feng Lu, Yunjun Liao, Junrong Cai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0AB3E6">
            <w:pPr>
              <w:rPr>
                <w:szCs w:val="21"/>
              </w:rPr>
            </w:pPr>
            <w:r>
              <w:rPr>
                <w:rFonts w:eastAsiaTheme="minorEastAsia"/>
                <w:bCs/>
                <w:szCs w:val="22"/>
              </w:rPr>
              <w:t>Induced Beige Adipocytes Improved Fat Graft Retention by Promoting Adipogenesis and Angiogenesis.</w:t>
            </w:r>
            <w:r>
              <w:rPr>
                <w:szCs w:val="21"/>
              </w:rPr>
              <w:t xml:space="preserve"> / Plastic and Reconstructive Surgery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A432EF">
            <w:pPr>
              <w:rPr>
                <w:szCs w:val="21"/>
              </w:rPr>
            </w:pPr>
            <w:r>
              <w:rPr>
                <w:szCs w:val="21"/>
              </w:rPr>
              <w:t>2021 Sep 1;148(3):549-558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F42AD0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2021 Sep 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F4B3D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</w:tr>
      <w:tr w14:paraId="387322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9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0C77A8">
            <w:pPr>
              <w:rPr>
                <w:szCs w:val="21"/>
              </w:rPr>
            </w:pPr>
            <w:r>
              <w:rPr>
                <w:szCs w:val="21"/>
              </w:rPr>
              <w:t>Zichun Gu, Yirun Li,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Hua Li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2FD53">
            <w:pPr>
              <w:rPr>
                <w:szCs w:val="21"/>
              </w:rPr>
            </w:pPr>
            <w:r>
              <w:rPr>
                <w:szCs w:val="21"/>
              </w:rPr>
              <w:t>Use of Condensed Nanofat Combined With Fat Grafts to Treat Atrophic Scars / JAMA Facial Plastic Surgery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D2FFF">
            <w:pPr>
              <w:rPr>
                <w:szCs w:val="21"/>
              </w:rPr>
            </w:pPr>
            <w:r>
              <w:rPr>
                <w:szCs w:val="21"/>
              </w:rPr>
              <w:t>2018 Mar 1;20(2):128-135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B7111E">
            <w:pPr>
              <w:ind w:right="240"/>
              <w:jc w:val="left"/>
              <w:rPr>
                <w:szCs w:val="21"/>
              </w:rPr>
            </w:pPr>
            <w:r>
              <w:rPr>
                <w:szCs w:val="21"/>
              </w:rPr>
              <w:t>2018 Mar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B1890AD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79</w:t>
            </w:r>
          </w:p>
        </w:tc>
      </w:tr>
      <w:tr w14:paraId="0C35C3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97774A">
            <w:pPr>
              <w:rPr>
                <w:szCs w:val="21"/>
              </w:rPr>
            </w:pPr>
            <w:r>
              <w:rPr>
                <w:szCs w:val="21"/>
              </w:rPr>
              <w:t>Yuping Quan, Shenglu Jiang, Huidong Zhu, Feng Lu, Junrong Cai, Yunjun Liao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C7FDB8">
            <w:pPr>
              <w:rPr>
                <w:szCs w:val="21"/>
              </w:rPr>
            </w:pPr>
            <w:r>
              <w:rPr>
                <w:szCs w:val="21"/>
              </w:rPr>
              <w:t>Condensing of Low-Density Fat by Mechanical Process Improves Fat Retention and Reduces Oil Cyst Formation in Breast Reconstruction</w:t>
            </w:r>
            <w:r>
              <w:rPr>
                <w:rFonts w:hint="eastAsia"/>
                <w:szCs w:val="21"/>
              </w:rPr>
              <w:t xml:space="preserve">/ </w:t>
            </w:r>
            <w:r>
              <w:rPr>
                <w:szCs w:val="21"/>
              </w:rPr>
              <w:t>Aesthetic plastic surgery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5D3948">
            <w:pPr>
              <w:rPr>
                <w:szCs w:val="21"/>
              </w:rPr>
            </w:pPr>
            <w:r>
              <w:rPr>
                <w:szCs w:val="21"/>
              </w:rPr>
              <w:t>2023 Feb;47(1):387-396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B6B7D43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2023 Feb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5B141CA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</w:tr>
      <w:tr w14:paraId="36A917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0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FD7B4E">
            <w:pPr>
              <w:rPr>
                <w:szCs w:val="21"/>
              </w:rPr>
            </w:pPr>
            <w:r>
              <w:rPr>
                <w:szCs w:val="21"/>
              </w:rPr>
              <w:t>Li Chen, Zheng-Cai Wang, Jing-Jing Ma, Wen-Jia Sun, Shao-Wen Wang, Zi-Chun Gu, Xuan Yang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703DE6">
            <w:pPr>
              <w:rPr>
                <w:szCs w:val="21"/>
              </w:rPr>
            </w:pPr>
            <w:bookmarkStart w:id="10" w:name="OLE_LINK52"/>
            <w:r>
              <w:rPr>
                <w:szCs w:val="21"/>
              </w:rPr>
              <w:t>Autologous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nanofat transplantation accelerates foot wound healing in diabetic rats </w:t>
            </w:r>
            <w:bookmarkEnd w:id="10"/>
            <w:r>
              <w:rPr>
                <w:szCs w:val="21"/>
              </w:rPr>
              <w:t>/ Regenerative Medicine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035CDF">
            <w:pPr>
              <w:rPr>
                <w:szCs w:val="21"/>
              </w:rPr>
            </w:pPr>
            <w:r>
              <w:rPr>
                <w:szCs w:val="21"/>
              </w:rPr>
              <w:t>2019 Mar;14(3):231-41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EB951">
            <w:pPr>
              <w:ind w:right="240"/>
              <w:jc w:val="left"/>
              <w:rPr>
                <w:szCs w:val="21"/>
              </w:rPr>
            </w:pPr>
            <w:r>
              <w:rPr>
                <w:szCs w:val="21"/>
              </w:rPr>
              <w:t>2019 Mar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E83E41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29</w:t>
            </w:r>
          </w:p>
        </w:tc>
      </w:tr>
      <w:tr w14:paraId="3A3E8A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6" w:hRule="exact"/>
          <w:jc w:val="center"/>
        </w:trPr>
        <w:tc>
          <w:tcPr>
            <w:tcW w:w="230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2F60D8">
            <w:pPr>
              <w:rPr>
                <w:szCs w:val="21"/>
              </w:rPr>
            </w:pPr>
            <w:r>
              <w:rPr>
                <w:szCs w:val="21"/>
              </w:rPr>
              <w:t>Xiao-Ling Chen, Qing-Qing Fang, Xiao-Feng Wang, Wan-Yi Zhao, Min-Xia Zhang, Chun-Ye Chen, Kai Xu, Li-Hong Wu, Wei-Qiang Tan</w:t>
            </w:r>
          </w:p>
        </w:tc>
        <w:tc>
          <w:tcPr>
            <w:tcW w:w="388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A30BF1">
            <w:pPr>
              <w:rPr>
                <w:szCs w:val="21"/>
              </w:rPr>
            </w:pPr>
            <w:r>
              <w:rPr>
                <w:szCs w:val="21"/>
              </w:rPr>
              <w:t>Nonoperative management of a liponecrotic lump after augmentation mammaplasty with autologous fat injection: a case report and review of the literature / International Journal of Clinical and Experimental Medicine</w:t>
            </w:r>
          </w:p>
        </w:tc>
        <w:tc>
          <w:tcPr>
            <w:tcW w:w="12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0E15B6">
            <w:pPr>
              <w:rPr>
                <w:szCs w:val="21"/>
              </w:rPr>
            </w:pPr>
            <w:r>
              <w:rPr>
                <w:szCs w:val="21"/>
              </w:rPr>
              <w:t>2019;12(7):9431-9436</w:t>
            </w:r>
          </w:p>
        </w:tc>
        <w:tc>
          <w:tcPr>
            <w:tcW w:w="1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DC2D3A">
            <w:pPr>
              <w:wordWrap w:val="0"/>
              <w:ind w:left="210" w:hanging="210" w:hangingChars="100"/>
              <w:jc w:val="left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  <w:r>
              <w:rPr>
                <w:rFonts w:hint="eastAsia"/>
                <w:szCs w:val="21"/>
              </w:rPr>
              <w:t xml:space="preserve">  </w:t>
            </w:r>
          </w:p>
          <w:p w14:paraId="6D63B604">
            <w:pPr>
              <w:wordWrap w:val="0"/>
              <w:ind w:left="210" w:hanging="210" w:hangingChars="100"/>
              <w:jc w:val="left"/>
              <w:rPr>
                <w:szCs w:val="21"/>
              </w:rPr>
            </w:pPr>
            <w:bookmarkStart w:id="11" w:name="_GoBack"/>
            <w:bookmarkEnd w:id="11"/>
            <w:r>
              <w:rPr>
                <w:rFonts w:hint="eastAsia"/>
                <w:szCs w:val="21"/>
              </w:rPr>
              <w:t>July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4A9B8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14:paraId="759D5B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8459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0C48AAC9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  计:</w:t>
            </w:r>
          </w:p>
        </w:tc>
        <w:tc>
          <w:tcPr>
            <w:tcW w:w="987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5ACC95D8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231</w:t>
            </w:r>
          </w:p>
        </w:tc>
      </w:tr>
    </w:tbl>
    <w:p w14:paraId="30CB599F"/>
    <w:p w14:paraId="0439FDCF"/>
    <w:p w14:paraId="3FCAA7E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754EE5-4487-467A-B6D8-E26824CA3C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162206-AA9A-4458-A828-B89A8B6521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2B1643-B193-4E0D-9450-5D86D06122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9493AB-818F-41B5-8B42-0EF44C1C8B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AADD647-0FB9-40B9-8BF5-8D0EFA2BB74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DC05B1D-E1DB-4A7F-8EF2-C45F61BFB95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6F2B8D11-465C-41EA-B5C0-D7BD3B1A873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1FF" w:csb1="00000000"/>
    <w:embedRegular r:id="rId8" w:fontKey="{02763692-0848-47EF-888F-72D7D662CD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8D58141-F679-476F-BE34-922E3B2AA944}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ADC7AC60-1274-429A-9534-30A6D4EFA6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701E26"/>
    <w:multiLevelType w:val="multilevel"/>
    <w:tmpl w:val="24701E2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D85"/>
    <w:rsid w:val="000B39DF"/>
    <w:rsid w:val="0010109C"/>
    <w:rsid w:val="001022FD"/>
    <w:rsid w:val="00103AAF"/>
    <w:rsid w:val="00106B08"/>
    <w:rsid w:val="0011016C"/>
    <w:rsid w:val="00121D15"/>
    <w:rsid w:val="00140F65"/>
    <w:rsid w:val="00147A4E"/>
    <w:rsid w:val="00197FE9"/>
    <w:rsid w:val="001A7898"/>
    <w:rsid w:val="001C4A81"/>
    <w:rsid w:val="001F297A"/>
    <w:rsid w:val="002C1E1A"/>
    <w:rsid w:val="002C74A2"/>
    <w:rsid w:val="002E36F5"/>
    <w:rsid w:val="00311D99"/>
    <w:rsid w:val="003277BF"/>
    <w:rsid w:val="003433CD"/>
    <w:rsid w:val="00394DBE"/>
    <w:rsid w:val="003A34A5"/>
    <w:rsid w:val="003B4E92"/>
    <w:rsid w:val="003C1664"/>
    <w:rsid w:val="003E7F18"/>
    <w:rsid w:val="00402580"/>
    <w:rsid w:val="0045556C"/>
    <w:rsid w:val="00463D4B"/>
    <w:rsid w:val="00491ECB"/>
    <w:rsid w:val="004A4C33"/>
    <w:rsid w:val="004B4AE1"/>
    <w:rsid w:val="004F794F"/>
    <w:rsid w:val="005040E1"/>
    <w:rsid w:val="00520F00"/>
    <w:rsid w:val="005423FA"/>
    <w:rsid w:val="00567BB8"/>
    <w:rsid w:val="005934BB"/>
    <w:rsid w:val="005C02F5"/>
    <w:rsid w:val="005D01D8"/>
    <w:rsid w:val="005D50B1"/>
    <w:rsid w:val="00674ABF"/>
    <w:rsid w:val="00694897"/>
    <w:rsid w:val="006B09E9"/>
    <w:rsid w:val="007033A4"/>
    <w:rsid w:val="00715A5D"/>
    <w:rsid w:val="00753B44"/>
    <w:rsid w:val="00757F12"/>
    <w:rsid w:val="0076009C"/>
    <w:rsid w:val="007A1992"/>
    <w:rsid w:val="007A25EE"/>
    <w:rsid w:val="008143C8"/>
    <w:rsid w:val="00833C49"/>
    <w:rsid w:val="00860254"/>
    <w:rsid w:val="008748CB"/>
    <w:rsid w:val="00882964"/>
    <w:rsid w:val="008C674C"/>
    <w:rsid w:val="009226B1"/>
    <w:rsid w:val="00941BF7"/>
    <w:rsid w:val="0094422A"/>
    <w:rsid w:val="00971CF1"/>
    <w:rsid w:val="00971FF8"/>
    <w:rsid w:val="009B3D9A"/>
    <w:rsid w:val="00A10828"/>
    <w:rsid w:val="00A279B1"/>
    <w:rsid w:val="00A63651"/>
    <w:rsid w:val="00AA4A5E"/>
    <w:rsid w:val="00B10185"/>
    <w:rsid w:val="00B34437"/>
    <w:rsid w:val="00B54E2E"/>
    <w:rsid w:val="00B7491D"/>
    <w:rsid w:val="00BB59D4"/>
    <w:rsid w:val="00BD6D85"/>
    <w:rsid w:val="00BE1203"/>
    <w:rsid w:val="00C45217"/>
    <w:rsid w:val="00C576E7"/>
    <w:rsid w:val="00C95AF9"/>
    <w:rsid w:val="00CA53A3"/>
    <w:rsid w:val="00CC5A85"/>
    <w:rsid w:val="00D66B8F"/>
    <w:rsid w:val="00D75045"/>
    <w:rsid w:val="00D97DDF"/>
    <w:rsid w:val="00DC0DCA"/>
    <w:rsid w:val="00DC3EE6"/>
    <w:rsid w:val="00DD2D59"/>
    <w:rsid w:val="00E00FC3"/>
    <w:rsid w:val="00E45279"/>
    <w:rsid w:val="00E630D1"/>
    <w:rsid w:val="00E6787B"/>
    <w:rsid w:val="00E769A0"/>
    <w:rsid w:val="00EC53B1"/>
    <w:rsid w:val="00EC7184"/>
    <w:rsid w:val="00F03240"/>
    <w:rsid w:val="00F13ED9"/>
    <w:rsid w:val="00F64589"/>
    <w:rsid w:val="00F759B6"/>
    <w:rsid w:val="00FD768F"/>
    <w:rsid w:val="00FE0A59"/>
    <w:rsid w:val="0A146780"/>
    <w:rsid w:val="70523749"/>
    <w:rsid w:val="7195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unhideWhenUsed/>
    <w:qFormat/>
    <w:uiPriority w:val="99"/>
    <w:pPr>
      <w:widowControl/>
      <w:adjustRightInd w:val="0"/>
      <w:snapToGrid w:val="0"/>
      <w:spacing w:after="0" w:line="360" w:lineRule="auto"/>
      <w:contextualSpacing/>
      <w:jc w:val="left"/>
    </w:pPr>
    <w:rPr>
      <w:sz w:val="24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basedOn w:val="17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character" w:customStyle="1" w:styleId="38">
    <w:name w:val="页眉 字符"/>
    <w:basedOn w:val="17"/>
    <w:link w:val="1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9">
    <w:name w:val="页脚 字符"/>
    <w:basedOn w:val="17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批注文字 字符"/>
    <w:basedOn w:val="17"/>
    <w:link w:val="11"/>
    <w:qFormat/>
    <w:uiPriority w:val="99"/>
    <w:rPr>
      <w:rFonts w:ascii="Times New Roman" w:hAnsi="Times New Roman" w:eastAsia="宋体" w:cs="Times New Roman"/>
      <w:sz w:val="24"/>
      <w:szCs w:val="20"/>
    </w:rPr>
  </w:style>
  <w:style w:type="character" w:customStyle="1" w:styleId="41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1383</Words>
  <Characters>3232</Characters>
  <Lines>162</Lines>
  <Paragraphs>102</Paragraphs>
  <TotalTime>664</TotalTime>
  <ScaleCrop>false</ScaleCrop>
  <LinksUpToDate>false</LinksUpToDate>
  <CharactersWithSpaces>3572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2026-06-01T07:46:00Z</dcterms:created>
  <dc:creator>晓玲 陈</dc:creator>
  <cp:lastModifiedBy>whistleboy</cp:lastModifiedBy>
  <dcterms:modified xsi:type="dcterms:W3CDTF">2026-06-15T07:40:57Z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eyJoZGlkIjoiNzE5ZTY2NzAwNGVkYmEzZTk1YWZjNWRhM2NkMDA3MzIiLCJ1c2VySWQiOiIxOTY1MTg0MTQifQ==</vt:lpwstr>
  </property>
  <property fmtid="{D5CDD505-2E9C-101B-9397-08002B2CF9AE}" pid="3" name="KSOProductBuildVer">
    <vt:lpwstr>2052-12.1.0.26895</vt:lpwstr>
  </property>
  <property fmtid="{D5CDD505-2E9C-101B-9397-08002B2CF9AE}" pid="4" name="ICV">
    <vt:lpwstr>27E2300BE72B4807917ACD3CE3F84ADC_12</vt:lpwstr>
  </property>
</Properties>
</file>