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B33BDB">
      <w:pPr>
        <w:widowControl/>
        <w:spacing w:after="156" w:afterLines="50" w:line="360" w:lineRule="auto"/>
        <w:jc w:val="center"/>
        <w:rPr>
          <w:rFonts w:ascii="Times New Roman" w:hAnsi="Times New Roman" w:eastAsia="宋体" w:cs="Times New Roman"/>
          <w:b/>
          <w:bCs/>
          <w:kern w:val="0"/>
          <w:sz w:val="28"/>
          <w:szCs w:val="28"/>
        </w:rPr>
      </w:pPr>
      <w:bookmarkStart w:id="3" w:name="_GoBack"/>
      <w:bookmarkEnd w:id="3"/>
      <w:r>
        <w:rPr>
          <w:rFonts w:hint="eastAsia" w:ascii="Times New Roman" w:hAnsi="Times New Roman" w:eastAsia="宋体" w:cs="Times New Roman"/>
          <w:b/>
          <w:bCs/>
          <w:kern w:val="0"/>
          <w:sz w:val="28"/>
          <w:szCs w:val="28"/>
        </w:rPr>
        <w:t>2026年度自然资源科学技术奖拟申报项目公示</w:t>
      </w:r>
    </w:p>
    <w:p w14:paraId="1E4E5FAC">
      <w:pPr>
        <w:ind w:firstLine="482" w:firstLineChars="200"/>
        <w:rPr>
          <w:rFonts w:ascii="Times New Roman" w:hAnsi="Times New Roman" w:eastAsia="仿宋_GB2312" w:cs="Times New Roman"/>
          <w:b/>
          <w:bCs/>
          <w:kern w:val="0"/>
          <w:sz w:val="24"/>
          <w:szCs w:val="24"/>
        </w:rPr>
      </w:pPr>
      <w:r>
        <w:rPr>
          <w:rFonts w:hint="eastAsia" w:ascii="Times New Roman" w:hAnsi="Times New Roman" w:eastAsia="仿宋_GB2312" w:cs="Times New Roman"/>
          <w:b/>
          <w:bCs/>
          <w:kern w:val="0"/>
          <w:sz w:val="24"/>
          <w:szCs w:val="24"/>
        </w:rPr>
        <w:t>一、成果基本情况</w:t>
      </w:r>
    </w:p>
    <w:p w14:paraId="18AA976F">
      <w:pPr>
        <w:ind w:firstLine="482" w:firstLineChars="200"/>
        <w:rPr>
          <w:rFonts w:ascii="Times New Roman" w:hAnsi="Times New Roman" w:eastAsia="仿宋_GB2312" w:cs="Times New Roman"/>
          <w:b/>
          <w:bCs/>
          <w:kern w:val="0"/>
          <w:sz w:val="24"/>
          <w:szCs w:val="24"/>
        </w:rPr>
      </w:pPr>
    </w:p>
    <w:tbl>
      <w:tblPr>
        <w:tblStyle w:val="19"/>
        <w:tblW w:w="84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7"/>
        <w:gridCol w:w="7003"/>
      </w:tblGrid>
      <w:tr w14:paraId="507F3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7" w:type="dxa"/>
            <w:vAlign w:val="center"/>
          </w:tcPr>
          <w:p w14:paraId="60DAED6E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成果名称</w:t>
            </w:r>
          </w:p>
        </w:tc>
        <w:tc>
          <w:tcPr>
            <w:tcW w:w="7003" w:type="dxa"/>
            <w:vAlign w:val="center"/>
          </w:tcPr>
          <w:p w14:paraId="49D376BE">
            <w:pPr>
              <w:ind w:left="-134" w:leftChars="-64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滨海典型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城市地质安全风险防控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关键技术与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应用</w:t>
            </w:r>
          </w:p>
        </w:tc>
      </w:tr>
      <w:tr w14:paraId="2E3F6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7" w:type="dxa"/>
            <w:vAlign w:val="center"/>
          </w:tcPr>
          <w:p w14:paraId="3ABEBD3E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推荐单位</w:t>
            </w:r>
          </w:p>
        </w:tc>
        <w:tc>
          <w:tcPr>
            <w:tcW w:w="7003" w:type="dxa"/>
            <w:vAlign w:val="center"/>
          </w:tcPr>
          <w:p w14:paraId="426EC319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中国地质调查局南京地质调查中心（华东地质科技创新中心）</w:t>
            </w:r>
          </w:p>
        </w:tc>
      </w:tr>
      <w:tr w14:paraId="77772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7" w:type="dxa"/>
            <w:vAlign w:val="center"/>
          </w:tcPr>
          <w:p w14:paraId="5225C8DF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主要完成人</w:t>
            </w:r>
          </w:p>
        </w:tc>
        <w:tc>
          <w:tcPr>
            <w:tcW w:w="7003" w:type="dxa"/>
            <w:vAlign w:val="center"/>
          </w:tcPr>
          <w:p w14:paraId="0E97FAA4">
            <w:pPr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szCs w:val="24"/>
              </w:rPr>
              <w:t>葛伟亚、邢怀学、</w:t>
            </w:r>
            <w:r>
              <w:rPr>
                <w:rFonts w:hint="eastAsia" w:ascii="Times New Roman" w:hAnsi="Times New Roman" w:eastAsia="仿宋_GB2312" w:cs="Times New Roman"/>
                <w:color w:val="4EA72E" w:themeColor="accent6"/>
                <w:kern w:val="0"/>
                <w:sz w:val="24"/>
                <w:szCs w:val="24"/>
                <w:highlight w:val="cyan"/>
                <w14:textFill>
                  <w14:solidFill>
                    <w14:schemeClr w14:val="accent6"/>
                  </w14:solidFill>
                </w14:textFill>
              </w:rPr>
              <w:t>周丽玲</w:t>
            </w: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szCs w:val="24"/>
                <w:highlight w:val="cya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color w:val="4E95D9" w:themeColor="text2" w:themeTint="80"/>
                <w:kern w:val="0"/>
                <w:sz w:val="24"/>
                <w:szCs w:val="24"/>
                <w14:textFill>
                  <w14:solidFill>
                    <w14:schemeClr w14:val="tx2">
                      <w14:lumMod w14:val="50000"/>
                      <w14:lumOff w14:val="50000"/>
                    </w14:schemeClr>
                  </w14:solidFill>
                </w14:textFill>
              </w:rPr>
              <w:t>董杰、</w:t>
            </w:r>
            <w:r>
              <w:rPr>
                <w:rFonts w:hint="eastAsia" w:ascii="Times New Roman" w:hAnsi="Times New Roman" w:eastAsia="仿宋_GB2312" w:cs="Times New Roman"/>
                <w:color w:val="47D45A" w:themeColor="accent3" w:themeTint="99"/>
                <w:kern w:val="0"/>
                <w:sz w:val="24"/>
                <w:szCs w:val="24"/>
                <w14:textFill>
                  <w14:solidFill>
                    <w14:schemeClr w14:val="accent3">
                      <w14:lumMod w14:val="60000"/>
                      <w14:lumOff w14:val="40000"/>
                    </w14:schemeClr>
                  </w14:solidFill>
                </w14:textFill>
              </w:rPr>
              <w:t>宓彬彬</w:t>
            </w: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szCs w:val="24"/>
              </w:rPr>
              <w:t>、张庆、</w:t>
            </w:r>
            <w:r>
              <w:rPr>
                <w:rFonts w:hint="eastAsia" w:ascii="Times New Roman" w:hAnsi="Times New Roman" w:eastAsia="仿宋_GB2312" w:cs="Times New Roman"/>
                <w:color w:val="4E95D9" w:themeColor="text2" w:themeTint="80"/>
                <w:kern w:val="0"/>
                <w:sz w:val="24"/>
                <w:szCs w:val="24"/>
                <w14:textFill>
                  <w14:solidFill>
                    <w14:schemeClr w14:val="tx2">
                      <w14:lumMod w14:val="50000"/>
                      <w14:lumOff w14:val="50000"/>
                    </w14:schemeClr>
                  </w14:solidFill>
                </w14:textFill>
              </w:rPr>
              <w:t>于鹏、</w:t>
            </w: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szCs w:val="24"/>
              </w:rPr>
              <w:t>李云峰、</w:t>
            </w:r>
            <w:r>
              <w:rPr>
                <w:rFonts w:hint="eastAsia" w:ascii="Times New Roman" w:hAnsi="Times New Roman" w:eastAsia="仿宋_GB2312" w:cs="Times New Roman"/>
                <w:color w:val="4EA72E" w:themeColor="accent6"/>
                <w:kern w:val="0"/>
                <w:sz w:val="24"/>
                <w:szCs w:val="24"/>
                <w:highlight w:val="cyan"/>
                <w14:textFill>
                  <w14:solidFill>
                    <w14:schemeClr w14:val="accent6"/>
                  </w14:solidFill>
                </w14:textFill>
              </w:rPr>
              <w:t>彭振宇、</w:t>
            </w: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szCs w:val="24"/>
              </w:rPr>
              <w:t>华健、</w:t>
            </w:r>
            <w:r>
              <w:rPr>
                <w:rFonts w:hint="eastAsia" w:ascii="Times New Roman" w:hAnsi="Times New Roman" w:eastAsia="仿宋_GB2312" w:cs="Times New Roman"/>
                <w:color w:val="4EA72E" w:themeColor="accent6"/>
                <w:kern w:val="0"/>
                <w:sz w:val="24"/>
                <w:szCs w:val="24"/>
                <w:highlight w:val="cyan"/>
                <w14:textFill>
                  <w14:solidFill>
                    <w14:schemeClr w14:val="accent6"/>
                  </w14:solidFill>
                </w14:textFill>
              </w:rPr>
              <w:t>黄金欧、</w:t>
            </w:r>
            <w:r>
              <w:rPr>
                <w:rFonts w:hint="eastAsia" w:ascii="Times New Roman" w:hAnsi="Times New Roman" w:eastAsia="仿宋_GB2312" w:cs="Times New Roman"/>
                <w:color w:val="47D45A" w:themeColor="accent3" w:themeTint="99"/>
                <w:kern w:val="0"/>
                <w:sz w:val="24"/>
                <w:szCs w:val="24"/>
                <w14:textFill>
                  <w14:solidFill>
                    <w14:schemeClr w14:val="accent3">
                      <w14:lumMod w14:val="60000"/>
                      <w14:lumOff w14:val="40000"/>
                    </w14:schemeClr>
                  </w14:solidFill>
                </w14:textFill>
              </w:rPr>
              <w:t>夏江海、</w:t>
            </w: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szCs w:val="24"/>
              </w:rPr>
              <w:t>郑红军、常晓军、</w:t>
            </w:r>
            <w:r>
              <w:rPr>
                <w:rFonts w:hint="eastAsia" w:ascii="Times New Roman" w:hAnsi="Times New Roman" w:eastAsia="仿宋_GB2312" w:cs="Times New Roman"/>
                <w:color w:val="47D45A" w:themeColor="accent3" w:themeTint="99"/>
                <w:kern w:val="0"/>
                <w:sz w:val="24"/>
                <w:szCs w:val="24"/>
                <w14:textFill>
                  <w14:solidFill>
                    <w14:schemeClr w14:val="accent3">
                      <w14:lumMod w14:val="60000"/>
                      <w14:lumOff w14:val="40000"/>
                    </w14:schemeClr>
                  </w14:solidFill>
                </w14:textFill>
              </w:rPr>
              <w:t>王睿</w:t>
            </w:r>
          </w:p>
        </w:tc>
      </w:tr>
      <w:tr w14:paraId="66860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1477" w:type="dxa"/>
            <w:vAlign w:val="center"/>
          </w:tcPr>
          <w:p w14:paraId="303C91EC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主要完成单位</w:t>
            </w:r>
          </w:p>
        </w:tc>
        <w:tc>
          <w:tcPr>
            <w:tcW w:w="7003" w:type="dxa"/>
            <w:vAlign w:val="center"/>
          </w:tcPr>
          <w:p w14:paraId="1EB6D13F">
            <w:pPr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中国地质调查局南京地质调查中心（华东地质科技创新中心），浙江省地质院，青岛地质工程勘察院（青岛地质勘查开发局），浙江大学</w:t>
            </w:r>
          </w:p>
        </w:tc>
      </w:tr>
      <w:tr w14:paraId="79EF6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7" w:type="dxa"/>
            <w:vAlign w:val="center"/>
          </w:tcPr>
          <w:p w14:paraId="1468DA72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公示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时间</w:t>
            </w:r>
          </w:p>
        </w:tc>
        <w:tc>
          <w:tcPr>
            <w:tcW w:w="7003" w:type="dxa"/>
            <w:vAlign w:val="center"/>
          </w:tcPr>
          <w:p w14:paraId="1591156B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highlight w:val="yellow"/>
              </w:rPr>
              <w:t>2026年9月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highlight w:val="yellow"/>
              </w:rPr>
              <w:t>10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highlight w:val="yellow"/>
              </w:rPr>
              <w:t>日至2026年9月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highlight w:val="yellow"/>
              </w:rPr>
              <w:t>15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highlight w:val="yellow"/>
              </w:rPr>
              <w:t>日</w:t>
            </w:r>
          </w:p>
        </w:tc>
      </w:tr>
      <w:tr w14:paraId="698F8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7" w:type="dxa"/>
            <w:vAlign w:val="center"/>
          </w:tcPr>
          <w:p w14:paraId="6F5E4B2F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推荐等级</w:t>
            </w:r>
          </w:p>
        </w:tc>
        <w:tc>
          <w:tcPr>
            <w:tcW w:w="7003" w:type="dxa"/>
            <w:vAlign w:val="center"/>
          </w:tcPr>
          <w:p w14:paraId="0F7729E9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一等奖或二等奖</w:t>
            </w:r>
          </w:p>
        </w:tc>
      </w:tr>
    </w:tbl>
    <w:p w14:paraId="7CCFD56A">
      <w:pPr>
        <w:spacing w:line="360" w:lineRule="auto"/>
        <w:ind w:firstLine="482" w:firstLineChars="200"/>
        <w:rPr>
          <w:rFonts w:ascii="Times New Roman" w:hAnsi="Times New Roman" w:eastAsia="仿宋_GB2312" w:cs="Times New Roman"/>
          <w:b/>
          <w:bCs/>
          <w:kern w:val="0"/>
          <w:sz w:val="24"/>
          <w:szCs w:val="24"/>
        </w:rPr>
      </w:pPr>
    </w:p>
    <w:p w14:paraId="5A2D32B0">
      <w:pPr>
        <w:spacing w:line="360" w:lineRule="auto"/>
        <w:ind w:firstLine="482" w:firstLineChars="200"/>
        <w:rPr>
          <w:rFonts w:ascii="Times New Roman" w:hAnsi="Times New Roman" w:eastAsia="仿宋_GB2312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eastAsia="仿宋_GB2312" w:cs="Times New Roman"/>
          <w:b/>
          <w:bCs/>
          <w:kern w:val="0"/>
          <w:sz w:val="24"/>
          <w:szCs w:val="24"/>
        </w:rPr>
        <w:t>一、推荐意见</w:t>
      </w:r>
    </w:p>
    <w:p w14:paraId="449FCDF5">
      <w:pPr>
        <w:spacing w:line="360" w:lineRule="auto"/>
        <w:ind w:firstLine="480" w:firstLineChars="200"/>
        <w:rPr>
          <w:rFonts w:ascii="Times New Roman" w:hAnsi="Times New Roman" w:eastAsia="仿宋_GB2312" w:cs="Times New Roman"/>
          <w:kern w:val="0"/>
          <w:sz w:val="24"/>
          <w:szCs w:val="24"/>
        </w:rPr>
      </w:pP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该项目以杭州、青岛等滨海典型城市为例，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聚焦城市地面塌陷、地面沉降、浅层气次生灾害等地质安全风险，针对当前存在的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城市地质安全风</w:t>
      </w:r>
      <w:bookmarkStart w:id="0" w:name="OLE_LINK5"/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险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致灾机制不明、探测识别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精细较低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、监测预警不足等技术难题</w:t>
      </w:r>
      <w:bookmarkEnd w:id="0"/>
      <w:r>
        <w:rPr>
          <w:rFonts w:ascii="Times New Roman" w:hAnsi="Times New Roman" w:eastAsia="仿宋_GB2312" w:cs="Times New Roman"/>
          <w:kern w:val="0"/>
          <w:sz w:val="24"/>
          <w:szCs w:val="24"/>
        </w:rPr>
        <w:t>，以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城市地质安全“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探测→评价→监测→预警→防控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”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为主线开展系统性研究，取得显著成效：</w:t>
      </w:r>
    </w:p>
    <w:p w14:paraId="428717DA">
      <w:pPr>
        <w:tabs>
          <w:tab w:val="left" w:pos="720"/>
        </w:tabs>
        <w:spacing w:line="360" w:lineRule="auto"/>
        <w:ind w:firstLine="480" w:firstLineChars="200"/>
        <w:rPr>
          <w:rFonts w:ascii="Times New Roman" w:hAnsi="Times New Roman" w:eastAsia="仿宋_GB2312" w:cs="Times New Roman"/>
          <w:kern w:val="0"/>
          <w:sz w:val="24"/>
          <w:szCs w:val="24"/>
        </w:rPr>
      </w:pPr>
      <w:r>
        <w:rPr>
          <w:rFonts w:ascii="Times New Roman" w:hAnsi="Times New Roman" w:eastAsia="仿宋_GB2312" w:cs="Times New Roman"/>
          <w:kern w:val="0"/>
          <w:sz w:val="24"/>
          <w:szCs w:val="24"/>
        </w:rPr>
        <w:t>理论研究：揭示城市地下空间扰动下多尺度、多因素地质安全风险演化机制与致灾机理（涵盖地面塌陷、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地面沉降、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崩塌滑坡、浅层气等灾种），为监测预警提供理论依据。技术研究：突破城市地质安全风险识别、评价与监测关键技术难题。填补暗浜、浅层气等风险识别多项空白，研发智能识别技术，优化风险评价技术方法体系，研发多参数协同感知设备、普适型监测设备，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建成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自然资源部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地质安全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野外科学观测研究站。应用示范：打造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杭州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城市地质安全风险防控应用示范，支撑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浙江省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 xml:space="preserve"> 11 个地市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地质安全风险防控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实施，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为全国开展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城市开展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城市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地质安全风险评价与区划工作起到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引领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示范作用，</w:t>
      </w:r>
    </w:p>
    <w:p w14:paraId="22567868">
      <w:pPr>
        <w:spacing w:line="360" w:lineRule="auto"/>
        <w:ind w:firstLine="480" w:firstLineChars="200"/>
        <w:rPr>
          <w:rFonts w:ascii="Times New Roman" w:hAnsi="Times New Roman" w:eastAsia="仿宋_GB2312" w:cs="Times New Roman"/>
          <w:kern w:val="0"/>
          <w:sz w:val="24"/>
          <w:szCs w:val="24"/>
        </w:rPr>
      </w:pPr>
      <w:r>
        <w:rPr>
          <w:rFonts w:ascii="Times New Roman" w:hAnsi="Times New Roman" w:eastAsia="仿宋_GB2312" w:cs="Times New Roman"/>
          <w:kern w:val="0"/>
          <w:sz w:val="24"/>
          <w:szCs w:val="24"/>
        </w:rPr>
        <w:t>该成果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支撑自然资源部发布“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关于加强城市地质安全风险防控的通知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（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自然资发〔2024〕19号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）”“关于开展城市地质安全风险调查评价与区划试点工作的通知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（自然资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办函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〔2024〕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2427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号）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”等文件，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为全国开展城市地质安全风险防控工作提供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“杭州经验”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。鉴于该项目对行业科技进步的重要作用，建议该项目申报2026年度自然资源科学技术奖一等奖或二等奖评选。</w:t>
      </w:r>
    </w:p>
    <w:p w14:paraId="5CE125C3">
      <w:pPr>
        <w:spacing w:line="360" w:lineRule="auto"/>
        <w:ind w:firstLine="482" w:firstLineChars="200"/>
        <w:rPr>
          <w:rFonts w:ascii="Times New Roman" w:hAnsi="Times New Roman" w:eastAsia="仿宋_GB2312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eastAsia="仿宋_GB2312" w:cs="Times New Roman"/>
          <w:b/>
          <w:bCs/>
          <w:kern w:val="0"/>
          <w:sz w:val="24"/>
          <w:szCs w:val="24"/>
        </w:rPr>
        <w:t>二、成果简介</w:t>
      </w:r>
    </w:p>
    <w:p w14:paraId="101ED8A9">
      <w:pPr>
        <w:tabs>
          <w:tab w:val="left" w:pos="720"/>
        </w:tabs>
        <w:spacing w:line="360" w:lineRule="auto"/>
        <w:ind w:firstLine="480" w:firstLineChars="200"/>
        <w:rPr>
          <w:rFonts w:ascii="Times New Roman" w:hAnsi="Times New Roman" w:eastAsia="仿宋_GB2312" w:cs="Times New Roman"/>
          <w:kern w:val="0"/>
          <w:sz w:val="24"/>
          <w:szCs w:val="24"/>
        </w:rPr>
      </w:pPr>
      <w:r>
        <w:rPr>
          <w:rFonts w:ascii="Times New Roman" w:hAnsi="Times New Roman" w:eastAsia="仿宋_GB2312" w:cs="Times New Roman"/>
          <w:kern w:val="0"/>
          <w:sz w:val="24"/>
          <w:szCs w:val="24"/>
        </w:rPr>
        <w:t>城市地质安全风险防控已成为我国大中型城市面临的重大安全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问题，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城市规划、建设、运行全过程中的地质安全风险识别不清、监测预警不足，亟需系统技术支撑。本项目围绕城市地质安全风险防控的重大需求，以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地质安全“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探测→评价→监测→预警→防控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”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为主线，历经多年攻关，系统解决了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城市地质安全风险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险致灾机制不明、探测识别精细较低、监测预警不足等关键问题，构建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地质安全风险防控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体系，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支撑城市安全运行。</w:t>
      </w:r>
    </w:p>
    <w:p w14:paraId="5EA61999">
      <w:pPr>
        <w:spacing w:line="360" w:lineRule="auto"/>
        <w:ind w:firstLine="482" w:firstLineChars="200"/>
        <w:rPr>
          <w:rFonts w:ascii="Times New Roman" w:hAnsi="Times New Roman" w:eastAsia="仿宋_GB2312" w:cs="Times New Roman"/>
          <w:b/>
          <w:bCs/>
          <w:kern w:val="0"/>
          <w:sz w:val="24"/>
          <w:szCs w:val="24"/>
        </w:rPr>
      </w:pPr>
      <w:r>
        <w:rPr>
          <w:rFonts w:hint="eastAsia" w:ascii="Times New Roman" w:hAnsi="Times New Roman" w:eastAsia="仿宋_GB2312" w:cs="Times New Roman"/>
          <w:b/>
          <w:bCs/>
          <w:kern w:val="0"/>
          <w:sz w:val="24"/>
          <w:szCs w:val="24"/>
        </w:rPr>
        <w:t>成果</w:t>
      </w:r>
      <w:r>
        <w:rPr>
          <w:rFonts w:ascii="Times New Roman" w:hAnsi="Times New Roman" w:eastAsia="仿宋_GB2312" w:cs="Times New Roman"/>
          <w:b/>
          <w:bCs/>
          <w:kern w:val="0"/>
          <w:sz w:val="24"/>
          <w:szCs w:val="24"/>
        </w:rPr>
        <w:t>一：城市地质安全风险识别与评价技术</w:t>
      </w:r>
      <w:r>
        <w:rPr>
          <w:rFonts w:hint="eastAsia" w:ascii="Times New Roman" w:hAnsi="Times New Roman" w:eastAsia="仿宋_GB2312" w:cs="Times New Roman"/>
          <w:b/>
          <w:bCs/>
          <w:kern w:val="0"/>
          <w:sz w:val="24"/>
          <w:szCs w:val="24"/>
        </w:rPr>
        <w:t>----</w:t>
      </w:r>
      <w:r>
        <w:rPr>
          <w:rFonts w:ascii="Times New Roman" w:hAnsi="Times New Roman" w:eastAsia="仿宋_GB2312" w:cs="Times New Roman"/>
          <w:b/>
          <w:bCs/>
          <w:kern w:val="0"/>
          <w:sz w:val="24"/>
          <w:szCs w:val="24"/>
        </w:rPr>
        <w:t>突破探测与评价</w:t>
      </w:r>
      <w:r>
        <w:rPr>
          <w:rFonts w:hint="eastAsia" w:ascii="Times New Roman" w:hAnsi="Times New Roman" w:eastAsia="仿宋_GB2312" w:cs="Times New Roman"/>
          <w:b/>
          <w:bCs/>
          <w:kern w:val="0"/>
          <w:sz w:val="24"/>
          <w:szCs w:val="24"/>
        </w:rPr>
        <w:t>技术</w:t>
      </w:r>
      <w:r>
        <w:rPr>
          <w:rFonts w:ascii="Times New Roman" w:hAnsi="Times New Roman" w:eastAsia="仿宋_GB2312" w:cs="Times New Roman"/>
          <w:b/>
          <w:bCs/>
          <w:kern w:val="0"/>
          <w:sz w:val="24"/>
          <w:szCs w:val="24"/>
        </w:rPr>
        <w:t>瓶颈</w:t>
      </w:r>
    </w:p>
    <w:p w14:paraId="2530E9E9">
      <w:pPr>
        <w:tabs>
          <w:tab w:val="left" w:pos="720"/>
        </w:tabs>
        <w:spacing w:line="360" w:lineRule="auto"/>
        <w:ind w:firstLine="480" w:firstLineChars="200"/>
        <w:rPr>
          <w:rFonts w:ascii="Times New Roman" w:hAnsi="Times New Roman" w:eastAsia="仿宋_GB2312" w:cs="Times New Roman"/>
          <w:kern w:val="0"/>
          <w:sz w:val="24"/>
          <w:szCs w:val="24"/>
        </w:rPr>
      </w:pP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1</w:t>
      </w:r>
      <w:r>
        <w:rPr>
          <w:rFonts w:hint="eastAsia" w:ascii="Times New Roman" w:hAnsi="Times New Roman" w:eastAsia="仿宋_GB2312" w:cs="Times New Roman"/>
          <w:b/>
          <w:bCs/>
          <w:kern w:val="0"/>
          <w:sz w:val="24"/>
          <w:szCs w:val="24"/>
        </w:rPr>
        <w:t>.</w:t>
      </w:r>
      <w:r>
        <w:rPr>
          <w:rFonts w:ascii="Times New Roman" w:hAnsi="Times New Roman" w:eastAsia="仿宋_GB2312" w:cs="Times New Roman"/>
          <w:b/>
          <w:bCs/>
          <w:kern w:val="0"/>
          <w:sz w:val="24"/>
          <w:szCs w:val="24"/>
        </w:rPr>
        <w:t>揭示</w:t>
      </w:r>
      <w:r>
        <w:rPr>
          <w:rFonts w:hint="eastAsia" w:ascii="Times New Roman" w:hAnsi="Times New Roman" w:eastAsia="仿宋_GB2312" w:cs="Times New Roman"/>
          <w:b/>
          <w:bCs/>
          <w:kern w:val="0"/>
          <w:sz w:val="24"/>
          <w:szCs w:val="24"/>
        </w:rPr>
        <w:t>地质安全</w:t>
      </w:r>
      <w:r>
        <w:rPr>
          <w:rFonts w:ascii="Times New Roman" w:hAnsi="Times New Roman" w:eastAsia="仿宋_GB2312" w:cs="Times New Roman"/>
          <w:b/>
          <w:bCs/>
          <w:kern w:val="0"/>
          <w:sz w:val="24"/>
          <w:szCs w:val="24"/>
        </w:rPr>
        <w:t>风险演化机制与致灾机理。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针对城市道路塌陷，通过物理仿真实验揭示地下水渗透力驱动作用；针对岩溶塌陷，建立覆盖型岩溶区地面塌陷临界判据及预测模型；针对采空塌陷，构建断层活化主导型、地下水软化主导型两类灾变预警模型；针对地面沉降，建立三维非稳定地下水流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-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土体固结沉降耦合模型。</w:t>
      </w:r>
    </w:p>
    <w:p w14:paraId="608A55A0">
      <w:pPr>
        <w:tabs>
          <w:tab w:val="left" w:pos="720"/>
        </w:tabs>
        <w:spacing w:line="360" w:lineRule="auto"/>
        <w:ind w:firstLine="482" w:firstLineChars="200"/>
        <w:rPr>
          <w:rFonts w:ascii="Times New Roman" w:hAnsi="Times New Roman" w:eastAsia="仿宋_GB2312" w:cs="Times New Roman"/>
          <w:kern w:val="0"/>
          <w:sz w:val="24"/>
          <w:szCs w:val="24"/>
        </w:rPr>
      </w:pPr>
      <w:r>
        <w:rPr>
          <w:rFonts w:hint="eastAsia" w:ascii="Times New Roman" w:hAnsi="Times New Roman" w:eastAsia="仿宋_GB2312" w:cs="Times New Roman"/>
          <w:b/>
          <w:bCs/>
          <w:kern w:val="0"/>
          <w:sz w:val="24"/>
          <w:szCs w:val="24"/>
        </w:rPr>
        <w:t>2.提高了地质结构和地质问题探测分辨率与抗干扰能力，解决了影响地质安全防控的暗浜、富水砂卵砾石层、溶洞、基岩风化带等特殊岩土体精准探测问题</w:t>
      </w:r>
      <w:r>
        <w:rPr>
          <w:rFonts w:ascii="Times New Roman" w:hAnsi="Times New Roman" w:eastAsia="仿宋_GB2312" w:cs="Times New Roman"/>
          <w:b/>
          <w:bCs/>
          <w:kern w:val="0"/>
          <w:sz w:val="24"/>
          <w:szCs w:val="24"/>
        </w:rPr>
        <w:t>。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针对城镇环境探测成像噪声干扰严重、分辨率不足的难题，提出交通震源波场干涉理论与信号增强方法，将交通噪声由干扰变为有效信号；发展面波多道分析与反演新方法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，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提高浅地表介质成像分辨率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，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形成集成多种物探方法的多参数、多层次探测识别技术体系。</w:t>
      </w:r>
    </w:p>
    <w:p w14:paraId="29178695">
      <w:pPr>
        <w:tabs>
          <w:tab w:val="left" w:pos="720"/>
        </w:tabs>
        <w:spacing w:line="360" w:lineRule="auto"/>
        <w:ind w:firstLine="482" w:firstLineChars="200"/>
        <w:rPr>
          <w:rFonts w:ascii="Times New Roman" w:hAnsi="Times New Roman" w:eastAsia="仿宋_GB2312" w:cs="Times New Roman"/>
          <w:kern w:val="0"/>
          <w:sz w:val="24"/>
          <w:szCs w:val="24"/>
        </w:rPr>
      </w:pPr>
      <w:r>
        <w:rPr>
          <w:rFonts w:hint="eastAsia" w:ascii="Times New Roman" w:hAnsi="Times New Roman" w:eastAsia="仿宋_GB2312" w:cs="Times New Roman"/>
          <w:b/>
          <w:bCs/>
          <w:kern w:val="0"/>
          <w:sz w:val="24"/>
          <w:szCs w:val="24"/>
        </w:rPr>
        <w:t>3.创新地质安全</w:t>
      </w:r>
      <w:r>
        <w:rPr>
          <w:rFonts w:ascii="Times New Roman" w:hAnsi="Times New Roman" w:eastAsia="仿宋_GB2312" w:cs="Times New Roman"/>
          <w:b/>
          <w:bCs/>
          <w:kern w:val="0"/>
          <w:sz w:val="24"/>
          <w:szCs w:val="24"/>
        </w:rPr>
        <w:t>风险评价技术方法体系。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首创涵盖暗河暗浜、管线密度等15 项关键指标的风险评价方法，首次使用数据驱动模型开展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地质安全风险评价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，提出了随机森林-反向传播神经网络耦合模型，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并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应用可解释性模型对机器学习评价结果进行分析，提升了城市地质安全评价模型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的准确性。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探索建立了滨海城市地下空间陆海统筹评价新模式，首次提出多变权模糊集与谱聚类算法相结合的评价理论，相关系数达96%，通过引入贝叶斯网络概率推理，极大程度上规避了传统评价因子模糊性、不确定性、人为干扰大的影响。</w:t>
      </w:r>
    </w:p>
    <w:p w14:paraId="34DAE2B9">
      <w:pPr>
        <w:spacing w:line="360" w:lineRule="auto"/>
        <w:ind w:firstLine="424" w:firstLineChars="176"/>
        <w:rPr>
          <w:rFonts w:ascii="Times New Roman" w:hAnsi="Times New Roman" w:eastAsia="仿宋_GB2312" w:cs="Times New Roman"/>
          <w:b/>
          <w:bCs/>
          <w:kern w:val="0"/>
          <w:sz w:val="24"/>
          <w:szCs w:val="24"/>
        </w:rPr>
      </w:pPr>
      <w:bookmarkStart w:id="1" w:name="OLE_LINK6"/>
      <w:r>
        <w:rPr>
          <w:rFonts w:hint="eastAsia" w:ascii="Times New Roman" w:hAnsi="Times New Roman" w:eastAsia="仿宋_GB2312" w:cs="Times New Roman"/>
          <w:b/>
          <w:bCs/>
          <w:kern w:val="0"/>
          <w:sz w:val="24"/>
          <w:szCs w:val="24"/>
        </w:rPr>
        <w:t>成果</w:t>
      </w:r>
      <w:r>
        <w:rPr>
          <w:rFonts w:ascii="Times New Roman" w:hAnsi="Times New Roman" w:eastAsia="仿宋_GB2312" w:cs="Times New Roman"/>
          <w:b/>
          <w:bCs/>
          <w:kern w:val="0"/>
          <w:sz w:val="24"/>
          <w:szCs w:val="24"/>
        </w:rPr>
        <w:t>二：</w:t>
      </w:r>
      <w:bookmarkEnd w:id="1"/>
      <w:r>
        <w:rPr>
          <w:rFonts w:ascii="Times New Roman" w:hAnsi="Times New Roman" w:eastAsia="仿宋_GB2312" w:cs="Times New Roman"/>
          <w:b/>
          <w:bCs/>
          <w:kern w:val="0"/>
          <w:sz w:val="24"/>
          <w:szCs w:val="24"/>
        </w:rPr>
        <w:t>城市地质安全风险监测技术与装备</w:t>
      </w:r>
      <w:r>
        <w:rPr>
          <w:rFonts w:hint="eastAsia" w:ascii="Times New Roman" w:hAnsi="Times New Roman" w:eastAsia="仿宋_GB2312" w:cs="Times New Roman"/>
          <w:b/>
          <w:bCs/>
          <w:kern w:val="0"/>
          <w:sz w:val="24"/>
          <w:szCs w:val="24"/>
        </w:rPr>
        <w:t>----</w:t>
      </w:r>
      <w:r>
        <w:rPr>
          <w:rFonts w:ascii="Times New Roman" w:hAnsi="Times New Roman" w:eastAsia="仿宋_GB2312" w:cs="Times New Roman"/>
          <w:b/>
          <w:bCs/>
          <w:kern w:val="0"/>
          <w:sz w:val="24"/>
          <w:szCs w:val="24"/>
        </w:rPr>
        <w:t>实现从</w:t>
      </w:r>
      <w:r>
        <w:rPr>
          <w:rFonts w:hint="eastAsia" w:ascii="Times New Roman" w:hAnsi="Times New Roman" w:eastAsia="仿宋_GB2312" w:cs="Times New Roman"/>
          <w:b/>
          <w:bCs/>
          <w:kern w:val="0"/>
          <w:sz w:val="24"/>
          <w:szCs w:val="24"/>
        </w:rPr>
        <w:t>“</w:t>
      </w:r>
      <w:r>
        <w:rPr>
          <w:rFonts w:ascii="Times New Roman" w:hAnsi="Times New Roman" w:eastAsia="仿宋_GB2312" w:cs="Times New Roman"/>
          <w:b/>
          <w:bCs/>
          <w:kern w:val="0"/>
          <w:sz w:val="24"/>
          <w:szCs w:val="24"/>
        </w:rPr>
        <w:t>人防</w:t>
      </w:r>
      <w:r>
        <w:rPr>
          <w:rFonts w:hint="eastAsia" w:ascii="Times New Roman" w:hAnsi="Times New Roman" w:eastAsia="仿宋_GB2312" w:cs="Times New Roman"/>
          <w:b/>
          <w:bCs/>
          <w:kern w:val="0"/>
          <w:sz w:val="24"/>
          <w:szCs w:val="24"/>
        </w:rPr>
        <w:t>”到“智防”</w:t>
      </w:r>
    </w:p>
    <w:p w14:paraId="327F254A">
      <w:pPr>
        <w:spacing w:line="360" w:lineRule="auto"/>
        <w:ind w:firstLine="422" w:firstLineChars="176"/>
        <w:rPr>
          <w:rFonts w:ascii="Times New Roman" w:hAnsi="Times New Roman" w:eastAsia="仿宋_GB2312" w:cs="Times New Roman"/>
          <w:kern w:val="0"/>
          <w:sz w:val="24"/>
          <w:szCs w:val="24"/>
        </w:rPr>
      </w:pP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1.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革新监测技术与装备。应用光纤传感、无线传输、卫星遥感等现代监测手段，研制装配式潜水监测、同孔水土一体监测、地下多源信息智能感知等设备；研发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多参数监测设备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，实现地层振动、温度、变形等多参数协同反演与灾害前兆特征精准识别，解决地下突发病害预警预报难题。</w:t>
      </w:r>
    </w:p>
    <w:p w14:paraId="1AC516A9">
      <w:pPr>
        <w:tabs>
          <w:tab w:val="left" w:pos="720"/>
        </w:tabs>
        <w:spacing w:line="360" w:lineRule="auto"/>
        <w:ind w:firstLine="480" w:firstLineChars="200"/>
        <w:rPr>
          <w:rFonts w:ascii="Times New Roman" w:hAnsi="Times New Roman" w:eastAsia="仿宋_GB2312" w:cs="Times New Roman"/>
          <w:kern w:val="0"/>
          <w:sz w:val="24"/>
          <w:szCs w:val="24"/>
        </w:rPr>
      </w:pP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2.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建立了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地质安全风险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人工智能风险评价与多级预警技术，革新了智能钻孔、取样、管网检测机器人等装备。开发了多源异构多参数地下空间数据库，以此搭建了青岛地质信息服务与决策平台、陆海一体地质环境监测平台和城市生命线监管平台，提高了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地质安全风险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事故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的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智能研判和预警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能力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。</w:t>
      </w:r>
    </w:p>
    <w:p w14:paraId="1F636A99">
      <w:pPr>
        <w:tabs>
          <w:tab w:val="left" w:pos="720"/>
        </w:tabs>
        <w:spacing w:line="360" w:lineRule="auto"/>
        <w:ind w:firstLine="480" w:firstLineChars="200"/>
        <w:rPr>
          <w:rFonts w:ascii="Times New Roman" w:hAnsi="Times New Roman" w:eastAsia="仿宋_GB2312" w:cs="Times New Roman"/>
          <w:kern w:val="0"/>
          <w:sz w:val="24"/>
          <w:szCs w:val="24"/>
        </w:rPr>
      </w:pP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3.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创建监测预警方法体系。揭示地质安全动力致灾物理作用规律，创建动力致灾物理监测预警参数、判据准则与监测预警方法体系，突破传统力学评价模型参数测定、边界条件探测、灾变判据阈值确定等关键理论瓶颈。</w:t>
      </w:r>
    </w:p>
    <w:p w14:paraId="629E17F4">
      <w:pPr>
        <w:spacing w:line="360" w:lineRule="auto"/>
        <w:ind w:firstLine="424" w:firstLineChars="176"/>
        <w:rPr>
          <w:rFonts w:ascii="Times New Roman" w:hAnsi="Times New Roman" w:eastAsia="仿宋_GB2312" w:cs="Times New Roman"/>
          <w:b/>
          <w:bCs/>
          <w:kern w:val="0"/>
          <w:sz w:val="24"/>
          <w:szCs w:val="24"/>
        </w:rPr>
      </w:pPr>
      <w:r>
        <w:rPr>
          <w:rFonts w:hint="eastAsia" w:ascii="Times New Roman" w:hAnsi="Times New Roman" w:eastAsia="仿宋_GB2312" w:cs="Times New Roman"/>
          <w:b/>
          <w:bCs/>
          <w:kern w:val="0"/>
          <w:sz w:val="24"/>
          <w:szCs w:val="24"/>
        </w:rPr>
        <w:t>成果三</w:t>
      </w:r>
      <w:r>
        <w:rPr>
          <w:rFonts w:ascii="Times New Roman" w:hAnsi="Times New Roman" w:eastAsia="仿宋_GB2312" w:cs="Times New Roman"/>
          <w:b/>
          <w:bCs/>
          <w:kern w:val="0"/>
          <w:sz w:val="24"/>
          <w:szCs w:val="24"/>
        </w:rPr>
        <w:t>：城市地质安全风险防控与应用示范</w:t>
      </w:r>
      <w:r>
        <w:rPr>
          <w:rFonts w:hint="eastAsia" w:ascii="Times New Roman" w:hAnsi="Times New Roman" w:eastAsia="仿宋_GB2312" w:cs="Times New Roman"/>
          <w:b/>
          <w:bCs/>
          <w:kern w:val="0"/>
          <w:sz w:val="24"/>
          <w:szCs w:val="24"/>
        </w:rPr>
        <w:t>----</w:t>
      </w:r>
      <w:r>
        <w:rPr>
          <w:rFonts w:ascii="Times New Roman" w:hAnsi="Times New Roman" w:eastAsia="仿宋_GB2312" w:cs="Times New Roman"/>
          <w:b/>
          <w:bCs/>
          <w:kern w:val="0"/>
          <w:sz w:val="24"/>
          <w:szCs w:val="24"/>
        </w:rPr>
        <w:t>输出</w:t>
      </w:r>
      <w:r>
        <w:rPr>
          <w:rFonts w:hint="eastAsia" w:ascii="Times New Roman" w:hAnsi="Times New Roman" w:eastAsia="仿宋_GB2312" w:cs="Times New Roman"/>
          <w:b/>
          <w:bCs/>
          <w:kern w:val="0"/>
          <w:sz w:val="24"/>
          <w:szCs w:val="24"/>
        </w:rPr>
        <w:t>“杭州经验”，</w:t>
      </w:r>
      <w:r>
        <w:rPr>
          <w:rFonts w:ascii="Times New Roman" w:hAnsi="Times New Roman" w:eastAsia="仿宋_GB2312" w:cs="Times New Roman"/>
          <w:b/>
          <w:bCs/>
          <w:kern w:val="0"/>
          <w:sz w:val="24"/>
          <w:szCs w:val="24"/>
        </w:rPr>
        <w:t>打造全国样板</w:t>
      </w:r>
    </w:p>
    <w:p w14:paraId="63386309">
      <w:pPr>
        <w:tabs>
          <w:tab w:val="left" w:pos="720"/>
        </w:tabs>
        <w:spacing w:line="360" w:lineRule="auto"/>
        <w:ind w:firstLine="480" w:firstLineChars="200"/>
        <w:rPr>
          <w:rFonts w:ascii="Times New Roman" w:hAnsi="Times New Roman" w:eastAsia="仿宋_GB2312" w:cs="Times New Roman"/>
          <w:kern w:val="0"/>
          <w:sz w:val="24"/>
          <w:szCs w:val="24"/>
        </w:rPr>
      </w:pP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1.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创新三维地质建模与信息集成技术。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 xml:space="preserve">攻克高精度三维地质模型和地下空间设施三维模型快速构建技术、地上地下全空间一体化数据组织存储和模型无缝融合技术、三维立体空间索引技术等，打通了地下空间信息集成与服务核心技术关键环节，形成了领先的地上地下全空间一体化智慧管理技术体系、三维属性模型构建与应用技术方法。研发了具有自主知识产权的城市地下空间信息集成管理与服务平台，实现地质安全实时监测与预警预报。 </w:t>
      </w:r>
    </w:p>
    <w:p w14:paraId="2322CC3E">
      <w:pPr>
        <w:tabs>
          <w:tab w:val="left" w:pos="720"/>
        </w:tabs>
        <w:spacing w:line="360" w:lineRule="auto"/>
        <w:ind w:firstLine="480" w:firstLineChars="200"/>
        <w:rPr>
          <w:rFonts w:ascii="Times New Roman" w:hAnsi="Times New Roman" w:eastAsia="仿宋_GB2312" w:cs="Times New Roman"/>
          <w:kern w:val="0"/>
          <w:sz w:val="24"/>
          <w:szCs w:val="24"/>
        </w:rPr>
      </w:pP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2.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构建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“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一库一图一模一网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”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成果体系。编制《城市地质安全风险调查评价与区划技术指南（试行）》《城市地质安全风险评价技术要求》等行业标准，有效支撑中央部委及地方省市城市地质安全管理工作与政策出台，推动全国试点。</w:t>
      </w:r>
    </w:p>
    <w:p w14:paraId="72A8B5BB">
      <w:pPr>
        <w:spacing w:line="360" w:lineRule="auto"/>
        <w:ind w:firstLine="482" w:firstLineChars="200"/>
        <w:rPr>
          <w:rFonts w:ascii="Times New Roman" w:hAnsi="Times New Roman" w:eastAsia="仿宋_GB2312" w:cs="Times New Roman"/>
          <w:b/>
          <w:bCs/>
          <w:kern w:val="0"/>
          <w:sz w:val="24"/>
          <w:szCs w:val="24"/>
        </w:rPr>
      </w:pPr>
      <w:r>
        <w:rPr>
          <w:rFonts w:hint="eastAsia" w:ascii="Times New Roman" w:hAnsi="Times New Roman" w:eastAsia="仿宋_GB2312" w:cs="Times New Roman"/>
          <w:b/>
          <w:bCs/>
          <w:kern w:val="0"/>
          <w:sz w:val="24"/>
          <w:szCs w:val="24"/>
        </w:rPr>
        <w:t>四、社会经济效益评价</w:t>
      </w:r>
    </w:p>
    <w:p w14:paraId="59837843">
      <w:pPr>
        <w:spacing w:line="360" w:lineRule="auto"/>
        <w:ind w:firstLine="480" w:firstLineChars="200"/>
        <w:rPr>
          <w:rFonts w:ascii="Times New Roman" w:hAnsi="Times New Roman" w:eastAsia="仿宋_GB2312" w:cs="Times New Roman"/>
          <w:kern w:val="0"/>
          <w:sz w:val="24"/>
          <w:szCs w:val="24"/>
        </w:rPr>
      </w:pP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研究成果形成了较好的经济效益和显著社会效益，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成果有效支撑浙江省城市地质安全风险防控工作的开展。支撑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浙江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省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自然资源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厅累计部署11个地市城市地质安全监测和风险区划工作，15个城市地质调查等工程实施。服务杭州深隧排涝工程施工设计、地铁施工方案优化。撑自然资源部等四部委印发城市地质安全风险防控的通知，推进全国开展城市地质安全风险调查评价与区划试点。成功转化科技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项目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合同额约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5000万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元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。</w:t>
      </w:r>
    </w:p>
    <w:p w14:paraId="16238275">
      <w:pPr>
        <w:spacing w:line="360" w:lineRule="auto"/>
        <w:ind w:firstLine="480" w:firstLineChars="200"/>
        <w:rPr>
          <w:rFonts w:ascii="Times New Roman" w:hAnsi="Times New Roman" w:eastAsia="仿宋_GB2312" w:cs="Times New Roman"/>
          <w:kern w:val="0"/>
          <w:sz w:val="24"/>
          <w:szCs w:val="24"/>
        </w:rPr>
      </w:pPr>
    </w:p>
    <w:p w14:paraId="2419A19E">
      <w:pPr>
        <w:spacing w:line="360" w:lineRule="auto"/>
        <w:ind w:firstLine="480" w:firstLineChars="200"/>
        <w:rPr>
          <w:rFonts w:ascii="Times New Roman" w:hAnsi="Times New Roman" w:eastAsia="仿宋_GB2312" w:cs="Times New Roman"/>
          <w:kern w:val="0"/>
          <w:sz w:val="24"/>
          <w:szCs w:val="24"/>
        </w:rPr>
      </w:pPr>
    </w:p>
    <w:p w14:paraId="403EB08D">
      <w:pPr>
        <w:spacing w:line="360" w:lineRule="auto"/>
        <w:ind w:firstLine="482" w:firstLineChars="200"/>
        <w:rPr>
          <w:rFonts w:ascii="Times New Roman" w:hAnsi="Times New Roman" w:eastAsia="仿宋_GB2312" w:cs="Times New Roman"/>
          <w:b/>
          <w:bCs/>
          <w:kern w:val="0"/>
          <w:sz w:val="24"/>
          <w:szCs w:val="24"/>
        </w:rPr>
      </w:pPr>
      <w:r>
        <w:rPr>
          <w:rFonts w:hint="eastAsia" w:ascii="Times New Roman" w:hAnsi="Times New Roman" w:eastAsia="仿宋_GB2312" w:cs="Times New Roman"/>
          <w:b/>
          <w:bCs/>
          <w:kern w:val="0"/>
          <w:sz w:val="24"/>
          <w:szCs w:val="24"/>
        </w:rPr>
        <w:t>五、主要知识产权目录</w:t>
      </w:r>
    </w:p>
    <w:p w14:paraId="3089D297">
      <w:pPr>
        <w:spacing w:line="360" w:lineRule="auto"/>
        <w:rPr>
          <w:rFonts w:ascii="Times New Roman" w:hAnsi="Times New Roman" w:eastAsia="仿宋_GB2312" w:cs="Times New Roman"/>
          <w:kern w:val="0"/>
          <w:sz w:val="24"/>
          <w:szCs w:val="24"/>
        </w:rPr>
      </w:pP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（一）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代表性论文专著目录</w:t>
      </w:r>
    </w:p>
    <w:tbl>
      <w:tblPr>
        <w:tblStyle w:val="18"/>
        <w:tblW w:w="87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1660"/>
        <w:gridCol w:w="943"/>
        <w:gridCol w:w="1443"/>
        <w:gridCol w:w="1530"/>
        <w:gridCol w:w="923"/>
        <w:gridCol w:w="854"/>
        <w:gridCol w:w="536"/>
        <w:gridCol w:w="414"/>
      </w:tblGrid>
      <w:tr w14:paraId="19B84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7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9D6C7">
            <w:pPr>
              <w:snapToGrid w:val="0"/>
              <w:jc w:val="center"/>
              <w:rPr>
                <w:rFonts w:ascii="Times New Roman" w:hAnsi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16197">
            <w:pPr>
              <w:snapToGrid w:val="0"/>
              <w:jc w:val="center"/>
              <w:rPr>
                <w:rFonts w:ascii="Times New Roman" w:hAnsi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论文专著名称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9BAC4">
            <w:pPr>
              <w:snapToGrid w:val="0"/>
              <w:jc w:val="center"/>
              <w:rPr>
                <w:rFonts w:ascii="Times New Roman" w:hAnsi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刊名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ED408">
            <w:pPr>
              <w:snapToGrid w:val="0"/>
              <w:jc w:val="center"/>
              <w:rPr>
                <w:rFonts w:ascii="Times New Roman" w:hAnsi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作者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92726">
            <w:pPr>
              <w:snapToGrid w:val="0"/>
              <w:jc w:val="center"/>
              <w:rPr>
                <w:rFonts w:ascii="Times New Roman" w:hAnsi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年卷页码（xx年xx卷xx页）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FBA65">
            <w:pPr>
              <w:snapToGrid w:val="0"/>
              <w:jc w:val="center"/>
              <w:rPr>
                <w:rFonts w:ascii="Times New Roman" w:hAnsi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发表时间</w:t>
            </w:r>
          </w:p>
          <w:p w14:paraId="37FE6326">
            <w:pPr>
              <w:snapToGrid w:val="0"/>
              <w:jc w:val="center"/>
              <w:rPr>
                <w:rFonts w:ascii="Times New Roman" w:hAnsi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（年月 日）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E73F5">
            <w:pPr>
              <w:snapToGrid w:val="0"/>
              <w:jc w:val="center"/>
              <w:rPr>
                <w:rFonts w:ascii="Times New Roman" w:hAnsi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通讯作者/第一作者是否为本成果主要完成人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35EF6">
            <w:pPr>
              <w:snapToGrid w:val="0"/>
              <w:jc w:val="center"/>
              <w:rPr>
                <w:rFonts w:ascii="Times New Roman" w:hAnsi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SCI 他引次数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EDEDB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他引总次数</w:t>
            </w:r>
          </w:p>
        </w:tc>
      </w:tr>
      <w:tr w14:paraId="1DCCE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87615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6DA1A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城市地下空间资源综合利用评价工作构想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9BC16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地质通报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16B03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葛伟亚</w:t>
            </w:r>
            <w:r>
              <w:rPr>
                <w:rFonts w:hint="eastAsia" w:cs="Microsoft Yi Baiti" w:asciiTheme="minorEastAsia" w:hAnsiTheme="minor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;</w:t>
            </w: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王睿</w:t>
            </w:r>
            <w:r>
              <w:rPr>
                <w:rFonts w:hint="eastAsia" w:ascii="Microsoft Yi Baiti" w:hAnsi="Microsoft Yi Baiti" w:cs="Microsoft Yi Baiti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;</w:t>
            </w: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张庆</w:t>
            </w:r>
            <w:r>
              <w:rPr>
                <w:rFonts w:hint="eastAsia" w:ascii="Microsoft Yi Baiti" w:hAnsi="Microsoft Yi Baiti" w:cs="Microsoft Yi Baiti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;</w:t>
            </w: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邢怀学</w:t>
            </w:r>
            <w:r>
              <w:rPr>
                <w:rFonts w:hint="eastAsia" w:ascii="Microsoft Yi Baiti" w:hAnsi="Microsoft Yi Baiti" w:cs="Microsoft Yi Baiti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;</w:t>
            </w:r>
            <w:r>
              <w:rPr>
                <w:rFonts w:hint="eastAsia" w:ascii="宋体" w:hAnsi="宋体" w:eastAsia="宋体" w:cs="宋体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周洁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335D1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2021年40卷1601-1608页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48A10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2021-10-15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15A4F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第一作者/是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26204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6FAB5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</w:tr>
      <w:tr w14:paraId="4C99D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CC6E0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663C8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城市地下空间开发利用地质适宜性三维评价指标体系研究——以杭州市为例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EB26B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地质论评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F86A5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邢怀学</w:t>
            </w: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;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窦帆帆</w:t>
            </w: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;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葛伟亚</w:t>
            </w: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;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,华健</w:t>
            </w: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;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常晓军</w:t>
            </w: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;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蔡小虎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D1E45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2022年68卷607-614页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EE4A2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2022-03-15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5CABC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第一作者/是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F5B66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22E5F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</w:tr>
      <w:tr w14:paraId="09CE0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159D0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F638A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3D Geological Suitability Evaluation for UrbanUnderground Space Development Based on CombinedWeighting and Improved TOPSIS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AA350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Natural Resources Research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80969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FanfanDou, HuaixueXing, XiaohuiLi, FengYuan</w:t>
            </w: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 xml:space="preserve"> ZhitangLu</w:t>
            </w: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 xml:space="preserve"> Xiangling 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and Weiya G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DB05A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2022年31卷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693-711</w:t>
            </w: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页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330CF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2022-01-30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42CF2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通讯作者/是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D1F25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0C979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</w:tr>
      <w:tr w14:paraId="707D3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CD2B6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C629E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青岛主城区地下空间开发利用地质因素的影响评价及适宜性分区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FFA59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地质学报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415F5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夏伟强;董杰;何鹏;解永健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B0183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2019,93(S1):233-240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5F08E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2019.9.25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A5BFE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通讯作者/是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7E208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7470A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</w:tr>
      <w:tr w14:paraId="70F65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229E3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DA7BB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Near-surface imaging from traffic-induced surface waves with dense linear arrays: An application in the urban area of Hangzhou, China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88899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G</w:t>
            </w: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eophysics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0EF4F">
            <w:pPr>
              <w:pStyle w:val="12"/>
              <w:spacing w:line="240" w:lineRule="auto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BinbinMi,Jianghai Xia,Gang Tian,Zhanjie Shi,Huaixue Xing,Xiaojun Chang,Chaoqiang</w:t>
            </w:r>
          </w:p>
          <w:p w14:paraId="747974D9">
            <w:pPr>
              <w:pStyle w:val="12"/>
              <w:spacing w:line="240" w:lineRule="auto"/>
              <w:ind w:firstLine="300"/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Xi,Ya Liu,Ling Ning,Tianyu Dai4, Jingyin Pang,Xinhua Chen,Changjiang Zhou,and</w:t>
            </w:r>
          </w:p>
          <w:p w14:paraId="684D435A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Hongyu Zhang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DB194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2022年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87</w:t>
            </w: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卷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 xml:space="preserve"> B145–B158</w:t>
            </w: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页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26B75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2022-03-01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1488A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第一作者/是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89239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E887A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</w:tr>
      <w:tr w14:paraId="74A47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8B2D6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19462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Extraction of surface-wave phase velocities from ambient noise in the presence of local noise sources based on matched-field processing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648DE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Journal of Applied Geophysics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6619D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 xml:space="preserve"> Hao Zhang, Binbin Mi, Chaoqiang Xi , Ya Liu, Bo Guan, Ling Ning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B8C5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Times New Roman"/>
                <w:sz w:val="15"/>
                <w:szCs w:val="15"/>
              </w:rPr>
              <w:t>2022年204卷</w:t>
            </w:r>
            <w:r>
              <w:rPr>
                <w:rFonts w:ascii="Times New Roman" w:hAnsi="Times New Roman"/>
                <w:sz w:val="15"/>
                <w:szCs w:val="15"/>
              </w:rPr>
              <w:t>104755</w:t>
            </w:r>
            <w:r>
              <w:rPr>
                <w:rFonts w:hint="eastAsia" w:ascii="Times New Roman" w:hAnsi="Times New Roman"/>
                <w:sz w:val="15"/>
                <w:szCs w:val="15"/>
              </w:rPr>
              <w:t>页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3CA4F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Times New Roman"/>
                <w:sz w:val="15"/>
                <w:szCs w:val="15"/>
              </w:rPr>
              <w:t>2022-09-01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51756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Times New Roman"/>
                <w:sz w:val="15"/>
                <w:szCs w:val="15"/>
              </w:rPr>
              <w:t>通讯作者/是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D018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Times New Roman"/>
                <w:sz w:val="15"/>
                <w:szCs w:val="15"/>
              </w:rPr>
              <w:t>16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0763B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Times New Roman"/>
                <w:sz w:val="15"/>
                <w:szCs w:val="15"/>
              </w:rPr>
              <w:t>18</w:t>
            </w:r>
          </w:p>
        </w:tc>
      </w:tr>
      <w:tr w14:paraId="7974C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3CEFA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830DA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Risk Assessment and Prevention Planning for Collapse Geological Hazards Considering Extreme Rainfall—A Case Study of Laoshan District in Eastern China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6E17B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Land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FDAE8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Peng Yu, Jie Dong, Hongwei Hao, Yongjian Xie, Hui Zhang, Jianshou Wang, Chenghao Zhu,</w:t>
            </w:r>
          </w:p>
          <w:p w14:paraId="1E54EDB3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Yong Guan</w:t>
            </w: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;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Haochen Yu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FA07A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2023,12(8),1558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C47DB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2023.08.01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D66BE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第一作者/是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B33C1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D5DD0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</w:tr>
      <w:tr w14:paraId="790C5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52DDB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CDA24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典型滨海平原区地下水流系统水化学场演化及成因：以杭嘉湖平原为例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957AB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地球科学（EI）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504A0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黄金瓯</w:t>
            </w: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鲜阳</w:t>
            </w: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黎伟</w:t>
            </w: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 xml:space="preserve"> 张达政</w:t>
            </w: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 xml:space="preserve"> 庄晓明</w:t>
            </w: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,黄金瓯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F4F3B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2021</w:t>
            </w: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46</w:t>
            </w: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卷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2565-2582</w:t>
            </w: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页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F73DC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2020-8-20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C8835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第一作者/是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1FF18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40B24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</w:tr>
    </w:tbl>
    <w:p w14:paraId="655426BF">
      <w:pPr>
        <w:spacing w:line="360" w:lineRule="auto"/>
        <w:rPr>
          <w:rFonts w:ascii="Times New Roman" w:hAnsi="Times New Roman" w:eastAsia="仿宋_GB2312" w:cs="Times New Roman"/>
          <w:kern w:val="0"/>
          <w:sz w:val="24"/>
          <w:szCs w:val="24"/>
        </w:rPr>
      </w:pPr>
    </w:p>
    <w:p w14:paraId="70E2D068">
      <w:pPr>
        <w:spacing w:line="360" w:lineRule="auto"/>
        <w:rPr>
          <w:rFonts w:ascii="Times New Roman" w:hAnsi="Times New Roman" w:eastAsia="仿宋_GB2312" w:cs="Times New Roman"/>
          <w:kern w:val="0"/>
          <w:sz w:val="24"/>
          <w:szCs w:val="24"/>
        </w:rPr>
      </w:pPr>
      <w:r>
        <w:rPr>
          <w:rFonts w:hint="eastAsia" w:ascii="Times New Roman" w:hAnsi="Times New Roman" w:eastAsia="仿宋_GB2312" w:cs="Times New Roman"/>
          <w:kern w:val="0"/>
          <w:sz w:val="24"/>
          <w:szCs w:val="24"/>
        </w:rPr>
        <w:t>（二）主要知识产权和标准规范等目录</w:t>
      </w:r>
    </w:p>
    <w:tbl>
      <w:tblPr>
        <w:tblStyle w:val="18"/>
        <w:tblW w:w="919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1065"/>
        <w:gridCol w:w="578"/>
        <w:gridCol w:w="1656"/>
        <w:gridCol w:w="1325"/>
        <w:gridCol w:w="990"/>
        <w:gridCol w:w="770"/>
        <w:gridCol w:w="1302"/>
        <w:gridCol w:w="725"/>
      </w:tblGrid>
      <w:tr w14:paraId="7A8AB3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4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C2835">
            <w:pPr>
              <w:pStyle w:val="12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知识产权</w:t>
            </w:r>
          </w:p>
          <w:p w14:paraId="22DF57D1">
            <w:pPr>
              <w:pStyle w:val="12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（标准）类别</w:t>
            </w:r>
          </w:p>
        </w:tc>
        <w:tc>
          <w:tcPr>
            <w:tcW w:w="112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191D5">
            <w:pPr>
              <w:pStyle w:val="12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知识产权（标准）具体名称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457D7">
            <w:pPr>
              <w:pStyle w:val="12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国家</w:t>
            </w:r>
          </w:p>
          <w:p w14:paraId="43AACD8A">
            <w:pPr>
              <w:pStyle w:val="12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（地区）</w:t>
            </w:r>
          </w:p>
        </w:tc>
        <w:tc>
          <w:tcPr>
            <w:tcW w:w="1656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BF955">
            <w:pPr>
              <w:pStyle w:val="12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授权号（标准编号）</w:t>
            </w:r>
          </w:p>
        </w:tc>
        <w:tc>
          <w:tcPr>
            <w:tcW w:w="1441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8EF53">
            <w:pPr>
              <w:pStyle w:val="12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授权（标准发布）日期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F797E">
            <w:pPr>
              <w:pStyle w:val="12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证书编号（标准批准发布部门）</w:t>
            </w:r>
          </w:p>
        </w:tc>
        <w:tc>
          <w:tcPr>
            <w:tcW w:w="876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EB497">
            <w:pPr>
              <w:pStyle w:val="12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权利人（标准起草单位）</w:t>
            </w:r>
          </w:p>
        </w:tc>
        <w:tc>
          <w:tcPr>
            <w:tcW w:w="83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2D314">
            <w:pPr>
              <w:pStyle w:val="12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发明人（标准起草人）</w:t>
            </w:r>
          </w:p>
        </w:tc>
        <w:tc>
          <w:tcPr>
            <w:tcW w:w="806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0C89862">
            <w:pPr>
              <w:pStyle w:val="12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发明专利（标准）有效状态</w:t>
            </w:r>
          </w:p>
        </w:tc>
      </w:tr>
      <w:tr w14:paraId="382907C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89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C681B">
            <w:pPr>
              <w:pStyle w:val="12"/>
              <w:spacing w:line="240" w:lineRule="exact"/>
              <w:ind w:firstLine="0" w:firstLineChars="0"/>
              <w:jc w:val="center"/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发明专利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2A5DB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 model box for leakage and collapse of a buried pipeline capable of switching internal and external seepage working conditions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1986D">
            <w:pPr>
              <w:pStyle w:val="12"/>
              <w:spacing w:line="240" w:lineRule="exact"/>
              <w:ind w:firstLine="0" w:firstLineChars="0"/>
              <w:jc w:val="center"/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美国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16D96">
            <w:pPr>
              <w:pStyle w:val="12"/>
              <w:spacing w:line="240" w:lineRule="exact"/>
              <w:ind w:firstLine="0" w:firstLineChars="0"/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US012562080B2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5BAC1">
            <w:pPr>
              <w:pStyle w:val="12"/>
              <w:spacing w:line="240" w:lineRule="exact"/>
              <w:ind w:firstLine="0" w:firstLineChars="0"/>
              <w:jc w:val="center"/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2026年02月24日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A5ED8">
            <w:pPr>
              <w:pStyle w:val="12"/>
              <w:spacing w:line="240" w:lineRule="exact"/>
              <w:ind w:firstLine="0" w:firstLineChars="0"/>
              <w:jc w:val="center"/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18/469580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57CE2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中国地质调查局南京地质调查中心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FE6C7">
            <w:pPr>
              <w:pStyle w:val="12"/>
              <w:spacing w:line="240" w:lineRule="exact"/>
              <w:ind w:firstLine="360"/>
              <w:jc w:val="center"/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Qing Zhang; Yunfeng</w:t>
            </w:r>
          </w:p>
          <w:p w14:paraId="55A7225C">
            <w:pPr>
              <w:pStyle w:val="12"/>
              <w:spacing w:line="240" w:lineRule="exact"/>
              <w:ind w:firstLine="360"/>
              <w:jc w:val="center"/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Li;Weiya Ge; Zongfang Chen;</w:t>
            </w:r>
          </w:p>
          <w:p w14:paraId="6BBC9454">
            <w:pPr>
              <w:pStyle w:val="12"/>
              <w:spacing w:line="240" w:lineRule="exact"/>
              <w:ind w:firstLine="360"/>
              <w:jc w:val="center"/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Jian Hua;Yuanzhi Lu;LiliHou;</w:t>
            </w:r>
          </w:p>
          <w:p w14:paraId="4D4499AE">
            <w:pPr>
              <w:pStyle w:val="12"/>
              <w:spacing w:line="240" w:lineRule="exact"/>
              <w:ind w:firstLine="0" w:firstLineChars="0"/>
              <w:jc w:val="center"/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Jingjing Du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BC88F29">
            <w:pPr>
              <w:pStyle w:val="12"/>
              <w:spacing w:line="240" w:lineRule="exact"/>
              <w:ind w:firstLine="0" w:firstLineChars="0"/>
              <w:jc w:val="center"/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有效</w:t>
            </w:r>
          </w:p>
        </w:tc>
      </w:tr>
      <w:tr w14:paraId="05A3E0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89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815A6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发明专利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355E6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一种分布式易植入地下多源信息感知装置及方法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3352A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B7995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ZL2023 1 1299594.6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3FD35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2024年12月10日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596F3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第7589348号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CA0B4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中国地质调查局南京地质调查中心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DC440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张庆:李云峰;葛伟亚:华健:陆远志:陈宗芳:杜菁菁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C2EACB1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有效</w:t>
            </w:r>
          </w:p>
        </w:tc>
      </w:tr>
      <w:tr w14:paraId="4014C5E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89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91A78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发明专利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97224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一种可切换内外渗流工况的埋地管道泄露塌陷模型箱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CB55A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63B93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ZL 2023 1 0061794.1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8563D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2025年08月22日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121DA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第8181224号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C6AD0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中国地质调查局南京地质调查中心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A4D07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张庆;李云峰;葛伟亚;陈宗芳;华健;陆远志;侯莉莉;杜菁菁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06A10D6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有效</w:t>
            </w:r>
          </w:p>
        </w:tc>
      </w:tr>
      <w:tr w14:paraId="236851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89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9C2F3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发明专利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8EAC6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一种分布式易植入地下多源信息感知装置及方法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38992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15F23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ZL2023 1 1299594.6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B84ED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2024年12月10日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74F50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第7589348号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A9A63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中国地质调查局南京地质调查中心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19823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张庆:李云峰;葛伟亚:华健:陆远志:陈宗芳:杜菁菁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3565E32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bookmarkStart w:id="2" w:name="OLE_LINK11"/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有效</w:t>
            </w:r>
            <w:bookmarkEnd w:id="2"/>
          </w:p>
        </w:tc>
      </w:tr>
      <w:tr w14:paraId="47ABF1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89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3EA77">
            <w:pPr>
              <w:pStyle w:val="12"/>
              <w:spacing w:line="240" w:lineRule="auto"/>
              <w:ind w:firstLine="0" w:firstLineChars="0"/>
              <w:jc w:val="center"/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发明专利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6C347">
            <w:pPr>
              <w:pStyle w:val="12"/>
              <w:spacing w:line="240" w:lineRule="auto"/>
              <w:ind w:firstLine="0" w:firstLineChars="0"/>
              <w:jc w:val="center"/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一种地下空间资源量分析方法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E51EF">
            <w:pPr>
              <w:pStyle w:val="12"/>
              <w:spacing w:line="240" w:lineRule="auto"/>
              <w:ind w:firstLine="0" w:firstLineChars="0"/>
              <w:jc w:val="center"/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C1816">
            <w:pPr>
              <w:pStyle w:val="12"/>
              <w:spacing w:line="240" w:lineRule="auto"/>
              <w:ind w:firstLine="0" w:firstLineChars="0"/>
              <w:jc w:val="left"/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CN113203399B/</w:t>
            </w:r>
          </w:p>
          <w:p w14:paraId="1EAA212E">
            <w:pPr>
              <w:pStyle w:val="12"/>
              <w:spacing w:line="240" w:lineRule="auto"/>
              <w:ind w:firstLine="0" w:firstLineChars="0"/>
              <w:jc w:val="center"/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ZL202110411708.6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7B627">
            <w:pPr>
              <w:pStyle w:val="12"/>
              <w:spacing w:line="240" w:lineRule="auto"/>
              <w:ind w:firstLine="0" w:firstLineChars="0"/>
              <w:jc w:val="center"/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2022.02.15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3EB35">
            <w:pPr>
              <w:pStyle w:val="12"/>
              <w:spacing w:line="240" w:lineRule="auto"/>
              <w:ind w:firstLine="0" w:firstLineChars="0"/>
              <w:jc w:val="center"/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4935454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31F9A">
            <w:pPr>
              <w:pStyle w:val="12"/>
              <w:spacing w:line="240" w:lineRule="auto"/>
              <w:ind w:firstLine="0" w:firstLineChars="0"/>
              <w:jc w:val="left"/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青岛地质工程勘察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03E80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董杰,徐红兵,夏伟强,王建收,刘海松,郝胜优,于晓曦,付佳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E4A6906">
            <w:pPr>
              <w:pStyle w:val="12"/>
              <w:spacing w:line="240" w:lineRule="exact"/>
              <w:ind w:firstLine="0" w:firstLineChars="0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有效</w:t>
            </w:r>
          </w:p>
        </w:tc>
      </w:tr>
      <w:tr w14:paraId="5B65BA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89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38CA2">
            <w:pPr>
              <w:pStyle w:val="12"/>
              <w:spacing w:line="240" w:lineRule="auto"/>
              <w:ind w:firstLine="0" w:firstLineChars="0"/>
              <w:jc w:val="center"/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发明专利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6F652">
            <w:pPr>
              <w:pStyle w:val="12"/>
              <w:spacing w:line="240" w:lineRule="auto"/>
              <w:ind w:firstLine="0" w:firstLineChars="0"/>
              <w:jc w:val="center"/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一种多功能海洋地质勘测箱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48EF7">
            <w:pPr>
              <w:pStyle w:val="12"/>
              <w:spacing w:line="240" w:lineRule="auto"/>
              <w:ind w:firstLine="0" w:firstLineChars="0"/>
              <w:jc w:val="center"/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3AF47">
            <w:pPr>
              <w:pStyle w:val="12"/>
              <w:spacing w:line="240" w:lineRule="auto"/>
              <w:ind w:firstLine="0" w:firstLineChars="0"/>
              <w:jc w:val="left"/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CN113104371B/</w:t>
            </w:r>
          </w:p>
          <w:p w14:paraId="481D7824">
            <w:pPr>
              <w:pStyle w:val="12"/>
              <w:spacing w:line="240" w:lineRule="auto"/>
              <w:ind w:firstLine="0" w:firstLineChars="0"/>
              <w:jc w:val="center"/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ZL202110407512.X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6D1D3">
            <w:pPr>
              <w:pStyle w:val="12"/>
              <w:spacing w:line="240" w:lineRule="auto"/>
              <w:ind w:firstLine="0" w:firstLineChars="0"/>
              <w:jc w:val="center"/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2022.09.30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C4FD7">
            <w:pPr>
              <w:pStyle w:val="12"/>
              <w:spacing w:line="240" w:lineRule="auto"/>
              <w:ind w:firstLine="0" w:firstLineChars="0"/>
              <w:jc w:val="center"/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5485520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FA9D3">
            <w:pPr>
              <w:pStyle w:val="12"/>
              <w:spacing w:line="240" w:lineRule="auto"/>
              <w:ind w:firstLine="0" w:firstLineChars="0"/>
              <w:jc w:val="left"/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青岛地质工程勘察院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2B867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董杰</w:t>
            </w: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,曹立雪,管勇,王建收,尹政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1191C77">
            <w:pPr>
              <w:pStyle w:val="12"/>
              <w:spacing w:line="240" w:lineRule="exact"/>
              <w:ind w:firstLine="0" w:firstLineChars="0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有效</w:t>
            </w:r>
          </w:p>
        </w:tc>
      </w:tr>
      <w:tr w14:paraId="480013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89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0EAB1">
            <w:pPr>
              <w:pStyle w:val="12"/>
              <w:spacing w:line="240" w:lineRule="auto"/>
              <w:ind w:firstLine="0" w:firstLineChars="0"/>
              <w:jc w:val="center"/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发明专利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864E9">
            <w:pPr>
              <w:pStyle w:val="12"/>
              <w:spacing w:line="240" w:lineRule="auto"/>
              <w:ind w:firstLine="0" w:firstLineChars="0"/>
              <w:jc w:val="center"/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一种地下空间和天然空洞三维探测设备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42BF8">
            <w:pPr>
              <w:pStyle w:val="12"/>
              <w:spacing w:line="240" w:lineRule="auto"/>
              <w:ind w:firstLine="0" w:firstLineChars="0"/>
              <w:jc w:val="center"/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98364">
            <w:pPr>
              <w:pStyle w:val="12"/>
              <w:spacing w:line="240" w:lineRule="auto"/>
              <w:ind w:firstLine="0" w:firstLineChars="0"/>
              <w:jc w:val="left"/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CN117572524B/</w:t>
            </w:r>
          </w:p>
          <w:p w14:paraId="39577D18">
            <w:pPr>
              <w:pStyle w:val="12"/>
              <w:spacing w:line="240" w:lineRule="auto"/>
              <w:ind w:firstLine="0" w:firstLineChars="0"/>
              <w:jc w:val="center"/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ZL202410063169.5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6DDCE">
            <w:pPr>
              <w:pStyle w:val="12"/>
              <w:spacing w:line="240" w:lineRule="auto"/>
              <w:ind w:firstLine="0" w:firstLineChars="0"/>
              <w:jc w:val="center"/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2024.04.26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80ABE">
            <w:pPr>
              <w:pStyle w:val="12"/>
              <w:spacing w:line="240" w:lineRule="auto"/>
              <w:ind w:firstLine="0" w:firstLineChars="0"/>
              <w:jc w:val="center"/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6944071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0EBDE">
            <w:pPr>
              <w:pStyle w:val="12"/>
              <w:spacing w:line="240" w:lineRule="auto"/>
              <w:ind w:firstLine="0" w:firstLineChars="0"/>
              <w:jc w:val="left"/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青岛地质工程勘察院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5A37A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董杰;刘海松;刘治政;王汝杰;李林森;王玮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ADD5483">
            <w:pPr>
              <w:pStyle w:val="12"/>
              <w:spacing w:line="240" w:lineRule="exact"/>
              <w:ind w:firstLine="0" w:firstLineChars="0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有效</w:t>
            </w:r>
          </w:p>
        </w:tc>
      </w:tr>
      <w:tr w14:paraId="5B749FB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89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C2DD8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发明专利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794D4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基于同孔监测的地下水土关联监测分析方法及平台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56F4A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B67D6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ZL 2024 1 1356189.8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B638C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2025年02月18日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6AD6D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第7745060号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817F2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浙江省地质院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B8796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周丽玲;沈慧珍;梁红波;张达政;潘志峰;王勇;蒋永平周世荣;李习坤;沈淑萍;王建能;佟娜娜;吴展开;蔡先锋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65D7C41">
            <w:pPr>
              <w:pStyle w:val="12"/>
              <w:spacing w:line="240" w:lineRule="exact"/>
              <w:ind w:firstLine="0" w:firstLineChars="0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有效</w:t>
            </w:r>
          </w:p>
        </w:tc>
      </w:tr>
      <w:tr w14:paraId="778E4C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89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FB148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发明专利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0D86B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一体化装配式潜水井体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B62BA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75C19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ZL 2023 1 1553593.X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525D1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2026年08月14日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0FBEB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第9194247号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D1101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浙江省地质院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23AC4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周丽玲;张达政;沈慧珍;孙文明;梁红波;卢衎尔;周文华张明;周立军;李习坤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AE53E27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有效</w:t>
            </w:r>
          </w:p>
        </w:tc>
      </w:tr>
      <w:tr w14:paraId="5EDF1A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894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D13C52E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软著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A806AE6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城市地质成果应用服务信息平台V1.0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B91D6B2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4E615AC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2024SR0128729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9DA4B5D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2023年09月01日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9376B42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软著登字第12532602号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E1ABF48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中国地质调查局南京地质调查中心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329142F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F81F8D">
            <w:pPr>
              <w:pStyle w:val="12"/>
              <w:spacing w:line="240" w:lineRule="exact"/>
              <w:ind w:firstLine="0" w:firstLineChars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有效</w:t>
            </w:r>
          </w:p>
        </w:tc>
      </w:tr>
    </w:tbl>
    <w:p w14:paraId="617F74A3">
      <w:pPr>
        <w:spacing w:line="360" w:lineRule="auto"/>
        <w:rPr>
          <w:rFonts w:ascii="Times New Roman" w:hAnsi="Times New Roman" w:eastAsia="仿宋_GB2312" w:cs="Times New Roman"/>
          <w:kern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Microsoft Yi Baiti">
    <w:panose1 w:val="03000500000000000000"/>
    <w:charset w:val="00"/>
    <w:family w:val="script"/>
    <w:pitch w:val="default"/>
    <w:sig w:usb0="80000003" w:usb1="00010402" w:usb2="00080002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NjI2N7E0MTU1NzY1MDNS0lEKTi0uzszPAykwrAUASRMt/CwAAAA="/>
  </w:docVars>
  <w:rsids>
    <w:rsidRoot w:val="00A936AD"/>
    <w:rsid w:val="000326D4"/>
    <w:rsid w:val="000521BC"/>
    <w:rsid w:val="00063534"/>
    <w:rsid w:val="00086F6D"/>
    <w:rsid w:val="000919FC"/>
    <w:rsid w:val="000E1605"/>
    <w:rsid w:val="00101FD9"/>
    <w:rsid w:val="00125DCF"/>
    <w:rsid w:val="00184A4C"/>
    <w:rsid w:val="00191634"/>
    <w:rsid w:val="00286379"/>
    <w:rsid w:val="002A4D63"/>
    <w:rsid w:val="002A5526"/>
    <w:rsid w:val="002A6477"/>
    <w:rsid w:val="002E1ED9"/>
    <w:rsid w:val="002F4098"/>
    <w:rsid w:val="0036287C"/>
    <w:rsid w:val="003904B8"/>
    <w:rsid w:val="00390765"/>
    <w:rsid w:val="003B3E01"/>
    <w:rsid w:val="00403FD7"/>
    <w:rsid w:val="0048591B"/>
    <w:rsid w:val="00493583"/>
    <w:rsid w:val="004B4E9E"/>
    <w:rsid w:val="004F5F61"/>
    <w:rsid w:val="004F7974"/>
    <w:rsid w:val="00503A8E"/>
    <w:rsid w:val="00513961"/>
    <w:rsid w:val="00517670"/>
    <w:rsid w:val="00522FD0"/>
    <w:rsid w:val="00555EBE"/>
    <w:rsid w:val="005779C0"/>
    <w:rsid w:val="00592D71"/>
    <w:rsid w:val="00625C9D"/>
    <w:rsid w:val="00657C5B"/>
    <w:rsid w:val="00672D73"/>
    <w:rsid w:val="006A3F01"/>
    <w:rsid w:val="006A508A"/>
    <w:rsid w:val="006B0AAF"/>
    <w:rsid w:val="00703BAD"/>
    <w:rsid w:val="007074B6"/>
    <w:rsid w:val="00732130"/>
    <w:rsid w:val="00741AF9"/>
    <w:rsid w:val="007460A4"/>
    <w:rsid w:val="00791105"/>
    <w:rsid w:val="007A1CBF"/>
    <w:rsid w:val="007C0185"/>
    <w:rsid w:val="007D5B1E"/>
    <w:rsid w:val="007F09AA"/>
    <w:rsid w:val="00854A9C"/>
    <w:rsid w:val="0087113B"/>
    <w:rsid w:val="0089372A"/>
    <w:rsid w:val="00896A69"/>
    <w:rsid w:val="008A77A5"/>
    <w:rsid w:val="008D5CFE"/>
    <w:rsid w:val="008E1120"/>
    <w:rsid w:val="008E3056"/>
    <w:rsid w:val="008E53A9"/>
    <w:rsid w:val="0093099A"/>
    <w:rsid w:val="00931D48"/>
    <w:rsid w:val="00943663"/>
    <w:rsid w:val="00967F42"/>
    <w:rsid w:val="00992478"/>
    <w:rsid w:val="009B4581"/>
    <w:rsid w:val="009B47A4"/>
    <w:rsid w:val="009D63AE"/>
    <w:rsid w:val="009E0DC5"/>
    <w:rsid w:val="00A075F4"/>
    <w:rsid w:val="00A134B3"/>
    <w:rsid w:val="00A17FBE"/>
    <w:rsid w:val="00A551CC"/>
    <w:rsid w:val="00A6238B"/>
    <w:rsid w:val="00A63FA4"/>
    <w:rsid w:val="00A747E9"/>
    <w:rsid w:val="00A750CE"/>
    <w:rsid w:val="00A84824"/>
    <w:rsid w:val="00A936AD"/>
    <w:rsid w:val="00AC1192"/>
    <w:rsid w:val="00AD1E9D"/>
    <w:rsid w:val="00B255E8"/>
    <w:rsid w:val="00B27607"/>
    <w:rsid w:val="00B75B7B"/>
    <w:rsid w:val="00B76324"/>
    <w:rsid w:val="00BA7C01"/>
    <w:rsid w:val="00C04258"/>
    <w:rsid w:val="00C27F9A"/>
    <w:rsid w:val="00C678ED"/>
    <w:rsid w:val="00CA605D"/>
    <w:rsid w:val="00CB7B28"/>
    <w:rsid w:val="00CE2EFF"/>
    <w:rsid w:val="00CF6D8B"/>
    <w:rsid w:val="00D01D1F"/>
    <w:rsid w:val="00D57CEE"/>
    <w:rsid w:val="00D70BB1"/>
    <w:rsid w:val="00DB021D"/>
    <w:rsid w:val="00DB31AD"/>
    <w:rsid w:val="00DB6374"/>
    <w:rsid w:val="00DE6AF1"/>
    <w:rsid w:val="00E02036"/>
    <w:rsid w:val="00E213E5"/>
    <w:rsid w:val="00E248D1"/>
    <w:rsid w:val="00E32957"/>
    <w:rsid w:val="00E40BCD"/>
    <w:rsid w:val="00E42A5B"/>
    <w:rsid w:val="00E9763B"/>
    <w:rsid w:val="00EC04B5"/>
    <w:rsid w:val="00EE030A"/>
    <w:rsid w:val="00F0683C"/>
    <w:rsid w:val="00F07EED"/>
    <w:rsid w:val="00F253F6"/>
    <w:rsid w:val="00F32DD8"/>
    <w:rsid w:val="00F833CF"/>
    <w:rsid w:val="00FC3515"/>
    <w:rsid w:val="01C1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9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0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42"/>
    <w:semiHidden/>
    <w:qFormat/>
    <w:uiPriority w:val="0"/>
    <w:pPr>
      <w:spacing w:after="120"/>
    </w:pPr>
    <w:rPr>
      <w:rFonts w:ascii="Calibri" w:hAnsi="Calibri" w:eastAsia="宋体" w:cs="Times New Roman"/>
      <w:szCs w:val="24"/>
    </w:rPr>
  </w:style>
  <w:style w:type="paragraph" w:styleId="12">
    <w:name w:val="Plain Text"/>
    <w:basedOn w:val="1"/>
    <w:link w:val="43"/>
    <w:qFormat/>
    <w:uiPriority w:val="0"/>
    <w:pPr>
      <w:spacing w:line="360" w:lineRule="auto"/>
      <w:ind w:firstLine="480" w:firstLineChars="200"/>
    </w:pPr>
    <w:rPr>
      <w:rFonts w:ascii="仿宋_GB2312" w:hAnsi="Calibri" w:eastAsia="宋体" w:cs="Times New Roman"/>
      <w:sz w:val="24"/>
      <w:szCs w:val="24"/>
    </w:rPr>
  </w:style>
  <w:style w:type="paragraph" w:styleId="13">
    <w:name w:val="footer"/>
    <w:basedOn w:val="1"/>
    <w:link w:val="4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2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styleId="17">
    <w:name w:val="Title"/>
    <w:basedOn w:val="1"/>
    <w:next w:val="1"/>
    <w:link w:val="31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9">
    <w:name w:val="Table Grid"/>
    <w:basedOn w:val="18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qFormat/>
    <w:uiPriority w:val="0"/>
    <w:rPr>
      <w:b/>
    </w:rPr>
  </w:style>
  <w:style w:type="character" w:customStyle="1" w:styleId="22">
    <w:name w:val="标题 1 字符"/>
    <w:basedOn w:val="20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3">
    <w:name w:val="标题 2 字符"/>
    <w:basedOn w:val="20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4">
    <w:name w:val="标题 3 字符"/>
    <w:basedOn w:val="20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5">
    <w:name w:val="标题 4 字符"/>
    <w:basedOn w:val="20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6">
    <w:name w:val="标题 5 字符"/>
    <w:basedOn w:val="20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7">
    <w:name w:val="标题 6 字符"/>
    <w:basedOn w:val="20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8">
    <w:name w:val="标题 7 字符"/>
    <w:basedOn w:val="20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8 字符"/>
    <w:basedOn w:val="20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9 字符"/>
    <w:basedOn w:val="20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字符"/>
    <w:basedOn w:val="20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2">
    <w:name w:val="副标题 字符"/>
    <w:basedOn w:val="20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3">
    <w:name w:val="Quote"/>
    <w:basedOn w:val="1"/>
    <w:next w:val="1"/>
    <w:link w:val="34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4">
    <w:name w:val="引用 字符"/>
    <w:basedOn w:val="20"/>
    <w:link w:val="3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5">
    <w:name w:val="List Paragraph"/>
    <w:basedOn w:val="1"/>
    <w:qFormat/>
    <w:uiPriority w:val="34"/>
    <w:pPr>
      <w:ind w:left="720"/>
      <w:contextualSpacing/>
    </w:pPr>
  </w:style>
  <w:style w:type="character" w:customStyle="1" w:styleId="36">
    <w:name w:val="Intense Emphasis"/>
    <w:basedOn w:val="20"/>
    <w:qFormat/>
    <w:uiPriority w:val="21"/>
    <w:rPr>
      <w:i/>
      <w:iCs/>
      <w:color w:val="104862" w:themeColor="accent1" w:themeShade="BF"/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8">
    <w:name w:val="明显引用 字符"/>
    <w:basedOn w:val="20"/>
    <w:link w:val="37"/>
    <w:uiPriority w:val="30"/>
    <w:rPr>
      <w:i/>
      <w:iCs/>
      <w:color w:val="104862" w:themeColor="accent1" w:themeShade="BF"/>
    </w:rPr>
  </w:style>
  <w:style w:type="character" w:customStyle="1" w:styleId="39">
    <w:name w:val="Intense Reference"/>
    <w:basedOn w:val="20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0">
    <w:name w:val="页眉 字符"/>
    <w:basedOn w:val="20"/>
    <w:link w:val="14"/>
    <w:qFormat/>
    <w:uiPriority w:val="99"/>
    <w:rPr>
      <w:sz w:val="18"/>
      <w:szCs w:val="18"/>
    </w:rPr>
  </w:style>
  <w:style w:type="character" w:customStyle="1" w:styleId="41">
    <w:name w:val="页脚 字符"/>
    <w:basedOn w:val="20"/>
    <w:link w:val="13"/>
    <w:qFormat/>
    <w:uiPriority w:val="99"/>
    <w:rPr>
      <w:sz w:val="18"/>
      <w:szCs w:val="18"/>
    </w:rPr>
  </w:style>
  <w:style w:type="character" w:customStyle="1" w:styleId="42">
    <w:name w:val="正文文本 字符"/>
    <w:basedOn w:val="20"/>
    <w:link w:val="11"/>
    <w:semiHidden/>
    <w:uiPriority w:val="0"/>
    <w:rPr>
      <w:rFonts w:ascii="Calibri" w:hAnsi="Calibri" w:eastAsia="宋体" w:cs="Times New Roman"/>
      <w:szCs w:val="24"/>
    </w:rPr>
  </w:style>
  <w:style w:type="character" w:customStyle="1" w:styleId="43">
    <w:name w:val="纯文本 字符"/>
    <w:basedOn w:val="20"/>
    <w:link w:val="12"/>
    <w:qFormat/>
    <w:uiPriority w:val="0"/>
    <w:rPr>
      <w:rFonts w:ascii="仿宋_GB2312" w:hAnsi="Calibri" w:eastAsia="宋体" w:cs="Times New Roman"/>
      <w:sz w:val="24"/>
      <w:szCs w:val="24"/>
    </w:rPr>
  </w:style>
  <w:style w:type="paragraph" w:customStyle="1" w:styleId="44">
    <w:name w:val="sonormal"/>
    <w:basedOn w:val="1"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customStyle="1" w:styleId="45">
    <w:name w:val="onormal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3205</Words>
  <Characters>4385</Characters>
  <Lines>40</Lines>
  <Paragraphs>11</Paragraphs>
  <TotalTime>38</TotalTime>
  <ScaleCrop>false</ScaleCrop>
  <LinksUpToDate>false</LinksUpToDate>
  <CharactersWithSpaces>4543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2026-09-09T00:02:00Z</dcterms:created>
  <dc:creator>凡凡 巨</dc:creator>
  <cp:lastModifiedBy>陈珊O_o</cp:lastModifiedBy>
  <cp:lastPrinted>2026-09-01T04:54:00Z</cp:lastPrinted>
  <dcterms:modified xsi:type="dcterms:W3CDTF">2026-09-09T09:29:20Z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D29DF550757942C38A47E17F42960807_13</vt:lpwstr>
  </property>
</Properties>
</file>