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4FEE2">
      <w:pPr>
        <w:spacing w:before="156" w:beforeLines="50" w:after="156" w:afterLines="50" w:line="400" w:lineRule="exact"/>
        <w:jc w:val="center"/>
        <w:rPr>
          <w:rFonts w:hint="eastAsia" w:ascii="黑体" w:hAnsi="黑体" w:eastAsia="黑体" w:cs="黑体"/>
          <w:bCs/>
          <w:sz w:val="36"/>
          <w:szCs w:val="21"/>
        </w:rPr>
      </w:pPr>
      <w:r>
        <w:rPr>
          <w:rFonts w:hint="eastAsia" w:ascii="黑体" w:hAnsi="黑体" w:eastAsia="黑体" w:cs="黑体"/>
          <w:bCs/>
          <w:sz w:val="36"/>
          <w:szCs w:val="21"/>
        </w:rPr>
        <w:t>2026年度湖北省科学技术奖公示</w:t>
      </w:r>
      <w:r>
        <w:rPr>
          <w:rFonts w:hint="eastAsia" w:ascii="黑体" w:hAnsi="黑体" w:eastAsia="黑体" w:cs="黑体"/>
          <w:bCs/>
          <w:kern w:val="0"/>
          <w:sz w:val="36"/>
          <w:szCs w:val="21"/>
        </w:rPr>
        <w:t>材料</w:t>
      </w:r>
      <w:r>
        <w:rPr>
          <w:rFonts w:hint="eastAsia" w:ascii="黑体" w:hAnsi="黑体" w:eastAsia="黑体" w:cs="黑体"/>
          <w:bCs/>
          <w:sz w:val="36"/>
          <w:szCs w:val="21"/>
        </w:rPr>
        <w:t>（科学技术进步奖）</w:t>
      </w:r>
    </w:p>
    <w:p w14:paraId="60A30000">
      <w:pPr>
        <w:spacing w:before="156" w:beforeLines="50" w:after="156" w:afterLines="50" w:line="400" w:lineRule="exact"/>
        <w:jc w:val="center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项目名称、提名者及提名</w:t>
      </w:r>
      <w:r>
        <w:rPr>
          <w:rFonts w:hint="eastAsia" w:ascii="仿宋" w:hAnsi="仿宋" w:eastAsia="仿宋" w:cs="仿宋"/>
          <w:sz w:val="28"/>
          <w:lang w:val="en-US" w:eastAsia="zh-CN"/>
        </w:rPr>
        <w:t>意见</w:t>
      </w:r>
      <w:r>
        <w:rPr>
          <w:rFonts w:hint="eastAsia" w:ascii="仿宋" w:hAnsi="仿宋" w:eastAsia="仿宋" w:cs="仿宋"/>
          <w:sz w:val="28"/>
        </w:rPr>
        <w:t>、主要知识产权和标准规范等目录、主要完成人、主要完成单位</w:t>
      </w:r>
    </w:p>
    <w:tbl>
      <w:tblPr>
        <w:tblStyle w:val="7"/>
        <w:tblW w:w="13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1276"/>
        <w:gridCol w:w="2135"/>
        <w:gridCol w:w="767"/>
        <w:gridCol w:w="1194"/>
        <w:gridCol w:w="1145"/>
        <w:gridCol w:w="1360"/>
        <w:gridCol w:w="1912"/>
        <w:gridCol w:w="2118"/>
        <w:gridCol w:w="1137"/>
      </w:tblGrid>
      <w:tr w14:paraId="7B394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838" w:type="dxa"/>
            <w:gridSpan w:val="2"/>
            <w:vAlign w:val="center"/>
          </w:tcPr>
          <w:p w14:paraId="6843E4B4">
            <w:pPr>
              <w:spacing w:line="240" w:lineRule="auto"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11768" w:type="dxa"/>
            <w:gridSpan w:val="8"/>
            <w:vAlign w:val="center"/>
          </w:tcPr>
          <w:p w14:paraId="0FA9AC07">
            <w:pPr>
              <w:spacing w:line="240" w:lineRule="auto"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val="en-US" w:eastAsia="zh-CN"/>
              </w:rPr>
              <w:t>智能空调关键技术体系创建及产业化</w:t>
            </w:r>
          </w:p>
        </w:tc>
      </w:tr>
      <w:tr w14:paraId="3967A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838" w:type="dxa"/>
            <w:gridSpan w:val="2"/>
            <w:vAlign w:val="center"/>
          </w:tcPr>
          <w:p w14:paraId="601EE233">
            <w:pPr>
              <w:spacing w:line="240" w:lineRule="auto"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提名单位</w:t>
            </w:r>
          </w:p>
        </w:tc>
        <w:tc>
          <w:tcPr>
            <w:tcW w:w="11768" w:type="dxa"/>
            <w:gridSpan w:val="8"/>
            <w:vAlign w:val="center"/>
          </w:tcPr>
          <w:p w14:paraId="212C3E88">
            <w:pPr>
              <w:spacing w:line="240" w:lineRule="auto"/>
              <w:jc w:val="center"/>
              <w:rPr>
                <w:rFonts w:hint="default" w:ascii="黑体" w:hAnsi="黑体" w:eastAsia="黑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2"/>
                <w:szCs w:val="22"/>
                <w:lang w:val="en-US" w:eastAsia="zh-CN"/>
              </w:rPr>
              <w:t>武汉市人民政府</w:t>
            </w:r>
          </w:p>
        </w:tc>
      </w:tr>
      <w:tr w14:paraId="2C9A2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838" w:type="dxa"/>
            <w:gridSpan w:val="2"/>
            <w:vAlign w:val="center"/>
          </w:tcPr>
          <w:p w14:paraId="58822CB1"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2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0"/>
              </w:rPr>
              <w:t>提名意见</w:t>
            </w:r>
          </w:p>
        </w:tc>
        <w:tc>
          <w:tcPr>
            <w:tcW w:w="11768" w:type="dxa"/>
            <w:gridSpan w:val="8"/>
            <w:vAlign w:val="center"/>
          </w:tcPr>
          <w:p w14:paraId="14F96E80">
            <w:pPr>
              <w:spacing w:line="400" w:lineRule="exact"/>
              <w:ind w:firstLine="420" w:firstLineChars="200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该项目面向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空调智能化重大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需求，在国家自然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科学基金和多项省部级项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目的支持下，依托湖北省人工智能技术创新中心及全球最大的IoT生态平台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历经多年联合攻关，在智能空调关键技术体系创建及产业化方面取得以下创新成果：</w:t>
            </w:r>
          </w:p>
          <w:p w14:paraId="4010E311">
            <w:pPr>
              <w:numPr>
                <w:ilvl w:val="0"/>
                <w:numId w:val="1"/>
              </w:numPr>
              <w:spacing w:line="400" w:lineRule="exact"/>
              <w:ind w:firstLine="420" w:firstLineChars="200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阐明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压缩机、膨胀阀与房间热过程等多环节非线性耦合机理，创建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空调热力学物理一致性约束的神经网络模型，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发明了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全工况舒适性-能耗-可靠性多目标动态寻优强化学习节能技术，研发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千万级空调设备的端云协同控制系统。</w:t>
            </w:r>
          </w:p>
          <w:p w14:paraId="127152D5">
            <w:pPr>
              <w:numPr>
                <w:ilvl w:val="0"/>
                <w:numId w:val="1"/>
              </w:numPr>
              <w:spacing w:line="400" w:lineRule="exact"/>
              <w:ind w:firstLine="420" w:firstLineChars="200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揭示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空调气流和冷媒双循环热力学系统异常特征规律，创建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空调全生命周期对比学习的故障诊断方法，发明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融合视觉大模型的空调安装异常诊断技术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实现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空调安装-运行-维保全链路远程诊断服务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。</w:t>
            </w:r>
          </w:p>
          <w:p w14:paraId="58BCE9FB">
            <w:pPr>
              <w:numPr>
                <w:ilvl w:val="0"/>
                <w:numId w:val="1"/>
              </w:numPr>
              <w:spacing w:line="400" w:lineRule="exact"/>
              <w:ind w:firstLine="420" w:firstLineChars="200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创建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 w:bidi="ar"/>
              </w:rPr>
              <w:t>了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“感知-决策-控制”多Agent协同的智能空调技术架构，构建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 w:bidi="ar"/>
              </w:rPr>
              <w:t>了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10亿级设备的全屋设备互联互通感知体系，发明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 w:bidi="ar"/>
              </w:rPr>
              <w:t>了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主动学习用户个性化需求的多设备协同多专家混合决策控制技术，研制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 w:bidi="ar"/>
              </w:rPr>
              <w:t>了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系列智能空调产品。</w:t>
            </w:r>
          </w:p>
          <w:p w14:paraId="1B12BF08">
            <w:pPr>
              <w:spacing w:line="400" w:lineRule="exact"/>
              <w:ind w:firstLine="420" w:firstLineChars="2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bookmarkStart w:id="1" w:name="_GoBack"/>
            <w:bookmarkEnd w:id="1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获授权发明专利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项，发表SCI/EI论文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篇，牵头起草团体标准13项。研制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5系列67款智能空调产品，近三年累计销售1272.2万套，营收233.68亿元，利税17.42亿元，出口德、法等10余个国家。创建智能空调技术体系，经何雅玲院士、谭建荣院士等鉴定为国际领先水平，引领空调智能化技术快速发展。</w:t>
            </w:r>
          </w:p>
          <w:p w14:paraId="0FF7AC0F">
            <w:pPr>
              <w:spacing w:line="400" w:lineRule="exact"/>
              <w:ind w:firstLine="420" w:firstLineChars="2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7636BA68">
            <w:pPr>
              <w:spacing w:line="400" w:lineRule="exact"/>
              <w:ind w:firstLine="420" w:firstLineChars="2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提名该项目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申报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湖北省科学技术进步奖。</w:t>
            </w:r>
          </w:p>
          <w:p w14:paraId="28D138AC">
            <w:pPr>
              <w:spacing w:line="400" w:lineRule="exact"/>
              <w:ind w:firstLine="420" w:firstLineChars="2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57D1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jc w:val="center"/>
        </w:trPr>
        <w:tc>
          <w:tcPr>
            <w:tcW w:w="1838" w:type="dxa"/>
            <w:gridSpan w:val="2"/>
            <w:vAlign w:val="center"/>
          </w:tcPr>
          <w:p w14:paraId="31D456AC">
            <w:pPr>
              <w:spacing w:line="280" w:lineRule="exact"/>
              <w:jc w:val="center"/>
              <w:rPr>
                <w:rFonts w:ascii="黑体" w:hAnsi="黑体" w:eastAsia="黑体" w:cs="黑体"/>
                <w:kern w:val="0"/>
                <w:sz w:val="22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0"/>
              </w:rPr>
              <w:t>主要完成人</w:t>
            </w:r>
          </w:p>
          <w:p w14:paraId="3A0DC346"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2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0"/>
              </w:rPr>
              <w:t>（完成单位）</w:t>
            </w:r>
          </w:p>
        </w:tc>
        <w:tc>
          <w:tcPr>
            <w:tcW w:w="11768" w:type="dxa"/>
            <w:gridSpan w:val="8"/>
            <w:vAlign w:val="center"/>
          </w:tcPr>
          <w:p w14:paraId="3D093683">
            <w:pPr>
              <w:spacing w:line="400" w:lineRule="exact"/>
              <w:ind w:firstLine="480" w:firstLineChars="200"/>
              <w:rPr>
                <w:rFonts w:hint="eastAsia" w:eastAsia="宋体" w:cs="Times New Roman"/>
                <w:bCs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eastAsia="宋体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单联瑜（小米智能家电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武汉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有限公司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）、廖敏（小米智能家电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武汉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有限公司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）、张杰（小米科技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武汉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有限公司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）、陈渊（小米科技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武汉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有限公司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）、吴庆壮（小米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智能家电（武汉）有限公司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）、朱振（小米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智能家电（武汉）有限公司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）、李超（小米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智能家电（武汉）有限公司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）、熊绍森（小米科技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武汉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有限公司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）、李倍宇（小米科技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武汉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有限公司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）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詹飞龙（上海交通大学）、黎念（浙江大学）、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郭焱华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（华中科技大学）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刘锐（北京小米移动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软件有限公司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）、孙婉（北京小米移动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软件有限公司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）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宋浩林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（北京小米移动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软件有限公司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</w:tr>
      <w:tr w14:paraId="62AD6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1838" w:type="dxa"/>
            <w:gridSpan w:val="2"/>
            <w:vAlign w:val="center"/>
          </w:tcPr>
          <w:p w14:paraId="49EF5206">
            <w:pPr>
              <w:spacing w:line="280" w:lineRule="exact"/>
              <w:jc w:val="center"/>
              <w:rPr>
                <w:rFonts w:ascii="黑体" w:hAnsi="黑体" w:eastAsia="黑体" w:cs="黑体"/>
                <w:kern w:val="0"/>
                <w:sz w:val="22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0"/>
              </w:rPr>
              <w:t>主要完成单位</w:t>
            </w:r>
          </w:p>
        </w:tc>
        <w:tc>
          <w:tcPr>
            <w:tcW w:w="11768" w:type="dxa"/>
            <w:gridSpan w:val="8"/>
            <w:vAlign w:val="center"/>
          </w:tcPr>
          <w:p w14:paraId="7D2A8140">
            <w:pPr>
              <w:spacing w:line="400" w:lineRule="exact"/>
              <w:ind w:firstLine="440" w:firstLineChars="200"/>
              <w:rPr>
                <w:rFonts w:hint="default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bidi="ar"/>
              </w:rPr>
              <w:t>小米智能家电（武汉）有限公司、小米科技（武汉）有限公司、华中科技大学、上海交通大学、浙江大学、北京小米移动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"/>
              </w:rPr>
              <w:t>软件有限公司</w:t>
            </w:r>
          </w:p>
        </w:tc>
      </w:tr>
      <w:tr w14:paraId="00170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" w:hRule="atLeast"/>
          <w:jc w:val="center"/>
        </w:trPr>
        <w:tc>
          <w:tcPr>
            <w:tcW w:w="13606" w:type="dxa"/>
            <w:gridSpan w:val="10"/>
            <w:vAlign w:val="center"/>
          </w:tcPr>
          <w:p w14:paraId="30AD36AB">
            <w:pPr>
              <w:spacing w:line="40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0"/>
              </w:rPr>
              <w:t>主要知识产权和标准规范等目录（不超过10 件）</w:t>
            </w:r>
          </w:p>
        </w:tc>
      </w:tr>
      <w:tr w14:paraId="709BC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562" w:type="dxa"/>
            <w:vAlign w:val="center"/>
          </w:tcPr>
          <w:p w14:paraId="0F7AFB80">
            <w:pPr>
              <w:spacing w:line="240" w:lineRule="exact"/>
              <w:jc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1276" w:type="dxa"/>
            <w:vAlign w:val="center"/>
          </w:tcPr>
          <w:p w14:paraId="7C0F23C8">
            <w:pPr>
              <w:spacing w:line="240" w:lineRule="exact"/>
              <w:jc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知识产权</w:t>
            </w:r>
          </w:p>
          <w:p w14:paraId="6BDCA5AF">
            <w:pPr>
              <w:spacing w:line="240" w:lineRule="exact"/>
              <w:jc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（标准）类别</w:t>
            </w:r>
          </w:p>
        </w:tc>
        <w:tc>
          <w:tcPr>
            <w:tcW w:w="2135" w:type="dxa"/>
            <w:vAlign w:val="center"/>
          </w:tcPr>
          <w:p w14:paraId="0ACD2649">
            <w:pPr>
              <w:spacing w:line="240" w:lineRule="exact"/>
              <w:jc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知识产权（标准）</w:t>
            </w:r>
          </w:p>
          <w:p w14:paraId="7B426DCC">
            <w:pPr>
              <w:spacing w:line="240" w:lineRule="exact"/>
              <w:jc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具体名称</w:t>
            </w:r>
          </w:p>
        </w:tc>
        <w:tc>
          <w:tcPr>
            <w:tcW w:w="767" w:type="dxa"/>
            <w:vAlign w:val="center"/>
          </w:tcPr>
          <w:p w14:paraId="3E7B1C8D">
            <w:pPr>
              <w:spacing w:line="240" w:lineRule="exact"/>
              <w:jc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国家</w:t>
            </w:r>
          </w:p>
          <w:p w14:paraId="1403275D">
            <w:pPr>
              <w:spacing w:line="240" w:lineRule="exact"/>
              <w:jc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（地区）</w:t>
            </w:r>
          </w:p>
        </w:tc>
        <w:tc>
          <w:tcPr>
            <w:tcW w:w="1194" w:type="dxa"/>
            <w:vAlign w:val="center"/>
          </w:tcPr>
          <w:p w14:paraId="5809E1F7">
            <w:pPr>
              <w:spacing w:line="240" w:lineRule="exact"/>
              <w:jc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授权号（标</w:t>
            </w:r>
          </w:p>
          <w:p w14:paraId="0E2EB001">
            <w:pPr>
              <w:spacing w:line="240" w:lineRule="exact"/>
              <w:jc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准编号）</w:t>
            </w:r>
          </w:p>
        </w:tc>
        <w:tc>
          <w:tcPr>
            <w:tcW w:w="1145" w:type="dxa"/>
            <w:vAlign w:val="center"/>
          </w:tcPr>
          <w:p w14:paraId="3022BFBA">
            <w:pPr>
              <w:spacing w:line="240" w:lineRule="exact"/>
              <w:jc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授权（标准实施）日期</w:t>
            </w:r>
          </w:p>
        </w:tc>
        <w:tc>
          <w:tcPr>
            <w:tcW w:w="1360" w:type="dxa"/>
            <w:vAlign w:val="center"/>
          </w:tcPr>
          <w:p w14:paraId="4022003D">
            <w:pPr>
              <w:spacing w:line="240" w:lineRule="exact"/>
              <w:jc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证书编号（标准</w:t>
            </w:r>
          </w:p>
          <w:p w14:paraId="736FEA71">
            <w:pPr>
              <w:spacing w:line="240" w:lineRule="exact"/>
              <w:jc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批准发布部门）</w:t>
            </w:r>
          </w:p>
        </w:tc>
        <w:tc>
          <w:tcPr>
            <w:tcW w:w="1912" w:type="dxa"/>
            <w:vAlign w:val="center"/>
          </w:tcPr>
          <w:p w14:paraId="2781D96D">
            <w:pPr>
              <w:spacing w:line="240" w:lineRule="exact"/>
              <w:jc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权利人（标准</w:t>
            </w:r>
          </w:p>
          <w:p w14:paraId="3B7F057C">
            <w:pPr>
              <w:spacing w:line="240" w:lineRule="exact"/>
              <w:jc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起草单位）</w:t>
            </w:r>
          </w:p>
        </w:tc>
        <w:tc>
          <w:tcPr>
            <w:tcW w:w="2118" w:type="dxa"/>
            <w:vAlign w:val="center"/>
          </w:tcPr>
          <w:p w14:paraId="13024C8D">
            <w:pPr>
              <w:spacing w:line="240" w:lineRule="exact"/>
              <w:jc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发明人（标准</w:t>
            </w:r>
          </w:p>
          <w:p w14:paraId="5A3F8348">
            <w:pPr>
              <w:spacing w:line="240" w:lineRule="exact"/>
              <w:jc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起草人）</w:t>
            </w:r>
          </w:p>
        </w:tc>
        <w:tc>
          <w:tcPr>
            <w:tcW w:w="1137" w:type="dxa"/>
            <w:vAlign w:val="center"/>
          </w:tcPr>
          <w:p w14:paraId="519C34A0">
            <w:pPr>
              <w:spacing w:line="240" w:lineRule="exact"/>
              <w:jc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发明专利（标准）有效状态</w:t>
            </w:r>
          </w:p>
        </w:tc>
      </w:tr>
      <w:tr w14:paraId="1C5FF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562" w:type="dxa"/>
            <w:vAlign w:val="center"/>
          </w:tcPr>
          <w:p w14:paraId="16061E4B">
            <w:pPr>
              <w:snapToGrid w:val="0"/>
              <w:spacing w:line="240" w:lineRule="auto"/>
              <w:jc w:val="center"/>
              <w:rPr>
                <w:rFonts w:eastAsia="仿宋" w:cs="Times New Roman"/>
                <w:kern w:val="0"/>
                <w:sz w:val="21"/>
                <w:szCs w:val="21"/>
              </w:rPr>
            </w:pPr>
            <w:r>
              <w:rPr>
                <w:rFonts w:eastAsia="仿宋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14:paraId="03C4F273">
            <w:pPr>
              <w:snapToGrid w:val="0"/>
              <w:spacing w:line="240" w:lineRule="auto"/>
              <w:jc w:val="center"/>
              <w:rPr>
                <w:rFonts w:hint="default" w:eastAsia="仿宋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论文</w:t>
            </w:r>
          </w:p>
        </w:tc>
        <w:tc>
          <w:tcPr>
            <w:tcW w:w="2135" w:type="dxa"/>
            <w:vAlign w:val="center"/>
          </w:tcPr>
          <w:p w14:paraId="3595D907">
            <w:pPr>
              <w:snapToGrid w:val="0"/>
              <w:spacing w:line="240" w:lineRule="auto"/>
              <w:jc w:val="center"/>
              <w:rPr>
                <w:rFonts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 novel physics-guided collaborative modeling method for steady-state simulation of air source heat pump system</w:t>
            </w:r>
          </w:p>
        </w:tc>
        <w:tc>
          <w:tcPr>
            <w:tcW w:w="767" w:type="dxa"/>
            <w:vAlign w:val="center"/>
          </w:tcPr>
          <w:p w14:paraId="50B3C4AC">
            <w:pPr>
              <w:snapToGrid w:val="0"/>
              <w:spacing w:line="240" w:lineRule="auto"/>
              <w:jc w:val="center"/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国际</w:t>
            </w:r>
          </w:p>
        </w:tc>
        <w:tc>
          <w:tcPr>
            <w:tcW w:w="1194" w:type="dxa"/>
            <w:vAlign w:val="center"/>
          </w:tcPr>
          <w:p w14:paraId="1B8CE03D">
            <w:pPr>
              <w:snapToGrid w:val="0"/>
              <w:spacing w:line="240" w:lineRule="auto"/>
              <w:jc w:val="center"/>
              <w:rPr>
                <w:rFonts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Volume 181,Issue.2026.PP 317-331</w:t>
            </w:r>
          </w:p>
        </w:tc>
        <w:tc>
          <w:tcPr>
            <w:tcW w:w="1145" w:type="dxa"/>
            <w:vAlign w:val="center"/>
          </w:tcPr>
          <w:p w14:paraId="06835144">
            <w:pPr>
              <w:snapToGrid w:val="0"/>
              <w:spacing w:line="240" w:lineRule="auto"/>
              <w:jc w:val="center"/>
              <w:rPr>
                <w:rFonts w:hint="default" w:eastAsia="仿宋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360" w:type="dxa"/>
            <w:vAlign w:val="center"/>
          </w:tcPr>
          <w:p w14:paraId="76D14DA7">
            <w:pPr>
              <w:snapToGrid w:val="0"/>
              <w:spacing w:line="240" w:lineRule="auto"/>
              <w:jc w:val="center"/>
              <w:rPr>
                <w:rFonts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International Journal of Refrigeration</w:t>
            </w:r>
          </w:p>
        </w:tc>
        <w:tc>
          <w:tcPr>
            <w:tcW w:w="1912" w:type="dxa"/>
            <w:vAlign w:val="center"/>
          </w:tcPr>
          <w:p w14:paraId="569D0976">
            <w:pPr>
              <w:snapToGrid w:val="0"/>
              <w:spacing w:line="240" w:lineRule="auto"/>
              <w:jc w:val="center"/>
              <w:rPr>
                <w:rFonts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华中科技大学、小米智能家电</w:t>
            </w: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武汉</w:t>
            </w: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有限公司</w:t>
            </w:r>
          </w:p>
        </w:tc>
        <w:tc>
          <w:tcPr>
            <w:tcW w:w="2118" w:type="dxa"/>
            <w:vAlign w:val="center"/>
          </w:tcPr>
          <w:p w14:paraId="6180CF34">
            <w:pPr>
              <w:snapToGrid w:val="0"/>
              <w:spacing w:line="240" w:lineRule="auto"/>
              <w:jc w:val="center"/>
              <w:rPr>
                <w:rFonts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Lianyu Shan, Qingzhuang Wu,</w:t>
            </w: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Mei Wang, Hui Zhang,</w:t>
            </w: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Wenbo Li,</w:t>
            </w: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仿宋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Yanhua Guo,</w:t>
            </w: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Shuangquan Shao,</w:t>
            </w: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Zhuang Chen,</w:t>
            </w: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Yaran Liang</w:t>
            </w:r>
          </w:p>
        </w:tc>
        <w:tc>
          <w:tcPr>
            <w:tcW w:w="1137" w:type="dxa"/>
            <w:vAlign w:val="center"/>
          </w:tcPr>
          <w:p w14:paraId="2599E7D7">
            <w:pPr>
              <w:spacing w:line="400" w:lineRule="exact"/>
              <w:jc w:val="center"/>
              <w:rPr>
                <w:rFonts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  <w:tr w14:paraId="25DD3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562" w:type="dxa"/>
            <w:vAlign w:val="center"/>
          </w:tcPr>
          <w:p w14:paraId="22ECF962">
            <w:pPr>
              <w:snapToGrid w:val="0"/>
              <w:spacing w:line="240" w:lineRule="auto"/>
              <w:jc w:val="center"/>
              <w:rPr>
                <w:rFonts w:hint="eastAsia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76" w:type="dxa"/>
            <w:vAlign w:val="center"/>
          </w:tcPr>
          <w:p w14:paraId="7827F958">
            <w:pPr>
              <w:snapToGrid w:val="0"/>
              <w:spacing w:line="240" w:lineRule="auto"/>
              <w:jc w:val="center"/>
              <w:rPr>
                <w:rFonts w:hint="default" w:eastAsia="仿宋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发明专利</w:t>
            </w:r>
          </w:p>
        </w:tc>
        <w:tc>
          <w:tcPr>
            <w:tcW w:w="2135" w:type="dxa"/>
            <w:vAlign w:val="center"/>
          </w:tcPr>
          <w:p w14:paraId="30958F85">
            <w:pPr>
              <w:snapToGrid w:val="0"/>
              <w:spacing w:line="240" w:lineRule="auto"/>
              <w:jc w:val="center"/>
              <w:rPr>
                <w:rFonts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运行频率的控制方法、装置及存储介质</w:t>
            </w:r>
          </w:p>
        </w:tc>
        <w:tc>
          <w:tcPr>
            <w:tcW w:w="767" w:type="dxa"/>
            <w:vAlign w:val="center"/>
          </w:tcPr>
          <w:p w14:paraId="74AFA02E">
            <w:pPr>
              <w:snapToGrid w:val="0"/>
              <w:spacing w:line="240" w:lineRule="auto"/>
              <w:jc w:val="center"/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1194" w:type="dxa"/>
            <w:vAlign w:val="center"/>
          </w:tcPr>
          <w:p w14:paraId="10A0EDC3">
            <w:pPr>
              <w:snapToGrid w:val="0"/>
              <w:spacing w:line="240" w:lineRule="auto"/>
              <w:jc w:val="center"/>
              <w:rPr>
                <w:rFonts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ZL202210910455.1</w:t>
            </w:r>
          </w:p>
        </w:tc>
        <w:tc>
          <w:tcPr>
            <w:tcW w:w="1145" w:type="dxa"/>
            <w:vAlign w:val="center"/>
          </w:tcPr>
          <w:p w14:paraId="08CE1ECB">
            <w:pPr>
              <w:snapToGrid w:val="0"/>
              <w:spacing w:line="240" w:lineRule="auto"/>
              <w:jc w:val="center"/>
              <w:rPr>
                <w:rFonts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.0</w:t>
            </w: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360" w:type="dxa"/>
            <w:vAlign w:val="center"/>
          </w:tcPr>
          <w:p w14:paraId="66801A20">
            <w:pPr>
              <w:snapToGrid w:val="0"/>
              <w:spacing w:line="240" w:lineRule="auto"/>
              <w:jc w:val="center"/>
              <w:rPr>
                <w:rFonts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第6709875号</w:t>
            </w:r>
          </w:p>
        </w:tc>
        <w:tc>
          <w:tcPr>
            <w:tcW w:w="1912" w:type="dxa"/>
            <w:vAlign w:val="center"/>
          </w:tcPr>
          <w:p w14:paraId="5B77294C">
            <w:pPr>
              <w:snapToGrid w:val="0"/>
              <w:spacing w:line="240" w:lineRule="auto"/>
              <w:jc w:val="center"/>
              <w:rPr>
                <w:rFonts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小米科技</w:t>
            </w: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武汉</w:t>
            </w: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有限公司、北京小米移动软件有限公司</w:t>
            </w:r>
          </w:p>
        </w:tc>
        <w:tc>
          <w:tcPr>
            <w:tcW w:w="2118" w:type="dxa"/>
            <w:vAlign w:val="center"/>
          </w:tcPr>
          <w:p w14:paraId="05782320">
            <w:pPr>
              <w:snapToGrid w:val="0"/>
              <w:spacing w:line="240" w:lineRule="auto"/>
              <w:jc w:val="center"/>
              <w:rPr>
                <w:rFonts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宋浩林、单联瑜</w:t>
            </w: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、吴俊鸿、彭光前</w:t>
            </w:r>
          </w:p>
        </w:tc>
        <w:tc>
          <w:tcPr>
            <w:tcW w:w="1137" w:type="dxa"/>
            <w:vAlign w:val="center"/>
          </w:tcPr>
          <w:p w14:paraId="6CE84648">
            <w:pPr>
              <w:spacing w:line="400" w:lineRule="exact"/>
              <w:jc w:val="center"/>
              <w:rPr>
                <w:rFonts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  <w:tr w14:paraId="3F76A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562" w:type="dxa"/>
            <w:vAlign w:val="center"/>
          </w:tcPr>
          <w:p w14:paraId="4A9B1671">
            <w:pPr>
              <w:snapToGrid w:val="0"/>
              <w:spacing w:line="240" w:lineRule="auto"/>
              <w:jc w:val="center"/>
              <w:rPr>
                <w:rFonts w:eastAsia="仿宋" w:cs="Times New Roman"/>
                <w:kern w:val="0"/>
                <w:sz w:val="21"/>
                <w:szCs w:val="21"/>
              </w:rPr>
            </w:pPr>
            <w:r>
              <w:rPr>
                <w:rFonts w:eastAsia="仿宋" w:cs="Times New Roman"/>
                <w:kern w:val="0"/>
                <w:sz w:val="21"/>
                <w:szCs w:val="21"/>
              </w:rPr>
              <w:t>3</w:t>
            </w:r>
          </w:p>
        </w:tc>
        <w:tc>
          <w:tcPr>
            <w:tcW w:w="1276" w:type="dxa"/>
            <w:vAlign w:val="center"/>
          </w:tcPr>
          <w:p w14:paraId="3AB8CB03">
            <w:pPr>
              <w:snapToGrid w:val="0"/>
              <w:spacing w:line="240" w:lineRule="auto"/>
              <w:jc w:val="center"/>
              <w:rPr>
                <w:rFonts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发明专利</w:t>
            </w:r>
          </w:p>
        </w:tc>
        <w:tc>
          <w:tcPr>
            <w:tcW w:w="2135" w:type="dxa"/>
            <w:vAlign w:val="center"/>
          </w:tcPr>
          <w:p w14:paraId="5E510363">
            <w:pPr>
              <w:snapToGrid w:val="0"/>
              <w:spacing w:line="240" w:lineRule="auto"/>
              <w:jc w:val="center"/>
              <w:rPr>
                <w:rFonts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空调器的控制方法、装置、空调器及存储介质</w:t>
            </w:r>
          </w:p>
        </w:tc>
        <w:tc>
          <w:tcPr>
            <w:tcW w:w="767" w:type="dxa"/>
            <w:vAlign w:val="center"/>
          </w:tcPr>
          <w:p w14:paraId="64FBC9E0">
            <w:pPr>
              <w:snapToGrid w:val="0"/>
              <w:spacing w:line="240" w:lineRule="auto"/>
              <w:jc w:val="center"/>
              <w:rPr>
                <w:rFonts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1194" w:type="dxa"/>
            <w:vAlign w:val="center"/>
          </w:tcPr>
          <w:p w14:paraId="2A7C7935">
            <w:pPr>
              <w:snapToGrid w:val="0"/>
              <w:spacing w:line="240" w:lineRule="auto"/>
              <w:jc w:val="center"/>
              <w:rPr>
                <w:rFonts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ZL202110109359.2</w:t>
            </w:r>
          </w:p>
        </w:tc>
        <w:tc>
          <w:tcPr>
            <w:tcW w:w="1145" w:type="dxa"/>
            <w:vAlign w:val="center"/>
          </w:tcPr>
          <w:p w14:paraId="0442B023">
            <w:pPr>
              <w:snapToGrid w:val="0"/>
              <w:spacing w:line="240" w:lineRule="auto"/>
              <w:jc w:val="center"/>
              <w:rPr>
                <w:rFonts w:hint="default" w:eastAsia="仿宋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.0</w:t>
            </w: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360" w:type="dxa"/>
            <w:vAlign w:val="center"/>
          </w:tcPr>
          <w:p w14:paraId="0D6BE5F1">
            <w:pPr>
              <w:snapToGrid w:val="0"/>
              <w:spacing w:line="240" w:lineRule="auto"/>
              <w:jc w:val="center"/>
              <w:rPr>
                <w:rFonts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第6945034号</w:t>
            </w:r>
          </w:p>
        </w:tc>
        <w:tc>
          <w:tcPr>
            <w:tcW w:w="1912" w:type="dxa"/>
            <w:vAlign w:val="center"/>
          </w:tcPr>
          <w:p w14:paraId="7F60FD01">
            <w:pPr>
              <w:snapToGrid w:val="0"/>
              <w:spacing w:line="240" w:lineRule="auto"/>
              <w:jc w:val="center"/>
              <w:rPr>
                <w:rFonts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北京小米移动软件有限公司</w:t>
            </w:r>
          </w:p>
        </w:tc>
        <w:tc>
          <w:tcPr>
            <w:tcW w:w="2118" w:type="dxa"/>
            <w:vAlign w:val="center"/>
          </w:tcPr>
          <w:p w14:paraId="46D700E1">
            <w:pPr>
              <w:snapToGrid w:val="0"/>
              <w:spacing w:line="240" w:lineRule="auto"/>
              <w:jc w:val="center"/>
              <w:rPr>
                <w:rFonts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单联瑜</w:t>
            </w:r>
          </w:p>
        </w:tc>
        <w:tc>
          <w:tcPr>
            <w:tcW w:w="1137" w:type="dxa"/>
            <w:vAlign w:val="center"/>
          </w:tcPr>
          <w:p w14:paraId="414998C5">
            <w:pPr>
              <w:spacing w:line="400" w:lineRule="exact"/>
              <w:jc w:val="center"/>
              <w:rPr>
                <w:rFonts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  <w:tr w14:paraId="1D142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562" w:type="dxa"/>
            <w:vAlign w:val="center"/>
          </w:tcPr>
          <w:p w14:paraId="44E5D395">
            <w:pPr>
              <w:snapToGrid w:val="0"/>
              <w:spacing w:line="240" w:lineRule="auto"/>
              <w:jc w:val="center"/>
              <w:rPr>
                <w:rFonts w:eastAsia="仿宋" w:cs="Times New Roman"/>
                <w:kern w:val="0"/>
                <w:sz w:val="21"/>
                <w:szCs w:val="21"/>
              </w:rPr>
            </w:pPr>
            <w:bookmarkStart w:id="0" w:name="_Hlk224585112"/>
            <w:r>
              <w:rPr>
                <w:rFonts w:eastAsia="仿宋" w:cs="Times New Roman"/>
                <w:kern w:val="0"/>
                <w:sz w:val="21"/>
                <w:szCs w:val="21"/>
              </w:rPr>
              <w:t>4</w:t>
            </w:r>
          </w:p>
        </w:tc>
        <w:tc>
          <w:tcPr>
            <w:tcW w:w="1276" w:type="dxa"/>
            <w:vAlign w:val="center"/>
          </w:tcPr>
          <w:p w14:paraId="3FF2C6F5">
            <w:pPr>
              <w:snapToGrid w:val="0"/>
              <w:spacing w:line="240" w:lineRule="auto"/>
              <w:jc w:val="center"/>
              <w:rPr>
                <w:rFonts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 w:cs="Times New Roman"/>
                <w:kern w:val="0"/>
                <w:sz w:val="21"/>
                <w:szCs w:val="21"/>
              </w:rPr>
              <w:t>发明专利</w:t>
            </w:r>
          </w:p>
        </w:tc>
        <w:tc>
          <w:tcPr>
            <w:tcW w:w="2135" w:type="dxa"/>
            <w:vAlign w:val="center"/>
          </w:tcPr>
          <w:p w14:paraId="5FC777F3">
            <w:pPr>
              <w:snapToGrid w:val="0"/>
              <w:spacing w:line="240" w:lineRule="auto"/>
              <w:jc w:val="center"/>
              <w:rPr>
                <w:rFonts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图像清晰度检测方法、装置及存储介质</w:t>
            </w:r>
          </w:p>
        </w:tc>
        <w:tc>
          <w:tcPr>
            <w:tcW w:w="767" w:type="dxa"/>
            <w:vAlign w:val="center"/>
          </w:tcPr>
          <w:p w14:paraId="0251820B">
            <w:pPr>
              <w:snapToGrid w:val="0"/>
              <w:spacing w:line="240" w:lineRule="auto"/>
              <w:jc w:val="center"/>
              <w:rPr>
                <w:rFonts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1194" w:type="dxa"/>
            <w:vAlign w:val="center"/>
          </w:tcPr>
          <w:p w14:paraId="0BF68E88">
            <w:pPr>
              <w:snapToGrid w:val="0"/>
              <w:spacing w:line="240" w:lineRule="auto"/>
              <w:jc w:val="center"/>
              <w:rPr>
                <w:rFonts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ZL202010015618.0</w:t>
            </w:r>
          </w:p>
        </w:tc>
        <w:tc>
          <w:tcPr>
            <w:tcW w:w="1145" w:type="dxa"/>
            <w:vAlign w:val="center"/>
          </w:tcPr>
          <w:p w14:paraId="0CC6A32C">
            <w:pPr>
              <w:snapToGrid w:val="0"/>
              <w:spacing w:line="240" w:lineRule="auto"/>
              <w:jc w:val="center"/>
              <w:rPr>
                <w:rFonts w:hint="default" w:eastAsia="仿宋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 w:cs="Times New Roman"/>
                <w:kern w:val="0"/>
                <w:sz w:val="21"/>
                <w:szCs w:val="21"/>
              </w:rPr>
              <w:t>202</w:t>
            </w:r>
            <w:r>
              <w:rPr>
                <w:rFonts w:hint="eastAsia" w:eastAsia="仿宋" w:cs="Times New Roman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eastAsia="仿宋" w:cs="Times New Roman"/>
                <w:kern w:val="0"/>
                <w:sz w:val="21"/>
                <w:szCs w:val="21"/>
              </w:rPr>
              <w:t>.11.</w:t>
            </w:r>
            <w:r>
              <w:rPr>
                <w:rFonts w:hint="eastAsia" w:eastAsia="仿宋" w:cs="Times New Roman"/>
                <w:kern w:val="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360" w:type="dxa"/>
            <w:vAlign w:val="center"/>
          </w:tcPr>
          <w:p w14:paraId="3B6E7617">
            <w:pPr>
              <w:snapToGrid w:val="0"/>
              <w:spacing w:line="240" w:lineRule="auto"/>
              <w:jc w:val="center"/>
              <w:rPr>
                <w:rFonts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第6416204号</w:t>
            </w:r>
          </w:p>
        </w:tc>
        <w:tc>
          <w:tcPr>
            <w:tcW w:w="1912" w:type="dxa"/>
            <w:vAlign w:val="center"/>
          </w:tcPr>
          <w:p w14:paraId="17B513E6">
            <w:pPr>
              <w:snapToGrid w:val="0"/>
              <w:spacing w:line="240" w:lineRule="auto"/>
              <w:jc w:val="center"/>
              <w:rPr>
                <w:rFonts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北京小米移动软件有限公司</w:t>
            </w:r>
          </w:p>
        </w:tc>
        <w:tc>
          <w:tcPr>
            <w:tcW w:w="2118" w:type="dxa"/>
            <w:vAlign w:val="center"/>
          </w:tcPr>
          <w:p w14:paraId="18C90C57">
            <w:pPr>
              <w:snapToGrid w:val="0"/>
              <w:spacing w:line="240" w:lineRule="auto"/>
              <w:jc w:val="center"/>
              <w:rPr>
                <w:rFonts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吴磊、</w:t>
            </w:r>
            <w:r>
              <w:rPr>
                <w:rFonts w:hint="eastAsia" w:eastAsia="仿宋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陈渊</w:t>
            </w: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、淳刚</w:t>
            </w:r>
          </w:p>
        </w:tc>
        <w:tc>
          <w:tcPr>
            <w:tcW w:w="1137" w:type="dxa"/>
            <w:vAlign w:val="center"/>
          </w:tcPr>
          <w:p w14:paraId="73EB1867">
            <w:pPr>
              <w:spacing w:line="400" w:lineRule="exact"/>
              <w:jc w:val="center"/>
              <w:rPr>
                <w:rFonts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 w:cs="Times New Roman"/>
                <w:kern w:val="0"/>
                <w:sz w:val="21"/>
                <w:szCs w:val="21"/>
              </w:rPr>
              <w:t>有效</w:t>
            </w:r>
          </w:p>
        </w:tc>
      </w:tr>
      <w:bookmarkEnd w:id="0"/>
      <w:tr w14:paraId="4C711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  <w:jc w:val="center"/>
        </w:trPr>
        <w:tc>
          <w:tcPr>
            <w:tcW w:w="562" w:type="dxa"/>
            <w:vAlign w:val="center"/>
          </w:tcPr>
          <w:p w14:paraId="2A21066C">
            <w:pPr>
              <w:snapToGrid w:val="0"/>
              <w:spacing w:line="240" w:lineRule="auto"/>
              <w:jc w:val="center"/>
              <w:rPr>
                <w:rFonts w:eastAsia="仿宋" w:cs="Times New Roman"/>
                <w:kern w:val="0"/>
                <w:sz w:val="21"/>
                <w:szCs w:val="21"/>
              </w:rPr>
            </w:pPr>
            <w:r>
              <w:rPr>
                <w:rFonts w:eastAsia="仿宋" w:cs="Times New Roman"/>
                <w:kern w:val="0"/>
                <w:sz w:val="21"/>
                <w:szCs w:val="21"/>
              </w:rPr>
              <w:t>5</w:t>
            </w:r>
          </w:p>
        </w:tc>
        <w:tc>
          <w:tcPr>
            <w:tcW w:w="1276" w:type="dxa"/>
            <w:vAlign w:val="center"/>
          </w:tcPr>
          <w:p w14:paraId="50002F0E">
            <w:pPr>
              <w:snapToGrid w:val="0"/>
              <w:spacing w:line="240" w:lineRule="auto"/>
              <w:jc w:val="center"/>
              <w:rPr>
                <w:rFonts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发明专利</w:t>
            </w:r>
          </w:p>
        </w:tc>
        <w:tc>
          <w:tcPr>
            <w:tcW w:w="2135" w:type="dxa"/>
            <w:vAlign w:val="center"/>
          </w:tcPr>
          <w:p w14:paraId="321A136A">
            <w:pPr>
              <w:snapToGrid w:val="0"/>
              <w:spacing w:line="240" w:lineRule="auto"/>
              <w:jc w:val="center"/>
              <w:rPr>
                <w:rFonts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一种检测空调制冷剂状态的方法、装置及存储介质</w:t>
            </w:r>
          </w:p>
        </w:tc>
        <w:tc>
          <w:tcPr>
            <w:tcW w:w="767" w:type="dxa"/>
            <w:vAlign w:val="center"/>
          </w:tcPr>
          <w:p w14:paraId="2D678F7E">
            <w:pPr>
              <w:snapToGrid w:val="0"/>
              <w:spacing w:line="240" w:lineRule="auto"/>
              <w:jc w:val="center"/>
              <w:rPr>
                <w:rFonts w:eastAsia="仿宋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1194" w:type="dxa"/>
            <w:vAlign w:val="center"/>
          </w:tcPr>
          <w:p w14:paraId="78F8A146">
            <w:pPr>
              <w:snapToGrid w:val="0"/>
              <w:spacing w:line="240" w:lineRule="auto"/>
              <w:jc w:val="center"/>
              <w:rPr>
                <w:rFonts w:eastAsia="仿宋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ZL202210749894.9</w:t>
            </w:r>
          </w:p>
        </w:tc>
        <w:tc>
          <w:tcPr>
            <w:tcW w:w="1145" w:type="dxa"/>
            <w:vAlign w:val="center"/>
          </w:tcPr>
          <w:p w14:paraId="754FE5B9">
            <w:pPr>
              <w:snapToGrid w:val="0"/>
              <w:spacing w:line="240" w:lineRule="auto"/>
              <w:jc w:val="center"/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仿宋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eastAsia="仿宋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.1</w:t>
            </w: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60" w:type="dxa"/>
            <w:vAlign w:val="center"/>
          </w:tcPr>
          <w:p w14:paraId="152CEE9C">
            <w:pPr>
              <w:snapToGrid w:val="0"/>
              <w:spacing w:line="240" w:lineRule="auto"/>
              <w:jc w:val="center"/>
              <w:rPr>
                <w:rFonts w:eastAsia="仿宋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第6993554号</w:t>
            </w:r>
          </w:p>
        </w:tc>
        <w:tc>
          <w:tcPr>
            <w:tcW w:w="1912" w:type="dxa"/>
            <w:vAlign w:val="center"/>
          </w:tcPr>
          <w:p w14:paraId="77CA88A5">
            <w:pPr>
              <w:snapToGrid w:val="0"/>
              <w:spacing w:line="240" w:lineRule="auto"/>
              <w:jc w:val="center"/>
              <w:rPr>
                <w:rFonts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北京小米移动软件有限公司</w:t>
            </w:r>
          </w:p>
        </w:tc>
        <w:tc>
          <w:tcPr>
            <w:tcW w:w="2118" w:type="dxa"/>
            <w:vAlign w:val="center"/>
          </w:tcPr>
          <w:p w14:paraId="2FE92810">
            <w:pPr>
              <w:snapToGrid w:val="0"/>
              <w:spacing w:line="240" w:lineRule="auto"/>
              <w:jc w:val="center"/>
              <w:rPr>
                <w:rFonts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程竹、</w:t>
            </w:r>
            <w:r>
              <w:rPr>
                <w:rFonts w:hint="eastAsia" w:eastAsia="仿宋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单联瑜</w:t>
            </w: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、吴俊鸿</w:t>
            </w:r>
          </w:p>
        </w:tc>
        <w:tc>
          <w:tcPr>
            <w:tcW w:w="1137" w:type="dxa"/>
            <w:vAlign w:val="center"/>
          </w:tcPr>
          <w:p w14:paraId="1EB2CD0C">
            <w:pPr>
              <w:spacing w:line="400" w:lineRule="exact"/>
              <w:jc w:val="center"/>
              <w:rPr>
                <w:rFonts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  <w:tr w14:paraId="5B3C0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  <w:jc w:val="center"/>
        </w:trPr>
        <w:tc>
          <w:tcPr>
            <w:tcW w:w="562" w:type="dxa"/>
            <w:vAlign w:val="center"/>
          </w:tcPr>
          <w:p w14:paraId="352C79C4">
            <w:pPr>
              <w:snapToGrid w:val="0"/>
              <w:spacing w:line="240" w:lineRule="auto"/>
              <w:jc w:val="center"/>
              <w:rPr>
                <w:rFonts w:hint="eastAsia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76" w:type="dxa"/>
            <w:vAlign w:val="center"/>
          </w:tcPr>
          <w:p w14:paraId="2D4BF64B">
            <w:pPr>
              <w:snapToGrid w:val="0"/>
              <w:spacing w:line="240" w:lineRule="auto"/>
              <w:jc w:val="center"/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论文</w:t>
            </w:r>
          </w:p>
        </w:tc>
        <w:tc>
          <w:tcPr>
            <w:tcW w:w="2135" w:type="dxa"/>
            <w:vAlign w:val="center"/>
          </w:tcPr>
          <w:p w14:paraId="4CA7C350">
            <w:pPr>
              <w:snapToGrid w:val="0"/>
              <w:spacing w:line="240" w:lineRule="auto"/>
              <w:jc w:val="center"/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Experimental investigation on water vapor permeability in porous dust layers on cold fin surface of heat exchanger</w:t>
            </w:r>
          </w:p>
        </w:tc>
        <w:tc>
          <w:tcPr>
            <w:tcW w:w="767" w:type="dxa"/>
            <w:vAlign w:val="center"/>
          </w:tcPr>
          <w:p w14:paraId="30C75ABD">
            <w:pPr>
              <w:snapToGrid w:val="0"/>
              <w:spacing w:line="240" w:lineRule="auto"/>
              <w:jc w:val="center"/>
              <w:rPr>
                <w:rFonts w:hint="default" w:eastAsia="仿宋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国际</w:t>
            </w:r>
          </w:p>
        </w:tc>
        <w:tc>
          <w:tcPr>
            <w:tcW w:w="1194" w:type="dxa"/>
            <w:vAlign w:val="center"/>
          </w:tcPr>
          <w:p w14:paraId="78F5BFB4">
            <w:pPr>
              <w:snapToGrid w:val="0"/>
              <w:spacing w:line="240" w:lineRule="auto"/>
              <w:jc w:val="center"/>
              <w:rPr>
                <w:rFonts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Volume 141, September 2022, Pages 43-53</w:t>
            </w:r>
          </w:p>
        </w:tc>
        <w:tc>
          <w:tcPr>
            <w:tcW w:w="1145" w:type="dxa"/>
            <w:vAlign w:val="center"/>
          </w:tcPr>
          <w:p w14:paraId="35561DC4">
            <w:pPr>
              <w:snapToGrid w:val="0"/>
              <w:spacing w:line="240" w:lineRule="auto"/>
              <w:jc w:val="center"/>
              <w:rPr>
                <w:rFonts w:hint="default" w:eastAsia="仿宋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2022.8.1</w:t>
            </w:r>
          </w:p>
        </w:tc>
        <w:tc>
          <w:tcPr>
            <w:tcW w:w="1360" w:type="dxa"/>
            <w:vAlign w:val="center"/>
          </w:tcPr>
          <w:p w14:paraId="29968D10">
            <w:pPr>
              <w:snapToGrid w:val="0"/>
              <w:spacing w:line="240" w:lineRule="auto"/>
              <w:jc w:val="center"/>
              <w:rPr>
                <w:rFonts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International Journal of Refrigeration</w:t>
            </w:r>
          </w:p>
        </w:tc>
        <w:tc>
          <w:tcPr>
            <w:tcW w:w="1912" w:type="dxa"/>
            <w:vAlign w:val="center"/>
          </w:tcPr>
          <w:p w14:paraId="4F2C15AA">
            <w:pPr>
              <w:snapToGrid w:val="0"/>
              <w:spacing w:line="240" w:lineRule="auto"/>
              <w:jc w:val="center"/>
              <w:rPr>
                <w:rFonts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上海交通大学</w:t>
            </w:r>
          </w:p>
        </w:tc>
        <w:tc>
          <w:tcPr>
            <w:tcW w:w="2118" w:type="dxa"/>
            <w:vAlign w:val="center"/>
          </w:tcPr>
          <w:p w14:paraId="79B6CE0F">
            <w:pPr>
              <w:snapToGrid w:val="0"/>
              <w:spacing w:line="240" w:lineRule="auto"/>
              <w:jc w:val="center"/>
              <w:rPr>
                <w:rFonts w:eastAsia="仿宋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Zhan Feilong</w:t>
            </w:r>
            <w:r>
              <w:rPr>
                <w:rFonts w:hint="eastAsia" w:eastAsia="仿宋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eastAsia="仿宋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Ding Guoliang</w:t>
            </w:r>
            <w:r>
              <w:rPr>
                <w:rFonts w:hint="eastAsia" w:eastAsia="仿宋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eastAsia="仿宋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Liu Lu</w:t>
            </w:r>
          </w:p>
        </w:tc>
        <w:tc>
          <w:tcPr>
            <w:tcW w:w="1137" w:type="dxa"/>
            <w:vAlign w:val="center"/>
          </w:tcPr>
          <w:p w14:paraId="7118E67C">
            <w:pPr>
              <w:spacing w:line="400" w:lineRule="exact"/>
              <w:jc w:val="center"/>
              <w:rPr>
                <w:rFonts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  <w:tr w14:paraId="3EF48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  <w:jc w:val="center"/>
        </w:trPr>
        <w:tc>
          <w:tcPr>
            <w:tcW w:w="562" w:type="dxa"/>
            <w:vAlign w:val="center"/>
          </w:tcPr>
          <w:p w14:paraId="4DD770D4">
            <w:pPr>
              <w:snapToGrid w:val="0"/>
              <w:spacing w:line="240" w:lineRule="auto"/>
              <w:jc w:val="center"/>
              <w:rPr>
                <w:rFonts w:hint="eastAsia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276" w:type="dxa"/>
            <w:shd w:val="clear"/>
            <w:vAlign w:val="center"/>
          </w:tcPr>
          <w:p w14:paraId="1BB8FD4C">
            <w:pPr>
              <w:snapToGrid w:val="0"/>
              <w:spacing w:line="24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 w:cs="Times New Roman"/>
                <w:kern w:val="0"/>
                <w:sz w:val="21"/>
                <w:szCs w:val="21"/>
              </w:rPr>
              <w:t>发明专利</w:t>
            </w:r>
          </w:p>
        </w:tc>
        <w:tc>
          <w:tcPr>
            <w:tcW w:w="2135" w:type="dxa"/>
            <w:vAlign w:val="center"/>
          </w:tcPr>
          <w:p w14:paraId="0F502437">
            <w:pPr>
              <w:snapToGrid w:val="0"/>
              <w:spacing w:line="240" w:lineRule="auto"/>
              <w:jc w:val="center"/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空调设备的控制方法、控制屏、空调设备和应用程序</w:t>
            </w:r>
          </w:p>
        </w:tc>
        <w:tc>
          <w:tcPr>
            <w:tcW w:w="767" w:type="dxa"/>
            <w:shd w:val="clear"/>
            <w:vAlign w:val="center"/>
          </w:tcPr>
          <w:p w14:paraId="7FE72640"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1194" w:type="dxa"/>
            <w:vAlign w:val="center"/>
          </w:tcPr>
          <w:p w14:paraId="7F6B70F2">
            <w:pPr>
              <w:snapToGrid w:val="0"/>
              <w:spacing w:line="240" w:lineRule="auto"/>
              <w:jc w:val="center"/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ZL202510142240.3</w:t>
            </w:r>
          </w:p>
        </w:tc>
        <w:tc>
          <w:tcPr>
            <w:tcW w:w="1145" w:type="dxa"/>
            <w:vAlign w:val="center"/>
          </w:tcPr>
          <w:p w14:paraId="6F00B256">
            <w:pPr>
              <w:snapToGrid w:val="0"/>
              <w:spacing w:line="240" w:lineRule="auto"/>
              <w:jc w:val="center"/>
              <w:rPr>
                <w:rFonts w:hint="default" w:eastAsia="仿宋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2025.11.18</w:t>
            </w:r>
          </w:p>
        </w:tc>
        <w:tc>
          <w:tcPr>
            <w:tcW w:w="1360" w:type="dxa"/>
            <w:vAlign w:val="center"/>
          </w:tcPr>
          <w:p w14:paraId="35453FDC">
            <w:pPr>
              <w:snapToGrid w:val="0"/>
              <w:spacing w:line="240" w:lineRule="auto"/>
              <w:jc w:val="center"/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第8543664号</w:t>
            </w:r>
          </w:p>
        </w:tc>
        <w:tc>
          <w:tcPr>
            <w:tcW w:w="1912" w:type="dxa"/>
            <w:vAlign w:val="center"/>
          </w:tcPr>
          <w:p w14:paraId="0F03EA86">
            <w:pPr>
              <w:snapToGrid w:val="0"/>
              <w:spacing w:line="240" w:lineRule="auto"/>
              <w:jc w:val="center"/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小米科技</w:t>
            </w: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武汉</w:t>
            </w: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有限公司、小米智能家电</w:t>
            </w: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武汉</w:t>
            </w: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有限公司、北京小米移动软件有限公司</w:t>
            </w:r>
          </w:p>
        </w:tc>
        <w:tc>
          <w:tcPr>
            <w:tcW w:w="2118" w:type="dxa"/>
            <w:vAlign w:val="center"/>
          </w:tcPr>
          <w:p w14:paraId="5F5B3D20">
            <w:pPr>
              <w:snapToGrid w:val="0"/>
              <w:spacing w:line="240" w:lineRule="auto"/>
              <w:jc w:val="center"/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孙婉、宋浩林、廖敏</w:t>
            </w:r>
          </w:p>
        </w:tc>
        <w:tc>
          <w:tcPr>
            <w:tcW w:w="1137" w:type="dxa"/>
            <w:vAlign w:val="center"/>
          </w:tcPr>
          <w:p w14:paraId="43C2B249">
            <w:pPr>
              <w:snapToGrid w:val="0"/>
              <w:spacing w:line="240" w:lineRule="auto"/>
              <w:jc w:val="center"/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  <w:tr w14:paraId="6208E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  <w:jc w:val="center"/>
        </w:trPr>
        <w:tc>
          <w:tcPr>
            <w:tcW w:w="562" w:type="dxa"/>
            <w:vAlign w:val="center"/>
          </w:tcPr>
          <w:p w14:paraId="07777312">
            <w:pPr>
              <w:snapToGrid w:val="0"/>
              <w:spacing w:line="240" w:lineRule="auto"/>
              <w:jc w:val="center"/>
              <w:rPr>
                <w:rFonts w:hint="eastAsia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276" w:type="dxa"/>
            <w:shd w:val="clear"/>
            <w:vAlign w:val="center"/>
          </w:tcPr>
          <w:p w14:paraId="6A17C41A">
            <w:pPr>
              <w:snapToGrid w:val="0"/>
              <w:spacing w:line="24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发明专利</w:t>
            </w:r>
          </w:p>
        </w:tc>
        <w:tc>
          <w:tcPr>
            <w:tcW w:w="2135" w:type="dxa"/>
            <w:vAlign w:val="center"/>
          </w:tcPr>
          <w:p w14:paraId="2B56656E">
            <w:pPr>
              <w:snapToGrid w:val="0"/>
              <w:spacing w:line="240" w:lineRule="auto"/>
              <w:jc w:val="center"/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室内湿度确定方法、装置和电子设备</w:t>
            </w:r>
          </w:p>
        </w:tc>
        <w:tc>
          <w:tcPr>
            <w:tcW w:w="767" w:type="dxa"/>
            <w:shd w:val="clear"/>
            <w:vAlign w:val="center"/>
          </w:tcPr>
          <w:p w14:paraId="5F59163B"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1194" w:type="dxa"/>
            <w:vAlign w:val="center"/>
          </w:tcPr>
          <w:p w14:paraId="77E32772">
            <w:pPr>
              <w:snapToGrid w:val="0"/>
              <w:spacing w:line="240" w:lineRule="auto"/>
              <w:jc w:val="center"/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ZL202411427900.4</w:t>
            </w:r>
          </w:p>
        </w:tc>
        <w:tc>
          <w:tcPr>
            <w:tcW w:w="1145" w:type="dxa"/>
            <w:vAlign w:val="center"/>
          </w:tcPr>
          <w:p w14:paraId="6C920452">
            <w:pPr>
              <w:snapToGrid w:val="0"/>
              <w:spacing w:line="240" w:lineRule="auto"/>
              <w:jc w:val="center"/>
              <w:rPr>
                <w:rFonts w:hint="default" w:eastAsia="仿宋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2025.2.11</w:t>
            </w:r>
          </w:p>
        </w:tc>
        <w:tc>
          <w:tcPr>
            <w:tcW w:w="1360" w:type="dxa"/>
            <w:vAlign w:val="center"/>
          </w:tcPr>
          <w:p w14:paraId="2CA75AC4">
            <w:pPr>
              <w:snapToGrid w:val="0"/>
              <w:spacing w:line="240" w:lineRule="auto"/>
              <w:jc w:val="center"/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第7726378号</w:t>
            </w:r>
          </w:p>
        </w:tc>
        <w:tc>
          <w:tcPr>
            <w:tcW w:w="1912" w:type="dxa"/>
            <w:vAlign w:val="center"/>
          </w:tcPr>
          <w:p w14:paraId="32075DFE">
            <w:pPr>
              <w:snapToGrid w:val="0"/>
              <w:spacing w:line="240" w:lineRule="auto"/>
              <w:jc w:val="center"/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小米科技</w:t>
            </w: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武汉</w:t>
            </w: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有限公司、小米智能家电</w:t>
            </w: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武汉</w:t>
            </w: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有限公司、北京小米移动软件有限公司</w:t>
            </w:r>
          </w:p>
        </w:tc>
        <w:tc>
          <w:tcPr>
            <w:tcW w:w="2118" w:type="dxa"/>
            <w:vAlign w:val="center"/>
          </w:tcPr>
          <w:p w14:paraId="378603C9">
            <w:pPr>
              <w:snapToGrid w:val="0"/>
              <w:spacing w:line="240" w:lineRule="auto"/>
              <w:jc w:val="center"/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刘锐</w:t>
            </w: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、孙波、</w:t>
            </w:r>
            <w:r>
              <w:rPr>
                <w:rFonts w:hint="eastAsia" w:eastAsia="仿宋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廖敏</w:t>
            </w:r>
          </w:p>
        </w:tc>
        <w:tc>
          <w:tcPr>
            <w:tcW w:w="1137" w:type="dxa"/>
            <w:vAlign w:val="center"/>
          </w:tcPr>
          <w:p w14:paraId="6A71FDD9">
            <w:pPr>
              <w:snapToGrid w:val="0"/>
              <w:spacing w:line="240" w:lineRule="auto"/>
              <w:jc w:val="center"/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  <w:tr w14:paraId="6B000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  <w:jc w:val="center"/>
        </w:trPr>
        <w:tc>
          <w:tcPr>
            <w:tcW w:w="562" w:type="dxa"/>
            <w:vAlign w:val="center"/>
          </w:tcPr>
          <w:p w14:paraId="343E27ED">
            <w:pPr>
              <w:snapToGrid w:val="0"/>
              <w:spacing w:line="240" w:lineRule="auto"/>
              <w:jc w:val="center"/>
              <w:rPr>
                <w:rFonts w:hint="eastAsia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276" w:type="dxa"/>
            <w:vAlign w:val="center"/>
          </w:tcPr>
          <w:p w14:paraId="6D93CCCA">
            <w:pPr>
              <w:snapToGrid w:val="0"/>
              <w:spacing w:line="240" w:lineRule="auto"/>
              <w:jc w:val="center"/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论文</w:t>
            </w:r>
          </w:p>
        </w:tc>
        <w:tc>
          <w:tcPr>
            <w:tcW w:w="2135" w:type="dxa"/>
            <w:vAlign w:val="center"/>
          </w:tcPr>
          <w:p w14:paraId="01576405">
            <w:pPr>
              <w:snapToGrid w:val="0"/>
              <w:spacing w:line="240" w:lineRule="auto"/>
              <w:jc w:val="center"/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 performance optimization method based on the flow field structure of the vortex tubes with ANN</w:t>
            </w:r>
          </w:p>
        </w:tc>
        <w:tc>
          <w:tcPr>
            <w:tcW w:w="767" w:type="dxa"/>
            <w:vAlign w:val="center"/>
          </w:tcPr>
          <w:p w14:paraId="486421DE">
            <w:pPr>
              <w:snapToGrid w:val="0"/>
              <w:spacing w:line="240" w:lineRule="auto"/>
              <w:jc w:val="center"/>
              <w:rPr>
                <w:rFonts w:hint="default" w:eastAsia="仿宋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国际</w:t>
            </w:r>
          </w:p>
        </w:tc>
        <w:tc>
          <w:tcPr>
            <w:tcW w:w="1194" w:type="dxa"/>
            <w:vAlign w:val="center"/>
          </w:tcPr>
          <w:p w14:paraId="0BE4DFB2">
            <w:pPr>
              <w:snapToGrid w:val="0"/>
              <w:spacing w:line="240" w:lineRule="auto"/>
              <w:jc w:val="center"/>
              <w:rPr>
                <w:rFonts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Volume 37,1January 2023, 101590</w:t>
            </w:r>
          </w:p>
        </w:tc>
        <w:tc>
          <w:tcPr>
            <w:tcW w:w="1145" w:type="dxa"/>
            <w:vAlign w:val="center"/>
          </w:tcPr>
          <w:p w14:paraId="3EC624A3">
            <w:pPr>
              <w:snapToGrid w:val="0"/>
              <w:spacing w:line="240" w:lineRule="auto"/>
              <w:jc w:val="center"/>
              <w:rPr>
                <w:rFonts w:hint="default" w:eastAsia="仿宋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2023.1.1</w:t>
            </w:r>
          </w:p>
        </w:tc>
        <w:tc>
          <w:tcPr>
            <w:tcW w:w="1360" w:type="dxa"/>
            <w:vAlign w:val="center"/>
          </w:tcPr>
          <w:p w14:paraId="375490BA">
            <w:pPr>
              <w:snapToGrid w:val="0"/>
              <w:spacing w:line="240" w:lineRule="auto"/>
              <w:jc w:val="center"/>
              <w:rPr>
                <w:rFonts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Thermal Science and Engineering Progress</w:t>
            </w:r>
          </w:p>
        </w:tc>
        <w:tc>
          <w:tcPr>
            <w:tcW w:w="1912" w:type="dxa"/>
            <w:vAlign w:val="center"/>
          </w:tcPr>
          <w:p w14:paraId="50DB2222">
            <w:pPr>
              <w:snapToGrid w:val="0"/>
              <w:spacing w:line="240" w:lineRule="auto"/>
              <w:jc w:val="center"/>
              <w:rPr>
                <w:rFonts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浙江大学</w:t>
            </w: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、宁波理工大学</w:t>
            </w:r>
          </w:p>
        </w:tc>
        <w:tc>
          <w:tcPr>
            <w:tcW w:w="2118" w:type="dxa"/>
            <w:vAlign w:val="center"/>
          </w:tcPr>
          <w:p w14:paraId="58E63365">
            <w:pPr>
              <w:snapToGrid w:val="0"/>
              <w:spacing w:line="240" w:lineRule="auto"/>
              <w:jc w:val="center"/>
              <w:rPr>
                <w:rFonts w:eastAsia="仿宋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Li Nian</w:t>
            </w:r>
            <w:r>
              <w:rPr>
                <w:rFonts w:hint="eastAsia" w:eastAsia="仿宋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eastAsia="仿宋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仿宋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Ma Sainan</w:t>
            </w:r>
            <w:r>
              <w:rPr>
                <w:rFonts w:hint="eastAsia" w:eastAsia="仿宋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eastAsia="仿宋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Jiang Guannan</w:t>
            </w:r>
            <w:r>
              <w:rPr>
                <w:rFonts w:hint="eastAsia" w:eastAsia="仿宋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eastAsia="仿宋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Hao Xinyue</w:t>
            </w:r>
            <w:r>
              <w:rPr>
                <w:rFonts w:hint="eastAsia" w:eastAsia="仿宋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eastAsia" w:eastAsia="仿宋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Chen Guangming</w:t>
            </w:r>
            <w:r>
              <w:rPr>
                <w:rFonts w:hint="eastAsia" w:eastAsia="仿宋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eastAsia="仿宋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Gao Neng</w:t>
            </w:r>
          </w:p>
        </w:tc>
        <w:tc>
          <w:tcPr>
            <w:tcW w:w="1137" w:type="dxa"/>
            <w:vAlign w:val="center"/>
          </w:tcPr>
          <w:p w14:paraId="0C6779D1">
            <w:pPr>
              <w:spacing w:line="400" w:lineRule="exact"/>
              <w:jc w:val="center"/>
              <w:rPr>
                <w:rFonts w:hint="default" w:eastAsia="仿宋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  <w:tr w14:paraId="7A4C9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  <w:jc w:val="center"/>
        </w:trPr>
        <w:tc>
          <w:tcPr>
            <w:tcW w:w="562" w:type="dxa"/>
            <w:vAlign w:val="center"/>
          </w:tcPr>
          <w:p w14:paraId="158BF6C3">
            <w:pPr>
              <w:snapToGrid w:val="0"/>
              <w:spacing w:line="240" w:lineRule="auto"/>
              <w:jc w:val="center"/>
              <w:rPr>
                <w:rFonts w:hint="default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276" w:type="dxa"/>
            <w:vAlign w:val="center"/>
          </w:tcPr>
          <w:p w14:paraId="6536EE55">
            <w:pPr>
              <w:snapToGrid w:val="0"/>
              <w:spacing w:line="240" w:lineRule="auto"/>
              <w:jc w:val="center"/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标准</w:t>
            </w:r>
          </w:p>
        </w:tc>
        <w:tc>
          <w:tcPr>
            <w:tcW w:w="2135" w:type="dxa"/>
            <w:vAlign w:val="center"/>
          </w:tcPr>
          <w:p w14:paraId="008B12CB">
            <w:pPr>
              <w:snapToGrid w:val="0"/>
              <w:spacing w:line="240" w:lineRule="auto"/>
              <w:jc w:val="center"/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户用及类似用途器动态负荷运行智能调控性能评价</w:t>
            </w:r>
          </w:p>
        </w:tc>
        <w:tc>
          <w:tcPr>
            <w:tcW w:w="767" w:type="dxa"/>
            <w:vAlign w:val="center"/>
          </w:tcPr>
          <w:p w14:paraId="6A95FE3E">
            <w:pPr>
              <w:snapToGrid w:val="0"/>
              <w:spacing w:line="240" w:lineRule="auto"/>
              <w:jc w:val="center"/>
              <w:rPr>
                <w:rFonts w:hint="default" w:eastAsia="仿宋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1194" w:type="dxa"/>
            <w:vAlign w:val="center"/>
          </w:tcPr>
          <w:p w14:paraId="329726C6">
            <w:pPr>
              <w:snapToGrid w:val="0"/>
              <w:spacing w:line="240" w:lineRule="auto"/>
              <w:jc w:val="center"/>
              <w:rPr>
                <w:rFonts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T/CRAAS 1218-2025</w:t>
            </w:r>
          </w:p>
        </w:tc>
        <w:tc>
          <w:tcPr>
            <w:tcW w:w="1145" w:type="dxa"/>
            <w:vAlign w:val="center"/>
          </w:tcPr>
          <w:p w14:paraId="79684685">
            <w:pPr>
              <w:snapToGrid w:val="0"/>
              <w:spacing w:line="240" w:lineRule="auto"/>
              <w:jc w:val="center"/>
              <w:rPr>
                <w:rFonts w:hint="default" w:eastAsia="仿宋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2025.7.1</w:t>
            </w:r>
          </w:p>
        </w:tc>
        <w:tc>
          <w:tcPr>
            <w:tcW w:w="1360" w:type="dxa"/>
            <w:vAlign w:val="center"/>
          </w:tcPr>
          <w:p w14:paraId="437271C4">
            <w:pPr>
              <w:snapToGrid w:val="0"/>
              <w:spacing w:line="240" w:lineRule="auto"/>
              <w:jc w:val="center"/>
              <w:rPr>
                <w:rFonts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中国制冷空调工业协会</w:t>
            </w:r>
          </w:p>
        </w:tc>
        <w:tc>
          <w:tcPr>
            <w:tcW w:w="1912" w:type="dxa"/>
            <w:vAlign w:val="center"/>
          </w:tcPr>
          <w:p w14:paraId="6E6DB5CF">
            <w:pPr>
              <w:snapToGrid w:val="0"/>
              <w:spacing w:line="240" w:lineRule="auto"/>
              <w:jc w:val="center"/>
              <w:rPr>
                <w:rFonts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小米智能家电</w:t>
            </w: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武汉</w:t>
            </w: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有限公司、小米科技</w:t>
            </w: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武汉</w:t>
            </w: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有限公司、合肥通用机电产品检测院有限公司、北京小米移动软件有限公司、四川长虹电器股份有限公司、创维空调科技</w:t>
            </w: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安徽</w:t>
            </w: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有限公司、上海海立电器有限公司、重庆市制冷学会、重庆城市科技学院、青岛海洋技师学院、新昌县丰亿电器有限公司</w:t>
            </w:r>
          </w:p>
        </w:tc>
        <w:tc>
          <w:tcPr>
            <w:tcW w:w="2118" w:type="dxa"/>
            <w:vAlign w:val="center"/>
          </w:tcPr>
          <w:p w14:paraId="4F41750B">
            <w:pPr>
              <w:snapToGrid w:val="0"/>
              <w:spacing w:line="240" w:lineRule="auto"/>
              <w:jc w:val="center"/>
              <w:rPr>
                <w:rFonts w:eastAsia="仿宋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单联瑜、廖敏、李倍宇</w:t>
            </w:r>
            <w:r>
              <w:rPr>
                <w:rFonts w:hint="eastAsia" w:eastAsia="仿宋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、于晓琳、</w:t>
            </w:r>
            <w:r>
              <w:rPr>
                <w:rFonts w:hint="eastAsia" w:eastAsia="仿宋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陈渊、张杰、熊绍森、李超</w:t>
            </w:r>
            <w:r>
              <w:rPr>
                <w:rFonts w:hint="eastAsia" w:eastAsia="仿宋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、赵鹏云、赵倩、谢东波、陈俊智、</w:t>
            </w:r>
            <w:r>
              <w:rPr>
                <w:rFonts w:hint="eastAsia" w:eastAsia="仿宋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朱振</w:t>
            </w:r>
            <w:r>
              <w:rPr>
                <w:rFonts w:hint="eastAsia" w:eastAsia="仿宋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、韩雷、陈继军、郭宇、高怡杰、陈叶、卢军、刘雨曦、王宾宾、章晓薇</w:t>
            </w:r>
          </w:p>
        </w:tc>
        <w:tc>
          <w:tcPr>
            <w:tcW w:w="1137" w:type="dxa"/>
            <w:vAlign w:val="center"/>
          </w:tcPr>
          <w:p w14:paraId="71A93DCA">
            <w:pPr>
              <w:spacing w:line="400" w:lineRule="exact"/>
              <w:jc w:val="center"/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</w:tbl>
    <w:p w14:paraId="3F07480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50B3B73-E794-444F-AB4F-F706EC51A0F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8907177-1543-48AA-AAC1-EDA4349F3A25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3C860E"/>
    <w:multiLevelType w:val="singleLevel"/>
    <w:tmpl w:val="ED3C860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9B9"/>
    <w:rsid w:val="00032D0A"/>
    <w:rsid w:val="00036971"/>
    <w:rsid w:val="00061BF0"/>
    <w:rsid w:val="000A2763"/>
    <w:rsid w:val="000D6738"/>
    <w:rsid w:val="000D7DA2"/>
    <w:rsid w:val="001A56E0"/>
    <w:rsid w:val="001C114F"/>
    <w:rsid w:val="001C39B9"/>
    <w:rsid w:val="0021397D"/>
    <w:rsid w:val="00214A83"/>
    <w:rsid w:val="00227A9D"/>
    <w:rsid w:val="00251F60"/>
    <w:rsid w:val="0025256C"/>
    <w:rsid w:val="0026455A"/>
    <w:rsid w:val="002747D6"/>
    <w:rsid w:val="00293285"/>
    <w:rsid w:val="002A6B25"/>
    <w:rsid w:val="002B48DF"/>
    <w:rsid w:val="00335968"/>
    <w:rsid w:val="00344350"/>
    <w:rsid w:val="00393004"/>
    <w:rsid w:val="0039780A"/>
    <w:rsid w:val="003E05BC"/>
    <w:rsid w:val="003E3FDB"/>
    <w:rsid w:val="00436340"/>
    <w:rsid w:val="00455EB7"/>
    <w:rsid w:val="00471497"/>
    <w:rsid w:val="00473EB4"/>
    <w:rsid w:val="004A3BC8"/>
    <w:rsid w:val="004D284C"/>
    <w:rsid w:val="004D599C"/>
    <w:rsid w:val="004E3803"/>
    <w:rsid w:val="004F3D5E"/>
    <w:rsid w:val="00502086"/>
    <w:rsid w:val="00517734"/>
    <w:rsid w:val="00527A74"/>
    <w:rsid w:val="00532B46"/>
    <w:rsid w:val="005357C9"/>
    <w:rsid w:val="005526DF"/>
    <w:rsid w:val="00557D01"/>
    <w:rsid w:val="005A33B6"/>
    <w:rsid w:val="005C046C"/>
    <w:rsid w:val="005E2238"/>
    <w:rsid w:val="005E26DE"/>
    <w:rsid w:val="0060001E"/>
    <w:rsid w:val="00603AF5"/>
    <w:rsid w:val="00606F07"/>
    <w:rsid w:val="00662CDE"/>
    <w:rsid w:val="006B59C2"/>
    <w:rsid w:val="006C13B6"/>
    <w:rsid w:val="006C4E9D"/>
    <w:rsid w:val="006F41A0"/>
    <w:rsid w:val="0070355E"/>
    <w:rsid w:val="00716080"/>
    <w:rsid w:val="00771995"/>
    <w:rsid w:val="007C6B47"/>
    <w:rsid w:val="00820869"/>
    <w:rsid w:val="0089720A"/>
    <w:rsid w:val="008B53EA"/>
    <w:rsid w:val="008D0353"/>
    <w:rsid w:val="00901D32"/>
    <w:rsid w:val="00906539"/>
    <w:rsid w:val="00913D96"/>
    <w:rsid w:val="00915B21"/>
    <w:rsid w:val="00932BF9"/>
    <w:rsid w:val="009651CD"/>
    <w:rsid w:val="00972969"/>
    <w:rsid w:val="009811E8"/>
    <w:rsid w:val="00995972"/>
    <w:rsid w:val="009974C7"/>
    <w:rsid w:val="009A3C54"/>
    <w:rsid w:val="009B427C"/>
    <w:rsid w:val="009C2C11"/>
    <w:rsid w:val="009D209E"/>
    <w:rsid w:val="00A33039"/>
    <w:rsid w:val="00AA31C7"/>
    <w:rsid w:val="00AB280C"/>
    <w:rsid w:val="00AC02D2"/>
    <w:rsid w:val="00AE5762"/>
    <w:rsid w:val="00AF0ED7"/>
    <w:rsid w:val="00B10F81"/>
    <w:rsid w:val="00BA2738"/>
    <w:rsid w:val="00BB6EF6"/>
    <w:rsid w:val="00BB75F1"/>
    <w:rsid w:val="00BE3CD3"/>
    <w:rsid w:val="00C1156B"/>
    <w:rsid w:val="00C65AE0"/>
    <w:rsid w:val="00C766C8"/>
    <w:rsid w:val="00C904E6"/>
    <w:rsid w:val="00CA20F5"/>
    <w:rsid w:val="00D14190"/>
    <w:rsid w:val="00D70E5C"/>
    <w:rsid w:val="00DB78A4"/>
    <w:rsid w:val="00DD7A0E"/>
    <w:rsid w:val="00DE22C9"/>
    <w:rsid w:val="00DF3DA4"/>
    <w:rsid w:val="00E22A0A"/>
    <w:rsid w:val="00E96B57"/>
    <w:rsid w:val="00EF376F"/>
    <w:rsid w:val="00F04D2A"/>
    <w:rsid w:val="00F71435"/>
    <w:rsid w:val="00F72C14"/>
    <w:rsid w:val="00FD48EB"/>
    <w:rsid w:val="00FE427B"/>
    <w:rsid w:val="19A12D08"/>
    <w:rsid w:val="1CCF3FBA"/>
    <w:rsid w:val="20DC64FE"/>
    <w:rsid w:val="253A600D"/>
    <w:rsid w:val="26C1503C"/>
    <w:rsid w:val="28704D74"/>
    <w:rsid w:val="37C02B01"/>
    <w:rsid w:val="48BD4B3A"/>
    <w:rsid w:val="4A0B5F87"/>
    <w:rsid w:val="56BC3274"/>
    <w:rsid w:val="5C0C052C"/>
    <w:rsid w:val="5EF552A7"/>
    <w:rsid w:val="61E11B13"/>
    <w:rsid w:val="660B1854"/>
    <w:rsid w:val="6D4F2816"/>
    <w:rsid w:val="6FC526A7"/>
    <w:rsid w:val="76A9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4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rFonts w:ascii="Times New Roman" w:hAnsi="Times New Roman" w:eastAsia="仿宋_GB231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E9975-3C4D-48EB-B14E-4D2337DC1E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1822</Words>
  <Characters>2360</Characters>
  <Lines>18</Lines>
  <Paragraphs>5</Paragraphs>
  <TotalTime>2</TotalTime>
  <ScaleCrop>false</ScaleCrop>
  <LinksUpToDate>false</LinksUpToDate>
  <CharactersWithSpaces>2411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2026-03-17T16:54:00Z</dcterms:created>
  <dc:creator>Lenovo</dc:creator>
  <cp:lastModifiedBy>WJ</cp:lastModifiedBy>
  <dcterms:modified xsi:type="dcterms:W3CDTF">2026-03-21T07:42:48Z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eyJoZGlkIjoiMjU4MzAwYmJhYzk1NGEyOTBlMDAxNWFjYjEwYWVkNGIiLCJ1c2VySWQiOiI0MTQ1MTUzMDIifQ==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C320A17EB4994BDE86437957D56C6C74_13</vt:lpwstr>
  </property>
  <property fmtid="{D5CDD505-2E9C-101B-9397-08002B2CF9AE}" pid="5" name="CWM04c7ad7022a111f180002fd700002ed7">
    <vt:lpwstr>CWMH0srdCWJyIb+dEU5PcT4KnZPYty3Hp5K6NvlrPUit6h+T6mLbgARG4PM4Y+7daTP9m40slSM2bb+vjhIY1u5XQ==</vt:lpwstr>
  </property>
</Properties>
</file>