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n-US"/>
        </w:rPr>
      </w:pPr>
    </w:p>
    <w:p>
      <w:pPr>
        <w:pStyle w:val="2"/>
        <w:rPr>
          <w:lang w:val="en-US"/>
        </w:rPr>
      </w:pPr>
      <w:r>
        <w:rPr>
          <w:lang w:val="en-US"/>
        </w:rPr>
        <w:t>Research evaluation</w:t>
      </w:r>
    </w:p>
    <w:p>
      <w:pPr>
        <w:rPr>
          <w:sz w:val="30"/>
          <w:szCs w:val="30"/>
          <w:lang w:val="en-US"/>
        </w:rPr>
      </w:pPr>
      <w:r>
        <w:rPr>
          <w:sz w:val="30"/>
          <w:szCs w:val="30"/>
          <w:lang w:val="en-US"/>
        </w:rPr>
        <w:t>Ronald Rousseau</w:t>
      </w:r>
      <w:bookmarkStart w:id="0" w:name="_GoBack"/>
      <w:bookmarkEnd w:id="0"/>
    </w:p>
    <w:p>
      <w:pPr>
        <w:rPr>
          <w:sz w:val="30"/>
          <w:szCs w:val="30"/>
          <w:lang w:val="en-US"/>
        </w:rPr>
      </w:pPr>
      <w:r>
        <w:rPr>
          <w:sz w:val="30"/>
          <w:szCs w:val="30"/>
          <w:lang w:val="en-US"/>
        </w:rPr>
        <w:t>This talk discusses research evaluation, especially at the macro and meso level (countries, institutions, and research groups). We start with an overview of elements of and reasons for research evaluation, after which we turn to the use of citations in evaluation exercises. General guidelines for responsible use of metrics in research evaluation are provided by the Leiden Manifesto. Next, we discuss the evaluation of universities and university rankings. We then turn to aspects of research group evaluation and country studies. Here we introduce a new method to measure the production of large groups. While evaluation of individuals is not discussed in depth, some general comments and caveats are provided. More specific topics include the evaluation of social sciences and humanities. We end with critical remarks and observations about, among other things, narrowly focusing on a small set of top journals, strategic behavior, and gender and minority groups.</w:t>
      </w:r>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cumentProtection w:enforcement="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31"/>
    <w:rsid w:val="00264411"/>
    <w:rsid w:val="00335CBA"/>
    <w:rsid w:val="00793F31"/>
    <w:rsid w:val="00E22A8A"/>
    <w:rsid w:val="344B5642"/>
    <w:rsid w:val="48F1496D"/>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nl-BE"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852</Characters>
  <Lines>7</Lines>
  <Paragraphs>2</Paragraphs>
  <TotalTime>5</TotalTime>
  <ScaleCrop>false</ScaleCrop>
  <LinksUpToDate>false</LinksUpToDate>
  <CharactersWithSpaces>1004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2018-10-09T11:06:00Z</dcterms:created>
  <dc:creator>User</dc:creator>
  <cp:lastModifiedBy>水果</cp:lastModifiedBy>
  <dcterms:modified xsi:type="dcterms:W3CDTF">2018-10-19T05:58:18Z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