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5BB83">
      <w:pPr>
        <w:spacing w:before="312" w:beforeLines="100" w:line="600" w:lineRule="exact"/>
        <w:jc w:val="both"/>
        <w:rPr>
          <w:rStyle w:val="11"/>
          <w:sz w:val="36"/>
          <w:szCs w:val="36"/>
        </w:rPr>
      </w:pPr>
      <w:r>
        <w:rPr>
          <w:rStyle w:val="11"/>
          <w:sz w:val="36"/>
          <w:szCs w:val="36"/>
        </w:rPr>
        <w:t xml:space="preserve"> </w:t>
      </w:r>
    </w:p>
    <w:p w14:paraId="520CA4EC">
      <w:pPr>
        <w:spacing w:before="312" w:beforeLines="100" w:line="600" w:lineRule="exact"/>
        <w:jc w:val="center"/>
        <w:rPr>
          <w:rStyle w:val="11"/>
          <w:sz w:val="36"/>
          <w:szCs w:val="36"/>
        </w:rPr>
      </w:pPr>
      <w:r>
        <w:rPr>
          <w:rStyle w:val="11"/>
          <w:sz w:val="36"/>
          <w:szCs w:val="36"/>
        </w:rPr>
        <w:t xml:space="preserve"> 2026</w:t>
      </w:r>
      <w:r>
        <w:rPr>
          <w:rStyle w:val="11"/>
          <w:rFonts w:hint="eastAsia"/>
          <w:sz w:val="36"/>
          <w:szCs w:val="36"/>
        </w:rPr>
        <w:t>年度自然资源科技进步奖推荐项目</w:t>
      </w:r>
    </w:p>
    <w:p w14:paraId="4A1FC907">
      <w:pPr>
        <w:spacing w:after="312" w:afterLines="100" w:line="600" w:lineRule="exact"/>
        <w:jc w:val="center"/>
        <w:rPr>
          <w:rStyle w:val="11"/>
          <w:sz w:val="36"/>
          <w:szCs w:val="36"/>
        </w:rPr>
      </w:pPr>
      <w:r>
        <w:rPr>
          <w:rStyle w:val="11"/>
          <w:rFonts w:hint="eastAsia"/>
          <w:sz w:val="36"/>
          <w:szCs w:val="36"/>
        </w:rPr>
        <w:t>公示材料</w:t>
      </w:r>
    </w:p>
    <w:p w14:paraId="406FDC79">
      <w:pPr>
        <w:spacing w:line="600" w:lineRule="exact"/>
        <w:rPr>
          <w:rStyle w:val="10"/>
          <w:rFonts w:ascii="仿宋_GB2312" w:eastAsia="仿宋_GB2312"/>
          <w:szCs w:val="21"/>
        </w:rPr>
      </w:pPr>
      <w:r>
        <w:rPr>
          <w:rFonts w:hint="eastAsia" w:ascii="黑体" w:hAnsi="黑体" w:eastAsia="黑体"/>
          <w:sz w:val="30"/>
          <w:szCs w:val="30"/>
        </w:rPr>
        <w:t>一、成果基本情况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530"/>
        <w:gridCol w:w="1068"/>
        <w:gridCol w:w="2276"/>
        <w:gridCol w:w="3128"/>
        <w:gridCol w:w="290"/>
      </w:tblGrid>
      <w:tr w14:paraId="11B50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802" w:hRule="exact"/>
          <w:jc w:val="center"/>
        </w:trPr>
        <w:tc>
          <w:tcPr>
            <w:tcW w:w="0" w:type="auto"/>
            <w:tcBorders>
              <w:top w:val="single" w:color="auto" w:sz="12" w:space="0"/>
              <w:left w:val="single" w:color="auto" w:sz="12" w:space="0"/>
            </w:tcBorders>
            <w:vAlign w:val="center"/>
          </w:tcPr>
          <w:p w14:paraId="1E69DA03">
            <w:pPr>
              <w:widowControl/>
              <w:jc w:val="center"/>
              <w:rPr>
                <w:rFonts w:hint="eastAsia" w:ascii="宋体" w:hAnsi="宋体"/>
              </w:rPr>
            </w:pPr>
            <w:r>
              <w:rPr>
                <w:rFonts w:hint="eastAsia" w:ascii="宋体" w:hAnsi="宋体"/>
              </w:rPr>
              <w:t>成果名称</w:t>
            </w:r>
          </w:p>
        </w:tc>
        <w:tc>
          <w:tcPr>
            <w:tcW w:w="0" w:type="auto"/>
            <w:gridSpan w:val="4"/>
            <w:tcBorders>
              <w:top w:val="single" w:color="auto" w:sz="12" w:space="0"/>
              <w:bottom w:val="single" w:color="auto" w:sz="6" w:space="0"/>
              <w:right w:val="single" w:color="auto" w:sz="12" w:space="0"/>
            </w:tcBorders>
            <w:vAlign w:val="center"/>
          </w:tcPr>
          <w:p w14:paraId="5DDD6693">
            <w:pPr>
              <w:widowControl/>
              <w:jc w:val="left"/>
              <w:rPr>
                <w:rFonts w:hint="eastAsia" w:ascii="宋体" w:hAnsi="宋体"/>
              </w:rPr>
            </w:pPr>
            <w:r>
              <w:rPr>
                <w:rFonts w:hint="eastAsia" w:ascii="宋体" w:hAnsi="宋体"/>
              </w:rPr>
              <w:t>多维联动协同下的超大城市土地资源资产优化配置关键技术与应用</w:t>
            </w:r>
          </w:p>
        </w:tc>
      </w:tr>
      <w:tr w14:paraId="36924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854" w:hRule="exact"/>
          <w:jc w:val="center"/>
        </w:trPr>
        <w:tc>
          <w:tcPr>
            <w:tcW w:w="0" w:type="auto"/>
            <w:tcBorders>
              <w:left w:val="single" w:color="auto" w:sz="12" w:space="0"/>
            </w:tcBorders>
            <w:vAlign w:val="center"/>
          </w:tcPr>
          <w:p w14:paraId="69A07D46">
            <w:pPr>
              <w:snapToGrid w:val="0"/>
              <w:spacing w:line="360" w:lineRule="exact"/>
              <w:jc w:val="center"/>
              <w:rPr>
                <w:szCs w:val="21"/>
              </w:rPr>
            </w:pPr>
            <w:r>
              <w:rPr>
                <w:szCs w:val="21"/>
              </w:rPr>
              <w:t>主要完成人</w:t>
            </w:r>
          </w:p>
        </w:tc>
        <w:tc>
          <w:tcPr>
            <w:tcW w:w="0" w:type="auto"/>
            <w:gridSpan w:val="4"/>
            <w:tcBorders>
              <w:right w:val="single" w:color="auto" w:sz="12" w:space="0"/>
            </w:tcBorders>
            <w:vAlign w:val="center"/>
          </w:tcPr>
          <w:p w14:paraId="4CF2D459">
            <w:pPr>
              <w:widowControl/>
              <w:jc w:val="left"/>
              <w:rPr>
                <w:rFonts w:hint="eastAsia" w:ascii="宋体" w:hAnsi="宋体"/>
              </w:rPr>
            </w:pPr>
            <w:r>
              <w:rPr>
                <w:rFonts w:hint="eastAsia" w:ascii="宋体" w:hAnsi="宋体"/>
              </w:rPr>
              <w:t>范华、许伟、刘馨、王莉、段浩、马贤磊、汪燕衍、卢方方、朱蕾、王田雨、高魏、陈</w:t>
            </w:r>
            <w:bookmarkStart w:id="4" w:name="_GoBack"/>
            <w:bookmarkEnd w:id="4"/>
            <w:r>
              <w:rPr>
                <w:rFonts w:hint="eastAsia" w:ascii="宋体" w:hAnsi="宋体"/>
              </w:rPr>
              <w:t>波、马敏、顾易枫、叶天羽</w:t>
            </w:r>
          </w:p>
          <w:p w14:paraId="1AC94615">
            <w:pPr>
              <w:widowControl/>
              <w:jc w:val="left"/>
              <w:rPr>
                <w:rFonts w:hint="eastAsia" w:ascii="宋体" w:hAnsi="宋体"/>
              </w:rPr>
            </w:pPr>
          </w:p>
        </w:tc>
      </w:tr>
      <w:tr w14:paraId="5E3EA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29" w:hRule="exact"/>
          <w:jc w:val="center"/>
        </w:trPr>
        <w:tc>
          <w:tcPr>
            <w:tcW w:w="0" w:type="auto"/>
            <w:tcBorders>
              <w:left w:val="single" w:color="auto" w:sz="12" w:space="0"/>
            </w:tcBorders>
            <w:vAlign w:val="center"/>
          </w:tcPr>
          <w:p w14:paraId="25E3DB4B">
            <w:pPr>
              <w:snapToGrid w:val="0"/>
              <w:spacing w:line="320" w:lineRule="exact"/>
              <w:jc w:val="center"/>
              <w:rPr>
                <w:szCs w:val="21"/>
              </w:rPr>
            </w:pPr>
            <w:r>
              <w:rPr>
                <w:szCs w:val="21"/>
              </w:rPr>
              <w:t>主要完成单位</w:t>
            </w:r>
          </w:p>
        </w:tc>
        <w:tc>
          <w:tcPr>
            <w:tcW w:w="0" w:type="auto"/>
            <w:gridSpan w:val="4"/>
            <w:tcBorders>
              <w:right w:val="single" w:color="auto" w:sz="12" w:space="0"/>
            </w:tcBorders>
            <w:vAlign w:val="center"/>
          </w:tcPr>
          <w:p w14:paraId="316080EC">
            <w:pPr>
              <w:widowControl/>
              <w:jc w:val="left"/>
              <w:rPr>
                <w:rFonts w:eastAsia="楷体_GB2312"/>
                <w:szCs w:val="21"/>
              </w:rPr>
            </w:pPr>
            <w:r>
              <w:rPr>
                <w:rFonts w:eastAsia="楷体_GB2312"/>
                <w:szCs w:val="21"/>
              </w:rPr>
              <w:t xml:space="preserve"> </w:t>
            </w:r>
            <w:r>
              <w:rPr>
                <w:rFonts w:hint="eastAsia" w:ascii="宋体" w:hAnsi="宋体"/>
              </w:rPr>
              <w:t>上海市自然资源调查利用研究院、浙江大学、南京农业大学</w:t>
            </w:r>
          </w:p>
        </w:tc>
      </w:tr>
      <w:tr w14:paraId="40A03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1911" w:hRule="atLeast"/>
          <w:jc w:val="center"/>
        </w:trPr>
        <w:tc>
          <w:tcPr>
            <w:tcW w:w="0" w:type="auto"/>
            <w:tcBorders>
              <w:left w:val="single" w:color="auto" w:sz="12" w:space="0"/>
            </w:tcBorders>
            <w:vAlign w:val="center"/>
          </w:tcPr>
          <w:p w14:paraId="25520861">
            <w:pPr>
              <w:widowControl/>
              <w:ind w:firstLine="420" w:firstLineChars="200"/>
              <w:jc w:val="left"/>
              <w:rPr>
                <w:rFonts w:hint="eastAsia" w:ascii="宋体" w:hAnsi="宋体"/>
              </w:rPr>
            </w:pPr>
            <w:r>
              <w:rPr>
                <w:rFonts w:hint="eastAsia" w:ascii="宋体" w:hAnsi="宋体"/>
              </w:rPr>
              <w:t>推荐单位</w:t>
            </w:r>
          </w:p>
        </w:tc>
        <w:tc>
          <w:tcPr>
            <w:tcW w:w="0" w:type="auto"/>
            <w:gridSpan w:val="4"/>
            <w:tcBorders>
              <w:right w:val="single" w:color="auto" w:sz="12" w:space="0"/>
            </w:tcBorders>
            <w:vAlign w:val="center"/>
          </w:tcPr>
          <w:p w14:paraId="592D79A3">
            <w:pPr>
              <w:snapToGrid w:val="0"/>
              <w:spacing w:before="62" w:beforeLines="20" w:line="320" w:lineRule="exact"/>
              <w:rPr>
                <w:rFonts w:hint="eastAsia" w:ascii="宋体" w:hAnsi="宋体"/>
              </w:rPr>
            </w:pPr>
            <w:r>
              <w:rPr>
                <w:rFonts w:hint="eastAsia" w:ascii="宋体" w:hAnsi="宋体"/>
              </w:rPr>
              <w:t xml:space="preserve"> </w:t>
            </w:r>
            <w:r>
              <w:rPr>
                <w:rFonts w:hint="eastAsia" w:ascii="宋体" w:hAnsi="宋体"/>
                <w:szCs w:val="21"/>
              </w:rPr>
              <w:t>上海市规划和自然资源局</w:t>
            </w:r>
          </w:p>
        </w:tc>
      </w:tr>
      <w:tr w14:paraId="5CBF8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323" w:hRule="exact"/>
          <w:jc w:val="center"/>
        </w:trPr>
        <w:tc>
          <w:tcPr>
            <w:tcW w:w="0" w:type="auto"/>
            <w:gridSpan w:val="5"/>
            <w:tcBorders>
              <w:top w:val="single" w:color="auto" w:sz="4" w:space="0"/>
              <w:left w:val="single" w:color="auto" w:sz="12" w:space="0"/>
              <w:bottom w:val="nil"/>
              <w:right w:val="single" w:color="auto" w:sz="12" w:space="0"/>
            </w:tcBorders>
          </w:tcPr>
          <w:p w14:paraId="5E6ED3C8">
            <w:pPr>
              <w:snapToGrid w:val="0"/>
              <w:spacing w:before="62" w:beforeLines="20" w:line="240" w:lineRule="exact"/>
              <w:rPr>
                <w:rFonts w:eastAsia="黑体"/>
                <w:szCs w:val="21"/>
              </w:rPr>
            </w:pPr>
            <w:r>
              <w:rPr>
                <w:szCs w:val="21"/>
              </w:rPr>
              <w:t>具体计划、基金名称、项目名称和编号：（限300字）</w:t>
            </w:r>
          </w:p>
        </w:tc>
      </w:tr>
      <w:tr w14:paraId="3E81D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2440" w:hRule="exact"/>
          <w:jc w:val="center"/>
        </w:trPr>
        <w:tc>
          <w:tcPr>
            <w:tcW w:w="0" w:type="auto"/>
            <w:gridSpan w:val="5"/>
            <w:tcBorders>
              <w:top w:val="nil"/>
              <w:left w:val="single" w:color="auto" w:sz="12" w:space="0"/>
              <w:bottom w:val="single" w:color="auto" w:sz="2" w:space="0"/>
              <w:right w:val="single" w:color="auto" w:sz="12" w:space="0"/>
            </w:tcBorders>
          </w:tcPr>
          <w:p w14:paraId="3B9E8C8A">
            <w:pPr>
              <w:snapToGrid w:val="0"/>
              <w:spacing w:after="0" w:line="280" w:lineRule="exact"/>
              <w:ind w:left="840" w:hanging="840" w:hangingChars="400"/>
              <w:rPr>
                <w:szCs w:val="21"/>
              </w:rPr>
            </w:pPr>
            <w:r>
              <w:rPr>
                <w:rFonts w:hint="eastAsia"/>
                <w:szCs w:val="21"/>
              </w:rPr>
              <w:t>主项目：上海市自然资源调查利用研究院《土地利用计划联动管理与评价调节机制研究》（编号：20261010）</w:t>
            </w:r>
          </w:p>
          <w:p w14:paraId="4C82519D">
            <w:pPr>
              <w:snapToGrid w:val="0"/>
              <w:spacing w:after="0" w:line="280" w:lineRule="exact"/>
              <w:ind w:left="840" w:hanging="840" w:hangingChars="400"/>
              <w:rPr>
                <w:szCs w:val="21"/>
              </w:rPr>
            </w:pPr>
            <w:r>
              <w:rPr>
                <w:rFonts w:hint="eastAsia"/>
                <w:szCs w:val="21"/>
              </w:rPr>
              <w:t>子项目：1.上海市人民政府发展研究中心《上海城市更新中存量空间资源供应路径机制研究》（编号：20260742）；2.上海市发展和改革委员会《“十五五”期间上海提升土地资源利用效率的思路和重点举措研究》（编号：2024（D）-047（科））；</w:t>
            </w:r>
            <w:r>
              <w:rPr>
                <w:szCs w:val="21"/>
              </w:rPr>
              <w:t>3.</w:t>
            </w:r>
            <w:bookmarkStart w:id="0" w:name="_Hlk191546213"/>
            <w:r>
              <w:rPr>
                <w:rFonts w:hint="eastAsia"/>
                <w:szCs w:val="21"/>
              </w:rPr>
              <w:t>中国国土勘测规划院《高质量发展下城镇存量土地盘活利用模式研究》（编号：20241611363）；4.国家社会科学重大基金项目</w:t>
            </w:r>
            <w:bookmarkEnd w:id="0"/>
            <w:r>
              <w:rPr>
                <w:rFonts w:hint="eastAsia"/>
                <w:szCs w:val="21"/>
              </w:rPr>
              <w:t>《构建高质量的国土空间布局和支撑体系研究》（编号：</w:t>
            </w:r>
            <w:r>
              <w:rPr>
                <w:szCs w:val="21"/>
              </w:rPr>
              <w:t>21ZA064</w:t>
            </w:r>
            <w:r>
              <w:rPr>
                <w:rFonts w:hint="eastAsia"/>
                <w:szCs w:val="21"/>
              </w:rPr>
              <w:t>）。</w:t>
            </w:r>
          </w:p>
        </w:tc>
      </w:tr>
      <w:tr w14:paraId="274A3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22" w:hRule="exact"/>
          <w:jc w:val="center"/>
        </w:trPr>
        <w:tc>
          <w:tcPr>
            <w:tcW w:w="0" w:type="auto"/>
            <w:tcBorders>
              <w:top w:val="single" w:color="auto" w:sz="4" w:space="0"/>
              <w:left w:val="single" w:color="auto" w:sz="12" w:space="0"/>
              <w:bottom w:val="single" w:color="auto" w:sz="6" w:space="0"/>
              <w:right w:val="single" w:color="auto" w:sz="4" w:space="0"/>
            </w:tcBorders>
            <w:vAlign w:val="center"/>
          </w:tcPr>
          <w:p w14:paraId="1667892B">
            <w:pPr>
              <w:snapToGrid w:val="0"/>
              <w:spacing w:line="280" w:lineRule="exact"/>
              <w:jc w:val="center"/>
              <w:rPr>
                <w:rFonts w:eastAsia="楷体_GB2312"/>
                <w:szCs w:val="21"/>
              </w:rPr>
            </w:pPr>
            <w:r>
              <w:t>授权发明专利（项）</w:t>
            </w:r>
          </w:p>
        </w:tc>
        <w:tc>
          <w:tcPr>
            <w:tcW w:w="0" w:type="auto"/>
            <w:gridSpan w:val="2"/>
            <w:tcBorders>
              <w:top w:val="single" w:color="auto" w:sz="4" w:space="0"/>
              <w:left w:val="single" w:color="auto" w:sz="4" w:space="0"/>
              <w:bottom w:val="single" w:color="auto" w:sz="6" w:space="0"/>
              <w:right w:val="single" w:color="auto" w:sz="4" w:space="0"/>
            </w:tcBorders>
            <w:vAlign w:val="center"/>
          </w:tcPr>
          <w:p w14:paraId="1D05F5CA">
            <w:pPr>
              <w:snapToGrid w:val="0"/>
              <w:spacing w:line="280" w:lineRule="exact"/>
            </w:pPr>
            <w:r>
              <w:rPr>
                <w:rFonts w:hint="eastAsia"/>
              </w:rPr>
              <w:t>无</w:t>
            </w:r>
          </w:p>
        </w:tc>
        <w:tc>
          <w:tcPr>
            <w:tcW w:w="0" w:type="auto"/>
            <w:tcBorders>
              <w:top w:val="single" w:color="auto" w:sz="4" w:space="0"/>
              <w:left w:val="single" w:color="auto" w:sz="4" w:space="0"/>
              <w:bottom w:val="single" w:color="auto" w:sz="6" w:space="0"/>
              <w:right w:val="single" w:color="auto" w:sz="4" w:space="0"/>
            </w:tcBorders>
            <w:vAlign w:val="center"/>
          </w:tcPr>
          <w:p w14:paraId="08B2FE95">
            <w:pPr>
              <w:snapToGrid w:val="0"/>
              <w:spacing w:line="280" w:lineRule="exact"/>
            </w:pPr>
            <w:r>
              <w:t>授权的其他知识产权（项）</w:t>
            </w:r>
          </w:p>
        </w:tc>
        <w:tc>
          <w:tcPr>
            <w:tcW w:w="0" w:type="auto"/>
            <w:tcBorders>
              <w:top w:val="single" w:color="auto" w:sz="4" w:space="0"/>
              <w:left w:val="single" w:color="auto" w:sz="4" w:space="0"/>
              <w:bottom w:val="single" w:color="auto" w:sz="6" w:space="0"/>
              <w:right w:val="single" w:color="auto" w:sz="12" w:space="0"/>
            </w:tcBorders>
            <w:vAlign w:val="center"/>
          </w:tcPr>
          <w:p w14:paraId="55DD5672">
            <w:pPr>
              <w:snapToGrid w:val="0"/>
              <w:spacing w:line="280" w:lineRule="exact"/>
            </w:pPr>
            <w:r>
              <w:rPr>
                <w:rFonts w:hint="eastAsia"/>
              </w:rPr>
              <w:t>2</w:t>
            </w:r>
          </w:p>
        </w:tc>
      </w:tr>
      <w:tr w14:paraId="69C41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0" w:type="auto"/>
            <w:tcBorders>
              <w:left w:val="single" w:color="auto" w:sz="12" w:space="0"/>
            </w:tcBorders>
            <w:vAlign w:val="center"/>
          </w:tcPr>
          <w:p w14:paraId="64FBB9AB">
            <w:pPr>
              <w:snapToGrid w:val="0"/>
              <w:spacing w:line="360" w:lineRule="exact"/>
              <w:jc w:val="center"/>
              <w:rPr>
                <w:szCs w:val="21"/>
              </w:rPr>
            </w:pPr>
            <w:r>
              <w:rPr>
                <w:szCs w:val="21"/>
              </w:rPr>
              <w:t>项目起止时间</w:t>
            </w:r>
          </w:p>
        </w:tc>
        <w:tc>
          <w:tcPr>
            <w:tcW w:w="0" w:type="auto"/>
            <w:tcBorders>
              <w:right w:val="nil"/>
            </w:tcBorders>
            <w:vAlign w:val="center"/>
          </w:tcPr>
          <w:p w14:paraId="280ECF8E">
            <w:pPr>
              <w:snapToGrid w:val="0"/>
              <w:spacing w:line="280" w:lineRule="exact"/>
            </w:pPr>
            <w:r>
              <w:t>起始：</w:t>
            </w:r>
          </w:p>
        </w:tc>
        <w:tc>
          <w:tcPr>
            <w:tcW w:w="0" w:type="auto"/>
            <w:tcBorders>
              <w:left w:val="nil"/>
              <w:right w:val="single" w:color="auto" w:sz="4" w:space="0"/>
            </w:tcBorders>
            <w:vAlign w:val="center"/>
          </w:tcPr>
          <w:p w14:paraId="5B3D4CC8">
            <w:pPr>
              <w:snapToGrid w:val="0"/>
              <w:spacing w:line="280" w:lineRule="exact"/>
              <w:jc w:val="center"/>
            </w:pPr>
            <w:r>
              <w:t xml:space="preserve"> </w:t>
            </w:r>
            <w:r>
              <w:rPr>
                <w:rFonts w:hint="eastAsia"/>
              </w:rPr>
              <w:t>2020</w:t>
            </w:r>
            <w:r>
              <w:t xml:space="preserve">年 </w:t>
            </w:r>
            <w:r>
              <w:rPr>
                <w:rFonts w:hint="eastAsia"/>
              </w:rPr>
              <w:t>3</w:t>
            </w:r>
            <w:r>
              <w:t xml:space="preserve"> 月 </w:t>
            </w:r>
            <w:r>
              <w:rPr>
                <w:rFonts w:hint="eastAsia"/>
              </w:rPr>
              <w:t>1</w:t>
            </w:r>
            <w:r>
              <w:t xml:space="preserve"> 日 </w:t>
            </w:r>
          </w:p>
        </w:tc>
        <w:tc>
          <w:tcPr>
            <w:tcW w:w="0" w:type="auto"/>
            <w:tcBorders>
              <w:left w:val="single" w:color="auto" w:sz="4" w:space="0"/>
              <w:right w:val="nil"/>
            </w:tcBorders>
            <w:vAlign w:val="center"/>
          </w:tcPr>
          <w:p w14:paraId="59B77876">
            <w:pPr>
              <w:snapToGrid w:val="0"/>
              <w:spacing w:line="280" w:lineRule="exact"/>
              <w:jc w:val="center"/>
            </w:pPr>
            <w:r>
              <w:t>完成：</w:t>
            </w:r>
            <w:r>
              <w:rPr>
                <w:rFonts w:hint="eastAsia"/>
              </w:rPr>
              <w:t>2023</w:t>
            </w:r>
            <w:r>
              <w:t>年</w:t>
            </w:r>
            <w:r>
              <w:rPr>
                <w:rFonts w:hint="eastAsia"/>
              </w:rPr>
              <w:t>12</w:t>
            </w:r>
            <w:r>
              <w:t>月</w:t>
            </w:r>
            <w:r>
              <w:rPr>
                <w:rFonts w:hint="eastAsia"/>
              </w:rPr>
              <w:t>30</w:t>
            </w:r>
            <w:r>
              <w:t>日</w:t>
            </w:r>
          </w:p>
        </w:tc>
        <w:tc>
          <w:tcPr>
            <w:tcW w:w="0" w:type="auto"/>
            <w:tcBorders>
              <w:left w:val="nil"/>
              <w:right w:val="single" w:color="auto" w:sz="12" w:space="0"/>
            </w:tcBorders>
            <w:vAlign w:val="center"/>
          </w:tcPr>
          <w:p w14:paraId="6E951E9B">
            <w:pPr>
              <w:snapToGrid w:val="0"/>
              <w:spacing w:line="280" w:lineRule="exact"/>
            </w:pPr>
          </w:p>
        </w:tc>
      </w:tr>
      <w:tr w14:paraId="74521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0" w:type="auto"/>
            <w:tcBorders>
              <w:left w:val="single" w:color="auto" w:sz="12" w:space="0"/>
              <w:bottom w:val="single" w:color="auto" w:sz="12" w:space="0"/>
            </w:tcBorders>
            <w:vAlign w:val="center"/>
          </w:tcPr>
          <w:p w14:paraId="22684733">
            <w:pPr>
              <w:snapToGrid w:val="0"/>
              <w:spacing w:line="360" w:lineRule="exact"/>
              <w:jc w:val="center"/>
              <w:rPr>
                <w:szCs w:val="21"/>
              </w:rPr>
            </w:pPr>
            <w:r>
              <w:t>推荐等级</w:t>
            </w:r>
          </w:p>
        </w:tc>
        <w:tc>
          <w:tcPr>
            <w:tcW w:w="0" w:type="auto"/>
            <w:gridSpan w:val="4"/>
            <w:tcBorders>
              <w:bottom w:val="single" w:color="auto" w:sz="12" w:space="0"/>
              <w:right w:val="single" w:color="auto" w:sz="12" w:space="0"/>
            </w:tcBorders>
            <w:vAlign w:val="center"/>
          </w:tcPr>
          <w:p w14:paraId="15804134">
            <w:pPr>
              <w:tabs>
                <w:tab w:val="left" w:pos="2435"/>
                <w:tab w:val="center" w:pos="3256"/>
              </w:tabs>
              <w:snapToGrid w:val="0"/>
              <w:spacing w:line="360" w:lineRule="exact"/>
              <w:jc w:val="left"/>
            </w:pPr>
            <w:r>
              <w:rPr>
                <w:rFonts w:hint="eastAsia"/>
              </w:rPr>
              <w:t>一等奖或二等奖</w:t>
            </w:r>
          </w:p>
        </w:tc>
      </w:tr>
    </w:tbl>
    <w:p w14:paraId="0CDF779A">
      <w:pPr>
        <w:rPr>
          <w:rStyle w:val="10"/>
          <w:rFonts w:eastAsia="仿宋_GB2312"/>
          <w:szCs w:val="21"/>
        </w:rPr>
      </w:pPr>
    </w:p>
    <w:p w14:paraId="73FBF455">
      <w:pPr>
        <w:rPr>
          <w:rStyle w:val="10"/>
          <w:rFonts w:ascii="仿宋_GB2312" w:eastAsia="仿宋_GB2312"/>
          <w:szCs w:val="21"/>
        </w:rPr>
        <w:sectPr>
          <w:footerReference r:id="rId5" w:type="default"/>
          <w:pgSz w:w="11906" w:h="16838"/>
          <w:pgMar w:top="1440" w:right="1800" w:bottom="1440" w:left="1800" w:header="851" w:footer="992" w:gutter="0"/>
          <w:cols w:space="425" w:num="1"/>
          <w:docGrid w:type="lines" w:linePitch="312" w:charSpace="0"/>
        </w:sectPr>
      </w:pPr>
    </w:p>
    <w:p w14:paraId="23D95339">
      <w:pPr>
        <w:spacing w:after="156" w:afterLines="50" w:line="560" w:lineRule="exact"/>
        <w:ind w:firstLine="600" w:firstLineChars="200"/>
        <w:rPr>
          <w:rFonts w:hint="eastAsia" w:ascii="黑体" w:hAnsi="黑体" w:eastAsia="黑体"/>
          <w:sz w:val="30"/>
          <w:szCs w:val="30"/>
        </w:rPr>
      </w:pPr>
      <w:r>
        <w:rPr>
          <w:rFonts w:hint="eastAsia" w:ascii="黑体" w:hAnsi="黑体" w:eastAsia="黑体"/>
          <w:sz w:val="30"/>
          <w:szCs w:val="30"/>
        </w:rPr>
        <w:t>二、推荐意见</w:t>
      </w:r>
    </w:p>
    <w:p w14:paraId="635A6C60">
      <w:pPr>
        <w:widowControl/>
        <w:spacing w:line="560" w:lineRule="exact"/>
        <w:ind w:firstLine="480" w:firstLineChars="200"/>
        <w:rPr>
          <w:rFonts w:ascii="宋体" w:hAnsi="宋体"/>
          <w:sz w:val="24"/>
          <w:szCs w:val="24"/>
          <w:lang w:bidi="ar"/>
        </w:rPr>
      </w:pPr>
      <w:r>
        <w:rPr>
          <w:rFonts w:hint="eastAsia" w:ascii="宋体" w:hAnsi="宋体" w:cs="宋体"/>
          <w:kern w:val="0"/>
          <w:sz w:val="24"/>
          <w:szCs w:val="24"/>
          <w:lang w:bidi="ar"/>
        </w:rPr>
        <w:t>推荐单位</w:t>
      </w:r>
      <w:r>
        <w:rPr>
          <w:rFonts w:hint="eastAsia" w:ascii="宋体" w:hAnsi="宋体"/>
          <w:sz w:val="24"/>
          <w:szCs w:val="24"/>
          <w:lang w:bidi="ar"/>
        </w:rPr>
        <w:t>：上海市规划和自然资源局</w:t>
      </w:r>
    </w:p>
    <w:p w14:paraId="1EFC8155">
      <w:pPr>
        <w:widowControl/>
        <w:spacing w:line="560" w:lineRule="exact"/>
        <w:ind w:firstLine="480" w:firstLineChars="200"/>
        <w:rPr>
          <w:rFonts w:ascii="宋体" w:hAnsi="宋体"/>
          <w:sz w:val="24"/>
          <w:szCs w:val="24"/>
          <w:lang w:bidi="ar"/>
        </w:rPr>
      </w:pPr>
      <w:r>
        <w:rPr>
          <w:rFonts w:hint="eastAsia" w:ascii="宋体" w:hAnsi="宋体"/>
          <w:sz w:val="24"/>
          <w:szCs w:val="24"/>
          <w:lang w:bidi="ar"/>
        </w:rPr>
        <w:t>推荐意见：该项目立足“多规合一”改革和国土空间现代化治理要求，围绕存量提质阶段上海提高土地资源资产配置精准性和利用效率的现实需求，针对存量空间治理的</w:t>
      </w:r>
      <w:r>
        <w:rPr>
          <w:rFonts w:hint="eastAsia" w:ascii="宋体" w:hAnsi="宋体" w:cs="宋体"/>
          <w:kern w:val="0"/>
          <w:sz w:val="24"/>
          <w:szCs w:val="24"/>
          <w:lang w:bidi="ar"/>
        </w:rPr>
        <w:t>时空错配、供需失衡、价值贯通不足、利益协调难等问题瓶颈，</w:t>
      </w:r>
      <w:r>
        <w:rPr>
          <w:rFonts w:hint="eastAsia" w:ascii="宋体" w:hAnsi="宋体"/>
          <w:sz w:val="24"/>
          <w:szCs w:val="24"/>
          <w:lang w:bidi="ar"/>
        </w:rPr>
        <w:t>按照“理论框架、配置技术、政策完善、应用推广”研究范式，聚焦</w:t>
      </w:r>
      <w:r>
        <w:rPr>
          <w:rFonts w:hint="eastAsia" w:ascii="宋体" w:hAnsi="宋体" w:cs="宋体"/>
          <w:kern w:val="0"/>
          <w:sz w:val="24"/>
          <w:szCs w:val="24"/>
          <w:lang w:bidi="ar"/>
        </w:rPr>
        <w:t>经济、社会、生态、安全多维价值目标，构建资源资产配置时空联动调控、储供联动调配、全周期优化及系统化应用支持的土地资源资产配置体系，全面推广责任评估师制度及综合价值评估技术，研发资源价值潜力识别、项目选址优化、监测监管等数智化工具，</w:t>
      </w:r>
      <w:r>
        <w:rPr>
          <w:rFonts w:hint="eastAsia" w:ascii="宋体" w:hAnsi="宋体"/>
          <w:sz w:val="24"/>
          <w:szCs w:val="24"/>
          <w:lang w:bidi="ar"/>
        </w:rPr>
        <w:t>大幅度提高存量资源配置效益效率、提升空间治理能力水平。项目创新土地资源资产配置</w:t>
      </w:r>
      <w:r>
        <w:rPr>
          <w:rFonts w:hint="eastAsia" w:ascii="宋体" w:hAnsi="宋体" w:cs="宋体"/>
          <w:kern w:val="0"/>
          <w:sz w:val="24"/>
          <w:szCs w:val="24"/>
          <w:lang w:bidi="ar"/>
        </w:rPr>
        <w:t>“规储供用维”全周期多环节、精细化治理技术，在我国同类研究和实践中具有创新性、前瞻性和较强的应用推广价值。</w:t>
      </w:r>
    </w:p>
    <w:p w14:paraId="57FA6747">
      <w:pPr>
        <w:widowControl/>
        <w:spacing w:line="560" w:lineRule="exact"/>
        <w:ind w:firstLine="480" w:firstLineChars="200"/>
        <w:rPr>
          <w:rFonts w:ascii="宋体" w:hAnsi="宋体"/>
          <w:sz w:val="24"/>
          <w:szCs w:val="24"/>
        </w:rPr>
      </w:pPr>
      <w:r>
        <w:rPr>
          <w:rFonts w:hint="eastAsia" w:ascii="宋体" w:hAnsi="宋体"/>
          <w:sz w:val="24"/>
          <w:szCs w:val="24"/>
        </w:rPr>
        <w:t>项目应用效果显著，项目成果在全市广泛引用，全面支撑全市域土地资源资产统筹安排、存量空间盘活更新、产业用地“保量控价”等专项工作取得显著进展；项目成果直接支持了国家、地方盘活存量土地相关政策文件和标准出台，《上海市实施&lt;中华人民共和国土地管理法&gt;办法》、《上海市加强土地管理“十五五”规划》、城市更新责任评估师工作模式取得了制度性改革创新，形成可复制的地方模式；技术成果转化为节约集约建设用地标准、城乡基准地价2026版、工业综合绩效评估标准（征求意见稿）、“三区三线”实施评估标准（送审稿）等地方技术性文件；项目还指导了全市90平方公里低效产业用地分类处置、全市土地储备潜力空间识别，支撑大吴淞地区专项规划、详细规划以及“标地营造”经济可行性优化，有效带动存量空间资源流量增效和成本降低。应用实践表明，项目技术有效提升了规划资源管理的科学性、系统性与精细化水平，促进了存量空间优化和资源资产高效利用，经济、社会、生态、安全等综合效益突出。</w:t>
      </w:r>
    </w:p>
    <w:p w14:paraId="3C5900FC">
      <w:pPr>
        <w:widowControl/>
        <w:spacing w:line="560" w:lineRule="exact"/>
        <w:ind w:firstLine="480" w:firstLineChars="200"/>
        <w:rPr>
          <w:rFonts w:ascii="宋体" w:hAnsi="宋体"/>
          <w:sz w:val="24"/>
          <w:szCs w:val="24"/>
          <w:lang w:bidi="ar"/>
        </w:rPr>
      </w:pPr>
      <w:r>
        <w:rPr>
          <w:rFonts w:hint="eastAsia" w:ascii="宋体" w:hAnsi="宋体"/>
          <w:sz w:val="24"/>
          <w:szCs w:val="24"/>
          <w:lang w:bidi="ar"/>
        </w:rPr>
        <w:t>同意推荐该项目申报2026年自然资源科学技术奖。</w:t>
      </w:r>
    </w:p>
    <w:p w14:paraId="3D87967E">
      <w:pPr>
        <w:spacing w:after="156" w:afterLines="50" w:line="560" w:lineRule="exact"/>
        <w:ind w:firstLine="600" w:firstLineChars="200"/>
        <w:rPr>
          <w:rFonts w:hint="eastAsia" w:ascii="黑体" w:hAnsi="黑体" w:eastAsia="黑体"/>
          <w:sz w:val="30"/>
          <w:szCs w:val="30"/>
        </w:rPr>
      </w:pPr>
      <w:r>
        <w:rPr>
          <w:rFonts w:hint="eastAsia" w:ascii="黑体" w:hAnsi="黑体" w:eastAsia="黑体"/>
          <w:sz w:val="30"/>
          <w:szCs w:val="30"/>
        </w:rPr>
        <w:t>三、成果简介</w:t>
      </w:r>
    </w:p>
    <w:p w14:paraId="15A53C8A">
      <w:pPr>
        <w:widowControl/>
        <w:spacing w:line="560" w:lineRule="exact"/>
        <w:ind w:firstLine="480" w:firstLineChars="200"/>
        <w:rPr>
          <w:rFonts w:hint="eastAsia" w:ascii="宋体" w:hAnsi="宋体" w:cs="宋体"/>
          <w:kern w:val="0"/>
          <w:sz w:val="24"/>
          <w:szCs w:val="24"/>
          <w:lang w:bidi="ar"/>
        </w:rPr>
      </w:pPr>
      <w:bookmarkStart w:id="1" w:name="xm_brief"/>
      <w:bookmarkEnd w:id="1"/>
      <w:bookmarkStart w:id="2" w:name="xx_brief"/>
      <w:bookmarkEnd w:id="2"/>
      <w:bookmarkStart w:id="3" w:name="OLE_LINK5"/>
      <w:r>
        <w:rPr>
          <w:rFonts w:hint="eastAsia" w:ascii="宋体" w:hAnsi="宋体" w:cs="宋体"/>
          <w:kern w:val="0"/>
          <w:sz w:val="24"/>
          <w:szCs w:val="24"/>
          <w:lang w:bidi="ar"/>
        </w:rPr>
        <w:t>土地资源资产优化配置是</w:t>
      </w:r>
      <w:r>
        <w:rPr>
          <w:rFonts w:ascii="宋体" w:hAnsi="宋体" w:cs="宋体"/>
          <w:kern w:val="0"/>
          <w:sz w:val="24"/>
          <w:szCs w:val="24"/>
          <w:lang w:bidi="ar"/>
        </w:rPr>
        <w:t>破解资源</w:t>
      </w:r>
      <w:r>
        <w:rPr>
          <w:rFonts w:hint="eastAsia" w:ascii="宋体" w:hAnsi="宋体" w:cs="宋体"/>
          <w:kern w:val="0"/>
          <w:sz w:val="24"/>
          <w:szCs w:val="24"/>
          <w:lang w:bidi="ar"/>
        </w:rPr>
        <w:t>环境紧约束</w:t>
      </w:r>
      <w:r>
        <w:rPr>
          <w:rFonts w:ascii="宋体" w:hAnsi="宋体" w:cs="宋体"/>
          <w:kern w:val="0"/>
          <w:sz w:val="24"/>
          <w:szCs w:val="24"/>
          <w:lang w:bidi="ar"/>
        </w:rPr>
        <w:t>瓶颈、</w:t>
      </w:r>
      <w:r>
        <w:rPr>
          <w:rFonts w:hint="eastAsia" w:ascii="宋体" w:hAnsi="宋体" w:cs="宋体"/>
          <w:kern w:val="0"/>
          <w:sz w:val="24"/>
          <w:szCs w:val="24"/>
          <w:lang w:bidi="ar"/>
        </w:rPr>
        <w:t>加快推进超大城市发展方式转变的重要举措。当前，上海已全面进入</w:t>
      </w:r>
      <w:r>
        <w:rPr>
          <w:rFonts w:ascii="宋体" w:hAnsi="宋体" w:cs="宋体"/>
          <w:kern w:val="0"/>
          <w:sz w:val="24"/>
          <w:szCs w:val="24"/>
          <w:lang w:bidi="ar"/>
        </w:rPr>
        <w:t>存量提质、精细治理的高质量发展阶段，</w:t>
      </w:r>
      <w:r>
        <w:rPr>
          <w:rFonts w:hint="eastAsia" w:ascii="宋体" w:hAnsi="宋体" w:cs="宋体"/>
          <w:kern w:val="0"/>
          <w:sz w:val="24"/>
          <w:szCs w:val="24"/>
          <w:lang w:bidi="ar"/>
        </w:rPr>
        <w:t>本课题立足土地资源配置效率最优化和效益最大化的需求，针对理论适配不足、时空错配、供需失衡、价值显化不足等问题瓶颈，构建了覆盖“理论框架体系、配置技术支撑、政策制度完善、应用推广验证”的土地资源配置体系，为我国超大城市国土空间治理提供了示范引领。</w:t>
      </w:r>
    </w:p>
    <w:p w14:paraId="7F1028A9">
      <w:pPr>
        <w:widowControl/>
        <w:spacing w:line="560" w:lineRule="exact"/>
        <w:ind w:firstLine="482" w:firstLineChars="200"/>
        <w:rPr>
          <w:rFonts w:hint="eastAsia" w:ascii="宋体" w:hAnsi="宋体" w:cs="宋体"/>
          <w:kern w:val="0"/>
          <w:sz w:val="24"/>
          <w:szCs w:val="24"/>
          <w:lang w:bidi="ar"/>
        </w:rPr>
      </w:pPr>
      <w:r>
        <w:rPr>
          <w:rFonts w:hint="eastAsia" w:ascii="宋体" w:hAnsi="宋体" w:cs="宋体"/>
          <w:b/>
          <w:bCs/>
          <w:kern w:val="0"/>
          <w:sz w:val="24"/>
          <w:szCs w:val="24"/>
          <w:lang w:bidi="ar"/>
        </w:rPr>
        <w:t>1</w:t>
      </w:r>
      <w:r>
        <w:rPr>
          <w:rFonts w:ascii="宋体" w:hAnsi="宋体" w:cs="宋体"/>
          <w:b/>
          <w:bCs/>
          <w:kern w:val="0"/>
          <w:sz w:val="24"/>
          <w:szCs w:val="24"/>
          <w:lang w:bidi="ar"/>
        </w:rPr>
        <w:t>.</w:t>
      </w:r>
      <w:r>
        <w:rPr>
          <w:rFonts w:hint="eastAsia" w:ascii="宋体" w:hAnsi="宋体" w:cs="宋体"/>
          <w:b/>
          <w:bCs/>
          <w:kern w:val="0"/>
          <w:sz w:val="24"/>
          <w:szCs w:val="24"/>
          <w:lang w:bidi="ar"/>
        </w:rPr>
        <w:t>构建多维联动协同的土地资源资产配置体系框架，</w:t>
      </w:r>
      <w:r>
        <w:rPr>
          <w:rFonts w:ascii="宋体" w:hAnsi="宋体" w:cs="宋体"/>
          <w:b/>
          <w:bCs/>
          <w:kern w:val="0"/>
          <w:sz w:val="24"/>
          <w:szCs w:val="24"/>
          <w:lang w:bidi="ar"/>
        </w:rPr>
        <w:t>规避传统资源资产</w:t>
      </w:r>
      <w:r>
        <w:rPr>
          <w:rFonts w:hint="eastAsia" w:ascii="宋体" w:hAnsi="宋体" w:cs="宋体"/>
          <w:b/>
          <w:bCs/>
          <w:kern w:val="0"/>
          <w:sz w:val="24"/>
          <w:szCs w:val="24"/>
          <w:lang w:bidi="ar"/>
        </w:rPr>
        <w:t>单维度</w:t>
      </w:r>
      <w:r>
        <w:rPr>
          <w:rFonts w:ascii="宋体" w:hAnsi="宋体" w:cs="宋体"/>
          <w:b/>
          <w:bCs/>
          <w:kern w:val="0"/>
          <w:sz w:val="24"/>
          <w:szCs w:val="24"/>
          <w:lang w:bidi="ar"/>
        </w:rPr>
        <w:t>配置效能不足</w:t>
      </w:r>
      <w:r>
        <w:rPr>
          <w:rFonts w:hint="eastAsia" w:ascii="宋体" w:hAnsi="宋体" w:cs="宋体"/>
          <w:b/>
          <w:bCs/>
          <w:kern w:val="0"/>
          <w:sz w:val="24"/>
          <w:szCs w:val="24"/>
          <w:lang w:bidi="ar"/>
        </w:rPr>
        <w:t>的弊端。</w:t>
      </w:r>
      <w:r>
        <w:rPr>
          <w:rFonts w:hint="eastAsia" w:ascii="宋体" w:hAnsi="宋体" w:cs="宋体"/>
          <w:kern w:val="0"/>
          <w:sz w:val="24"/>
          <w:szCs w:val="24"/>
          <w:lang w:bidi="ar"/>
        </w:rPr>
        <w:t>以城市内涵式高质量发展为目标，重塑经济、社会、生态、安全多维价值贯通、“规储供用维”全周期多环节驱动的土地资源资产配置体系，融合城市经营、资产运营的理论方法，全面推广责任评估师制度及城市更新综合价值评估技术，填补了超大城市土地资源优化配置理论的研究空白。</w:t>
      </w:r>
    </w:p>
    <w:p w14:paraId="29F4D3E2">
      <w:pPr>
        <w:widowControl/>
        <w:spacing w:line="560" w:lineRule="exact"/>
        <w:ind w:firstLine="482" w:firstLineChars="200"/>
        <w:rPr>
          <w:rFonts w:hint="eastAsia" w:ascii="宋体" w:hAnsi="宋体" w:cs="宋体"/>
          <w:kern w:val="0"/>
          <w:sz w:val="24"/>
          <w:szCs w:val="24"/>
          <w:lang w:bidi="ar"/>
        </w:rPr>
      </w:pPr>
      <w:r>
        <w:rPr>
          <w:rStyle w:val="9"/>
          <w:rFonts w:ascii="宋体" w:hAnsi="宋体" w:cs="宋体"/>
          <w:kern w:val="0"/>
          <w:sz w:val="24"/>
          <w:szCs w:val="24"/>
          <w:lang w:bidi="ar"/>
        </w:rPr>
        <w:t>2.</w:t>
      </w:r>
      <w:r>
        <w:rPr>
          <w:rStyle w:val="9"/>
          <w:rFonts w:hint="eastAsia" w:ascii="宋体" w:hAnsi="宋体" w:cs="宋体"/>
          <w:kern w:val="0"/>
          <w:sz w:val="24"/>
          <w:szCs w:val="24"/>
          <w:lang w:bidi="ar"/>
        </w:rPr>
        <w:t>创新资源资产配置时空联动调控技术，实现静态资源分配向流量价值提升转变。</w:t>
      </w:r>
      <w:r>
        <w:rPr>
          <w:rFonts w:hint="eastAsia" w:ascii="宋体" w:hAnsi="宋体" w:cs="宋体"/>
          <w:kern w:val="0"/>
          <w:sz w:val="24"/>
          <w:szCs w:val="24"/>
          <w:lang w:bidi="ar"/>
        </w:rPr>
        <w:t>构建“战略区域引导+</w:t>
      </w:r>
      <w:r>
        <w:rPr>
          <w:rFonts w:ascii="宋体" w:hAnsi="宋体" w:cs="宋体"/>
          <w:kern w:val="0"/>
          <w:sz w:val="24"/>
          <w:szCs w:val="24"/>
          <w:lang w:bidi="ar"/>
        </w:rPr>
        <w:t>低效用地识别</w:t>
      </w:r>
      <w:r>
        <w:rPr>
          <w:rFonts w:hint="eastAsia" w:ascii="宋体" w:hAnsi="宋体" w:cs="宋体"/>
          <w:kern w:val="0"/>
          <w:sz w:val="24"/>
          <w:szCs w:val="24"/>
          <w:lang w:bidi="ar"/>
        </w:rPr>
        <w:t>+</w:t>
      </w:r>
      <w:r>
        <w:rPr>
          <w:rFonts w:ascii="宋体" w:hAnsi="宋体" w:cs="宋体"/>
          <w:kern w:val="0"/>
          <w:sz w:val="24"/>
          <w:szCs w:val="24"/>
          <w:lang w:bidi="ar"/>
        </w:rPr>
        <w:t>空间价值挖潜</w:t>
      </w:r>
      <w:r>
        <w:rPr>
          <w:rFonts w:hint="eastAsia" w:ascii="宋体" w:hAnsi="宋体" w:cs="宋体"/>
          <w:kern w:val="0"/>
          <w:sz w:val="24"/>
          <w:szCs w:val="24"/>
          <w:lang w:bidi="ar"/>
        </w:rPr>
        <w:t>”的资源潜力评估体系，识别可实施的流量资源潜力；构建“市域-区划-片区”多尺度、“5年-3年-1年”跨周期的土地资源资产配置时空调控技术，形成“以用定减、以减定增；存量优先、以增带存”联动规则，破解时空错配、资源运行效率低的难题。</w:t>
      </w:r>
    </w:p>
    <w:p w14:paraId="30713B93">
      <w:pPr>
        <w:widowControl/>
        <w:spacing w:line="560" w:lineRule="exact"/>
        <w:ind w:firstLine="482" w:firstLineChars="200"/>
        <w:rPr>
          <w:rFonts w:hint="eastAsia" w:ascii="宋体" w:hAnsi="宋体" w:cs="宋体"/>
          <w:kern w:val="0"/>
          <w:sz w:val="24"/>
          <w:szCs w:val="24"/>
          <w:lang w:bidi="ar"/>
        </w:rPr>
      </w:pPr>
      <w:r>
        <w:rPr>
          <w:rStyle w:val="9"/>
          <w:rFonts w:ascii="宋体" w:hAnsi="宋体" w:cs="宋体"/>
          <w:kern w:val="0"/>
          <w:sz w:val="24"/>
          <w:szCs w:val="24"/>
          <w:lang w:bidi="ar"/>
        </w:rPr>
        <w:t>3.</w:t>
      </w:r>
      <w:r>
        <w:rPr>
          <w:rStyle w:val="9"/>
          <w:rFonts w:hint="eastAsia" w:ascii="宋体" w:hAnsi="宋体" w:cs="宋体"/>
          <w:kern w:val="0"/>
          <w:sz w:val="24"/>
          <w:szCs w:val="24"/>
          <w:lang w:bidi="ar"/>
        </w:rPr>
        <w:t>创新土地储供联动调配技术，</w:t>
      </w:r>
      <w:r>
        <w:rPr>
          <w:rFonts w:hint="eastAsia" w:ascii="宋体" w:hAnsi="宋体" w:cs="宋体"/>
          <w:b/>
          <w:kern w:val="0"/>
          <w:sz w:val="24"/>
          <w:szCs w:val="24"/>
          <w:lang w:bidi="ar"/>
        </w:rPr>
        <w:t>破解资源</w:t>
      </w:r>
      <w:r>
        <w:rPr>
          <w:rFonts w:ascii="宋体" w:hAnsi="宋体" w:cs="宋体"/>
          <w:b/>
          <w:kern w:val="0"/>
          <w:sz w:val="24"/>
          <w:szCs w:val="24"/>
          <w:lang w:bidi="ar"/>
        </w:rPr>
        <w:t>供需匹配失衡、功能协同失调等技术瓶颈。</w:t>
      </w:r>
      <w:r>
        <w:rPr>
          <w:rFonts w:hint="eastAsia" w:ascii="宋体" w:hAnsi="宋体" w:cs="宋体"/>
          <w:kern w:val="0"/>
          <w:sz w:val="24"/>
          <w:szCs w:val="24"/>
          <w:lang w:bidi="ar"/>
        </w:rPr>
        <w:t>以强化规划实施的空间支撑和要素保障作用为牵引，研发不同分区、不同功能用地储供联动水平测度、阈值确定及分级评估技术，集成创新“以规定储、以储保供、以供引储”的储供联动调节方法，促进土地资源配置与城市功能完善、土地市场需求精准适配。</w:t>
      </w:r>
    </w:p>
    <w:p w14:paraId="03075245">
      <w:pPr>
        <w:widowControl/>
        <w:spacing w:line="560" w:lineRule="exact"/>
        <w:ind w:firstLine="482" w:firstLineChars="200"/>
        <w:rPr>
          <w:rFonts w:hint="eastAsia" w:ascii="宋体" w:hAnsi="宋体" w:cs="宋体"/>
          <w:kern w:val="0"/>
          <w:sz w:val="24"/>
          <w:szCs w:val="24"/>
          <w:lang w:bidi="ar"/>
        </w:rPr>
      </w:pPr>
      <w:r>
        <w:rPr>
          <w:rFonts w:hint="eastAsia" w:ascii="宋体" w:hAnsi="宋体" w:cs="宋体"/>
          <w:b/>
          <w:bCs/>
          <w:kern w:val="0"/>
          <w:sz w:val="24"/>
          <w:szCs w:val="24"/>
          <w:lang w:bidi="ar"/>
        </w:rPr>
        <w:t>4.创新全周期优化配置技术，打通综合价值在多维度、多环节、多角色联动协同的机制断路。</w:t>
      </w:r>
      <w:r>
        <w:rPr>
          <w:rFonts w:hint="eastAsia" w:ascii="宋体" w:hAnsi="宋体" w:cs="宋体"/>
          <w:kern w:val="0"/>
          <w:sz w:val="24"/>
          <w:szCs w:val="24"/>
          <w:lang w:bidi="ar"/>
        </w:rPr>
        <w:t>采用模糊综合评价法建立“经济、社会、生态、安全”四位一体综合价值集成评估体系，构建可计算、可比较的资产配置估算模型，创新设计“价值发现—价值创造—价值实现”全链条价值贯通技术路径，以配置方式弹性和空间用途管制弹性技术，支撑“规储供用维”多环节互动传导与配置动态优化。</w:t>
      </w:r>
    </w:p>
    <w:p w14:paraId="4AEBC8B4">
      <w:pPr>
        <w:widowControl/>
        <w:spacing w:line="560" w:lineRule="exact"/>
        <w:ind w:firstLine="482" w:firstLineChars="200"/>
        <w:rPr>
          <w:rFonts w:hint="eastAsia" w:ascii="宋体" w:hAnsi="宋体" w:cs="宋体"/>
          <w:kern w:val="0"/>
          <w:sz w:val="24"/>
          <w:szCs w:val="24"/>
          <w:lang w:bidi="ar"/>
        </w:rPr>
      </w:pPr>
      <w:r>
        <w:rPr>
          <w:rFonts w:hint="eastAsia" w:ascii="宋体" w:hAnsi="宋体" w:cs="宋体"/>
          <w:b/>
          <w:bCs/>
          <w:kern w:val="0"/>
          <w:sz w:val="24"/>
          <w:szCs w:val="24"/>
          <w:lang w:bidi="ar"/>
        </w:rPr>
        <w:t>5.打造土地资源资产优化配置系统化支持体系，形成全域大规模实践应用成效。</w:t>
      </w:r>
      <w:r>
        <w:rPr>
          <w:rFonts w:hint="eastAsia" w:ascii="宋体" w:hAnsi="宋体" w:cs="宋体"/>
          <w:kern w:val="0"/>
          <w:sz w:val="24"/>
          <w:szCs w:val="24"/>
          <w:lang w:bidi="ar"/>
        </w:rPr>
        <w:t>项目形成土地资源资产配置“理论-技术-示范-全域推广”的全方位应用支持体系，支撑国家及地方存量土地盘活制度性改革创新，丰富了上海城乡基准地价2026版更新成果编制技术及应用，形成多部技术标准指导全市产业用地综合绩效评估、责任评估师行业专业力量培育等关键工作，建设数智化仿真场景支撑服务资源资产配置管理决策平台，应用于上海加强土地管理“十五五”规划及重点地区规划编制实施和城市更新盘活项目实施，形成可为全国同类城市复制推广的超大城市空间治理上海方案。</w:t>
      </w:r>
    </w:p>
    <w:p w14:paraId="527F7E9A">
      <w:pPr>
        <w:widowControl/>
        <w:spacing w:line="560" w:lineRule="exact"/>
        <w:ind w:firstLine="480" w:firstLineChars="200"/>
        <w:rPr>
          <w:rFonts w:hint="eastAsia" w:ascii="宋体" w:hAnsi="宋体" w:cs="宋体"/>
          <w:kern w:val="0"/>
          <w:sz w:val="24"/>
          <w:szCs w:val="24"/>
          <w:lang w:bidi="ar"/>
        </w:rPr>
      </w:pPr>
      <w:r>
        <w:rPr>
          <w:rFonts w:hint="eastAsia" w:ascii="宋体" w:hAnsi="宋体" w:cs="宋体"/>
          <w:kern w:val="0"/>
          <w:sz w:val="24"/>
          <w:szCs w:val="24"/>
          <w:lang w:bidi="ar"/>
        </w:rPr>
        <w:t>依托研究成果，编制技术标准3部（完成1部，在编2部）、法律法规1件、政策文件10余项，获得软件著作权1项，主编或参编专著4本，发表学术论文20余篇。相关成果获得上海市委市政府领导批示5项，自然资源部优秀调研成果1项，解放日报、文汇报等主流媒体宣传报道多次，自然资源部相关司局及北京、深圳、浙江等相关部门来访交流经验30余次。</w:t>
      </w:r>
    </w:p>
    <w:bookmarkEnd w:id="3"/>
    <w:p w14:paraId="0028C94B">
      <w:pPr>
        <w:numPr>
          <w:ilvl w:val="0"/>
          <w:numId w:val="1"/>
        </w:numPr>
        <w:spacing w:after="156" w:afterLines="50" w:line="560" w:lineRule="exact"/>
        <w:ind w:firstLine="600" w:firstLineChars="200"/>
        <w:rPr>
          <w:rFonts w:hint="eastAsia" w:ascii="黑体" w:hAnsi="黑体" w:eastAsia="黑体"/>
          <w:sz w:val="30"/>
          <w:szCs w:val="30"/>
        </w:rPr>
      </w:pPr>
      <w:r>
        <w:rPr>
          <w:rFonts w:hint="eastAsia" w:ascii="黑体" w:hAnsi="黑体" w:eastAsia="黑体"/>
          <w:sz w:val="30"/>
          <w:szCs w:val="30"/>
        </w:rPr>
        <w:t>客观评价</w:t>
      </w:r>
    </w:p>
    <w:p w14:paraId="37BEF293">
      <w:pPr>
        <w:numPr>
          <w:ilvl w:val="0"/>
          <w:numId w:val="2"/>
        </w:numPr>
        <w:autoSpaceDE w:val="0"/>
        <w:adjustRightInd w:val="0"/>
        <w:snapToGrid w:val="0"/>
        <w:spacing w:before="156" w:beforeLines="50" w:after="156" w:afterLines="50" w:line="560" w:lineRule="exact"/>
        <w:ind w:firstLine="482" w:firstLineChars="200"/>
        <w:jc w:val="left"/>
        <w:rPr>
          <w:rFonts w:hint="eastAsia" w:ascii="宋体" w:hAnsi="宋体"/>
          <w:b/>
          <w:bCs/>
          <w:sz w:val="24"/>
          <w:szCs w:val="24"/>
        </w:rPr>
      </w:pPr>
      <w:r>
        <w:rPr>
          <w:rFonts w:hint="eastAsia" w:ascii="宋体" w:hAnsi="宋体"/>
          <w:b/>
          <w:bCs/>
          <w:sz w:val="24"/>
          <w:szCs w:val="24"/>
        </w:rPr>
        <w:t>专家组评价</w:t>
      </w:r>
    </w:p>
    <w:p w14:paraId="336CD150">
      <w:pPr>
        <w:pStyle w:val="6"/>
        <w:autoSpaceDE w:val="0"/>
        <w:adjustRightInd w:val="0"/>
        <w:snapToGrid w:val="0"/>
        <w:spacing w:beforeAutospacing="0" w:after="0" w:afterAutospacing="0" w:line="560" w:lineRule="exact"/>
        <w:ind w:firstLine="480" w:firstLineChars="200"/>
        <w:jc w:val="both"/>
        <w:rPr>
          <w:rFonts w:hint="eastAsia" w:ascii="宋体" w:hAnsi="宋体"/>
          <w:szCs w:val="24"/>
        </w:rPr>
      </w:pPr>
      <w:r>
        <w:rPr>
          <w:rFonts w:hint="eastAsia" w:ascii="宋体" w:hAnsi="宋体"/>
          <w:szCs w:val="24"/>
        </w:rPr>
        <w:t>同济大学周俭、中国国土勘测规划院贾克敬、浙江大学岳文泽、同济大学何芳、上海土地学会秘书长施玉麒等专家对本项目进行了验收，认为项目立足土地资源配置效率最优化和效益最大化的需求，创新性构建了土地资源资产配置的多维联动协同体系框架，建立“经济、社会、生态、安全”四维一体、“规储供用维”全周期贯通的土地资源资产配置体系，“理论技术-典型示范-全域推广”的实践应用体系，成果应用于上海相关规划编制实施和城市更新项目实施土地管理制度改革，形成了可复制、可推广的经验。专家一致认为项目成果技术体系完整、创新性突出、应用成效显著，具有很强的应用推广价值，达到国内外领先水平。</w:t>
      </w:r>
    </w:p>
    <w:p w14:paraId="70A6BF1A">
      <w:pPr>
        <w:pStyle w:val="6"/>
        <w:autoSpaceDE w:val="0"/>
        <w:adjustRightInd w:val="0"/>
        <w:snapToGrid w:val="0"/>
        <w:spacing w:beforeAutospacing="0" w:after="0" w:afterAutospacing="0" w:line="560" w:lineRule="exact"/>
        <w:ind w:firstLine="482" w:firstLineChars="200"/>
        <w:jc w:val="both"/>
        <w:rPr>
          <w:rFonts w:hint="eastAsia" w:ascii="宋体" w:hAnsi="宋体"/>
          <w:szCs w:val="24"/>
        </w:rPr>
      </w:pPr>
      <w:r>
        <w:rPr>
          <w:rFonts w:hint="eastAsia" w:ascii="宋体" w:hAnsi="宋体"/>
          <w:b/>
          <w:bCs/>
          <w:szCs w:val="24"/>
        </w:rPr>
        <w:t>（二）行业领域客观评价</w:t>
      </w:r>
    </w:p>
    <w:p w14:paraId="47FE4EDE">
      <w:pPr>
        <w:pStyle w:val="6"/>
        <w:autoSpaceDE w:val="0"/>
        <w:adjustRightInd w:val="0"/>
        <w:snapToGrid w:val="0"/>
        <w:spacing w:before="100" w:after="100" w:line="560" w:lineRule="exact"/>
        <w:ind w:firstLine="480" w:firstLineChars="200"/>
        <w:rPr>
          <w:rFonts w:ascii="宋体" w:hAnsi="宋体"/>
          <w:szCs w:val="24"/>
        </w:rPr>
      </w:pPr>
      <w:r>
        <w:rPr>
          <w:rFonts w:hint="eastAsia" w:ascii="宋体" w:hAnsi="宋体"/>
          <w:szCs w:val="24"/>
        </w:rPr>
        <w:t>有关管理部门、科研院所、高校、行业协会及区级实施单位一致认为，项目面向存量时代超大城市国土空间治理，项目构建覆盖规划、储备、供应、利用、维护全周期，兼顾经济、社会、生态、安全效益的多维联动协同治理框架，形成资源精准配置、价值提升、市场响应、治理效能提升等成套方法，补齐存量土地精细化管理短板。项目创新“三师联创”机制，将权益平衡、方案比选、资产运营跟踪嵌入规划全流程，兼顾资产保值增值与公共目标，推动治理由空间管控向全流程价值增益转变，打通土地全生命周期价值实现通道。成果已在市域、重点转型片区、郊野单元等落地，支撑规划编制衔接，并在重点老工业片区落实存量挖潜与效益平衡，破解整体转型难题，实践成效突出。</w:t>
      </w:r>
    </w:p>
    <w:p w14:paraId="10FE87C6">
      <w:pPr>
        <w:pStyle w:val="6"/>
        <w:autoSpaceDE w:val="0"/>
        <w:adjustRightInd w:val="0"/>
        <w:snapToGrid w:val="0"/>
        <w:spacing w:before="100" w:after="100" w:line="560" w:lineRule="exact"/>
        <w:ind w:firstLine="480" w:firstLineChars="200"/>
        <w:rPr>
          <w:rFonts w:ascii="宋体" w:hAnsi="宋体"/>
          <w:szCs w:val="24"/>
        </w:rPr>
      </w:pPr>
    </w:p>
    <w:p w14:paraId="3F687A95">
      <w:pPr>
        <w:pStyle w:val="6"/>
        <w:autoSpaceDE w:val="0"/>
        <w:adjustRightInd w:val="0"/>
        <w:snapToGrid w:val="0"/>
        <w:spacing w:before="100" w:after="100" w:line="560" w:lineRule="exact"/>
        <w:ind w:firstLine="480" w:firstLineChars="200"/>
        <w:rPr>
          <w:rFonts w:ascii="宋体" w:hAnsi="宋体"/>
          <w:szCs w:val="24"/>
        </w:rPr>
      </w:pPr>
    </w:p>
    <w:p w14:paraId="1EA796F4">
      <w:pPr>
        <w:pStyle w:val="6"/>
        <w:autoSpaceDE w:val="0"/>
        <w:adjustRightInd w:val="0"/>
        <w:snapToGrid w:val="0"/>
        <w:spacing w:before="100" w:after="100" w:line="560" w:lineRule="exact"/>
        <w:ind w:firstLine="480" w:firstLineChars="200"/>
        <w:rPr>
          <w:rFonts w:hint="eastAsia" w:ascii="宋体" w:hAnsi="宋体"/>
          <w:szCs w:val="24"/>
        </w:rPr>
      </w:pPr>
    </w:p>
    <w:p w14:paraId="02246F65">
      <w:pPr>
        <w:numPr>
          <w:ilvl w:val="0"/>
          <w:numId w:val="1"/>
        </w:numPr>
        <w:spacing w:after="156" w:afterLines="50" w:line="600" w:lineRule="exact"/>
        <w:ind w:firstLine="600" w:firstLineChars="200"/>
        <w:rPr>
          <w:rFonts w:hint="eastAsia" w:ascii="黑体" w:hAnsi="黑体" w:eastAsia="黑体"/>
          <w:sz w:val="30"/>
          <w:szCs w:val="30"/>
        </w:rPr>
      </w:pPr>
      <w:r>
        <w:rPr>
          <w:rFonts w:hint="eastAsia" w:ascii="黑体" w:hAnsi="黑体" w:eastAsia="黑体"/>
          <w:sz w:val="30"/>
          <w:szCs w:val="30"/>
        </w:rPr>
        <w:t>主要知识产权目录</w:t>
      </w:r>
    </w:p>
    <w:tbl>
      <w:tblPr>
        <w:tblStyle w:val="7"/>
        <w:tblW w:w="49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8"/>
        <w:gridCol w:w="1564"/>
        <w:gridCol w:w="1656"/>
        <w:gridCol w:w="1301"/>
        <w:gridCol w:w="1100"/>
        <w:gridCol w:w="1101"/>
      </w:tblGrid>
      <w:tr w14:paraId="1064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27" w:type="pct"/>
            <w:vAlign w:val="center"/>
          </w:tcPr>
          <w:p w14:paraId="4AD239E0">
            <w:pPr>
              <w:pStyle w:val="3"/>
              <w:spacing w:line="390" w:lineRule="exact"/>
              <w:ind w:firstLine="0" w:firstLineChars="0"/>
              <w:jc w:val="center"/>
              <w:rPr>
                <w:rFonts w:ascii="宋体" w:hAnsi="宋体"/>
                <w:szCs w:val="24"/>
              </w:rPr>
            </w:pPr>
            <w:r>
              <w:rPr>
                <w:rFonts w:ascii="宋体" w:hAnsi="宋体"/>
                <w:szCs w:val="24"/>
              </w:rPr>
              <w:t>知识产权（标准）类别</w:t>
            </w:r>
          </w:p>
        </w:tc>
        <w:tc>
          <w:tcPr>
            <w:tcW w:w="949" w:type="pct"/>
            <w:vAlign w:val="center"/>
          </w:tcPr>
          <w:p w14:paraId="7E032B74">
            <w:pPr>
              <w:pStyle w:val="3"/>
              <w:spacing w:line="390" w:lineRule="exact"/>
              <w:ind w:firstLine="0" w:firstLineChars="0"/>
              <w:jc w:val="center"/>
              <w:rPr>
                <w:rFonts w:ascii="宋体" w:hAnsi="宋体"/>
                <w:szCs w:val="24"/>
              </w:rPr>
            </w:pPr>
            <w:r>
              <w:rPr>
                <w:rFonts w:ascii="宋体" w:hAnsi="宋体"/>
                <w:szCs w:val="24"/>
              </w:rPr>
              <w:t>知识产权（标准）具体名称</w:t>
            </w:r>
          </w:p>
        </w:tc>
        <w:tc>
          <w:tcPr>
            <w:tcW w:w="1000" w:type="pct"/>
            <w:vAlign w:val="center"/>
          </w:tcPr>
          <w:p w14:paraId="5AA6F341">
            <w:pPr>
              <w:pStyle w:val="3"/>
              <w:spacing w:line="390" w:lineRule="exact"/>
              <w:ind w:firstLine="0" w:firstLineChars="0"/>
              <w:jc w:val="center"/>
              <w:rPr>
                <w:rFonts w:ascii="宋体" w:hAnsi="宋体"/>
                <w:szCs w:val="24"/>
              </w:rPr>
            </w:pPr>
            <w:r>
              <w:rPr>
                <w:rFonts w:ascii="宋体" w:hAnsi="宋体"/>
                <w:szCs w:val="24"/>
              </w:rPr>
              <w:t>授权号（标准编号）</w:t>
            </w:r>
          </w:p>
        </w:tc>
        <w:tc>
          <w:tcPr>
            <w:tcW w:w="789" w:type="pct"/>
            <w:vAlign w:val="center"/>
          </w:tcPr>
          <w:p w14:paraId="51CEF707">
            <w:pPr>
              <w:pStyle w:val="3"/>
              <w:spacing w:line="390" w:lineRule="exact"/>
              <w:ind w:firstLine="0" w:firstLineChars="0"/>
              <w:jc w:val="center"/>
              <w:rPr>
                <w:rFonts w:ascii="宋体" w:hAnsi="宋体"/>
                <w:szCs w:val="24"/>
              </w:rPr>
            </w:pPr>
            <w:r>
              <w:rPr>
                <w:rFonts w:ascii="宋体" w:hAnsi="宋体"/>
                <w:szCs w:val="24"/>
              </w:rPr>
              <w:t>授权（标准发布）日期</w:t>
            </w:r>
          </w:p>
        </w:tc>
        <w:tc>
          <w:tcPr>
            <w:tcW w:w="667" w:type="pct"/>
            <w:vAlign w:val="center"/>
          </w:tcPr>
          <w:p w14:paraId="0BE7AF66">
            <w:pPr>
              <w:pStyle w:val="3"/>
              <w:spacing w:line="390" w:lineRule="exact"/>
              <w:ind w:firstLine="0" w:firstLineChars="0"/>
              <w:jc w:val="center"/>
              <w:rPr>
                <w:rFonts w:ascii="宋体" w:hAnsi="宋体"/>
                <w:szCs w:val="24"/>
              </w:rPr>
            </w:pPr>
            <w:r>
              <w:rPr>
                <w:rFonts w:ascii="宋体" w:hAnsi="宋体"/>
                <w:szCs w:val="24"/>
              </w:rPr>
              <w:t>权利人（标准起草单位）</w:t>
            </w:r>
          </w:p>
        </w:tc>
        <w:tc>
          <w:tcPr>
            <w:tcW w:w="668" w:type="pct"/>
            <w:vAlign w:val="center"/>
          </w:tcPr>
          <w:p w14:paraId="52408617">
            <w:pPr>
              <w:pStyle w:val="3"/>
              <w:spacing w:line="390" w:lineRule="exact"/>
              <w:ind w:firstLine="0" w:firstLineChars="0"/>
              <w:jc w:val="center"/>
              <w:rPr>
                <w:rFonts w:ascii="宋体" w:hAnsi="宋体"/>
                <w:szCs w:val="24"/>
              </w:rPr>
            </w:pPr>
            <w:r>
              <w:rPr>
                <w:rFonts w:ascii="宋体" w:hAnsi="宋体"/>
                <w:szCs w:val="24"/>
              </w:rPr>
              <w:t>发明人（标准起草人）</w:t>
            </w:r>
          </w:p>
        </w:tc>
      </w:tr>
      <w:tr w14:paraId="73E1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927" w:type="pct"/>
            <w:vAlign w:val="center"/>
          </w:tcPr>
          <w:p w14:paraId="0C4C886F">
            <w:pPr>
              <w:pStyle w:val="3"/>
              <w:adjustRightInd w:val="0"/>
              <w:snapToGrid w:val="0"/>
              <w:spacing w:after="0" w:line="276" w:lineRule="auto"/>
              <w:ind w:firstLine="0" w:firstLineChars="0"/>
              <w:jc w:val="center"/>
              <w:rPr>
                <w:rFonts w:ascii="宋体" w:hAnsi="宋体"/>
                <w:szCs w:val="24"/>
              </w:rPr>
            </w:pPr>
            <w:r>
              <w:rPr>
                <w:rFonts w:hint="eastAsia" w:ascii="宋体" w:hAnsi="宋体"/>
                <w:szCs w:val="24"/>
              </w:rPr>
              <w:t>上海市工程建设规范</w:t>
            </w:r>
          </w:p>
        </w:tc>
        <w:tc>
          <w:tcPr>
            <w:tcW w:w="949" w:type="pct"/>
            <w:vAlign w:val="center"/>
          </w:tcPr>
          <w:p w14:paraId="6F1ACFB5">
            <w:pPr>
              <w:pStyle w:val="3"/>
              <w:adjustRightInd w:val="0"/>
              <w:snapToGrid w:val="0"/>
              <w:spacing w:after="0" w:line="276" w:lineRule="auto"/>
              <w:ind w:firstLine="0" w:firstLineChars="0"/>
              <w:jc w:val="center"/>
              <w:rPr>
                <w:rFonts w:ascii="宋体" w:hAnsi="宋体"/>
                <w:szCs w:val="24"/>
              </w:rPr>
            </w:pPr>
            <w:r>
              <w:rPr>
                <w:rFonts w:hint="eastAsia" w:ascii="宋体" w:hAnsi="宋体"/>
                <w:szCs w:val="24"/>
              </w:rPr>
              <w:t>上海市节约集约建设用地标准</w:t>
            </w:r>
          </w:p>
        </w:tc>
        <w:tc>
          <w:tcPr>
            <w:tcW w:w="1000" w:type="pct"/>
            <w:vAlign w:val="center"/>
          </w:tcPr>
          <w:p w14:paraId="729F343C">
            <w:pPr>
              <w:pStyle w:val="3"/>
              <w:adjustRightInd w:val="0"/>
              <w:snapToGrid w:val="0"/>
              <w:spacing w:after="0" w:line="276" w:lineRule="auto"/>
              <w:ind w:firstLine="0" w:firstLineChars="0"/>
              <w:jc w:val="center"/>
              <w:rPr>
                <w:rFonts w:ascii="宋体" w:hAnsi="宋体"/>
                <w:szCs w:val="24"/>
              </w:rPr>
            </w:pPr>
            <w:r>
              <w:rPr>
                <w:rFonts w:hint="eastAsia" w:ascii="宋体" w:hAnsi="宋体"/>
                <w:szCs w:val="24"/>
              </w:rPr>
              <w:t>D</w:t>
            </w:r>
            <w:r>
              <w:rPr>
                <w:rFonts w:ascii="宋体" w:hAnsi="宋体"/>
                <w:szCs w:val="24"/>
              </w:rPr>
              <w:t>G</w:t>
            </w:r>
            <w:r>
              <w:rPr>
                <w:rFonts w:hint="eastAsia" w:ascii="宋体" w:hAnsi="宋体"/>
                <w:szCs w:val="24"/>
              </w:rPr>
              <w:t>/</w:t>
            </w:r>
            <w:r>
              <w:rPr>
                <w:rFonts w:ascii="宋体" w:hAnsi="宋体"/>
                <w:szCs w:val="24"/>
              </w:rPr>
              <w:t>TJ 08-2422-2023</w:t>
            </w:r>
          </w:p>
        </w:tc>
        <w:tc>
          <w:tcPr>
            <w:tcW w:w="789" w:type="pct"/>
            <w:vAlign w:val="center"/>
          </w:tcPr>
          <w:p w14:paraId="60A3C7C6">
            <w:pPr>
              <w:pStyle w:val="3"/>
              <w:adjustRightInd w:val="0"/>
              <w:snapToGrid w:val="0"/>
              <w:spacing w:after="0" w:line="276" w:lineRule="auto"/>
              <w:ind w:firstLine="0" w:firstLineChars="0"/>
              <w:jc w:val="center"/>
              <w:rPr>
                <w:rFonts w:ascii="宋体" w:hAnsi="宋体"/>
                <w:szCs w:val="24"/>
              </w:rPr>
            </w:pPr>
            <w:r>
              <w:rPr>
                <w:rFonts w:hint="eastAsia" w:ascii="宋体" w:hAnsi="宋体"/>
                <w:szCs w:val="24"/>
              </w:rPr>
              <w:t>2023年3月8日</w:t>
            </w:r>
          </w:p>
        </w:tc>
        <w:tc>
          <w:tcPr>
            <w:tcW w:w="667" w:type="pct"/>
            <w:vAlign w:val="center"/>
          </w:tcPr>
          <w:p w14:paraId="0633D904">
            <w:pPr>
              <w:pStyle w:val="3"/>
              <w:adjustRightInd w:val="0"/>
              <w:snapToGrid w:val="0"/>
              <w:spacing w:after="0" w:line="276" w:lineRule="auto"/>
              <w:ind w:firstLine="0" w:firstLineChars="0"/>
              <w:jc w:val="center"/>
              <w:rPr>
                <w:rFonts w:ascii="宋体" w:hAnsi="宋体"/>
                <w:szCs w:val="24"/>
              </w:rPr>
            </w:pPr>
            <w:r>
              <w:rPr>
                <w:rFonts w:hint="eastAsia" w:ascii="宋体" w:hAnsi="宋体"/>
                <w:szCs w:val="24"/>
              </w:rPr>
              <w:t>上海市住房和城乡建设管理委员会</w:t>
            </w:r>
          </w:p>
        </w:tc>
        <w:tc>
          <w:tcPr>
            <w:tcW w:w="668" w:type="pct"/>
            <w:vAlign w:val="center"/>
          </w:tcPr>
          <w:p w14:paraId="0E191904">
            <w:pPr>
              <w:pStyle w:val="3"/>
              <w:adjustRightInd w:val="0"/>
              <w:snapToGrid w:val="0"/>
              <w:spacing w:after="0" w:line="276" w:lineRule="auto"/>
              <w:ind w:firstLine="0" w:firstLineChars="0"/>
              <w:jc w:val="center"/>
              <w:rPr>
                <w:rFonts w:ascii="宋体" w:hAnsi="宋体"/>
                <w:szCs w:val="24"/>
              </w:rPr>
            </w:pPr>
            <w:r>
              <w:rPr>
                <w:rFonts w:hint="eastAsia" w:ascii="宋体" w:hAnsi="宋体"/>
                <w:szCs w:val="24"/>
              </w:rPr>
              <w:t>上海市地质调查研究院</w:t>
            </w:r>
          </w:p>
        </w:tc>
      </w:tr>
      <w:tr w14:paraId="2D40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927" w:type="pct"/>
          </w:tcPr>
          <w:p w14:paraId="2973ADC1">
            <w:pPr>
              <w:pStyle w:val="3"/>
              <w:spacing w:line="390" w:lineRule="exact"/>
              <w:ind w:firstLine="0" w:firstLineChars="0"/>
              <w:jc w:val="center"/>
              <w:rPr>
                <w:rFonts w:ascii="宋体" w:hAnsi="宋体"/>
                <w:szCs w:val="24"/>
              </w:rPr>
            </w:pPr>
            <w:r>
              <w:rPr>
                <w:rFonts w:hint="eastAsia" w:ascii="宋体" w:hAnsi="宋体"/>
                <w:szCs w:val="24"/>
              </w:rPr>
              <w:t>计算机软件著作权</w:t>
            </w:r>
          </w:p>
        </w:tc>
        <w:tc>
          <w:tcPr>
            <w:tcW w:w="949" w:type="pct"/>
          </w:tcPr>
          <w:p w14:paraId="55DD8D45">
            <w:pPr>
              <w:pStyle w:val="3"/>
              <w:spacing w:line="390" w:lineRule="exact"/>
              <w:ind w:firstLine="0" w:firstLineChars="0"/>
              <w:jc w:val="center"/>
              <w:rPr>
                <w:rFonts w:ascii="宋体" w:hAnsi="宋体"/>
                <w:szCs w:val="24"/>
              </w:rPr>
            </w:pPr>
            <w:r>
              <w:rPr>
                <w:rFonts w:hint="eastAsia" w:ascii="宋体" w:hAnsi="宋体"/>
                <w:szCs w:val="24"/>
              </w:rPr>
              <w:t>智慧产业空间信息平台</w:t>
            </w:r>
          </w:p>
        </w:tc>
        <w:tc>
          <w:tcPr>
            <w:tcW w:w="1000" w:type="pct"/>
          </w:tcPr>
          <w:p w14:paraId="2F8166D6">
            <w:pPr>
              <w:pStyle w:val="3"/>
              <w:spacing w:line="390" w:lineRule="exact"/>
              <w:ind w:firstLine="0" w:firstLineChars="0"/>
              <w:jc w:val="center"/>
              <w:rPr>
                <w:rFonts w:ascii="宋体" w:hAnsi="宋体"/>
                <w:szCs w:val="24"/>
              </w:rPr>
            </w:pPr>
            <w:r>
              <w:rPr>
                <w:rFonts w:hint="eastAsia" w:ascii="宋体" w:hAnsi="宋体"/>
                <w:szCs w:val="24"/>
              </w:rPr>
              <w:t>软著登字第12695858号</w:t>
            </w:r>
          </w:p>
        </w:tc>
        <w:tc>
          <w:tcPr>
            <w:tcW w:w="789" w:type="pct"/>
          </w:tcPr>
          <w:p w14:paraId="1252E042">
            <w:pPr>
              <w:pStyle w:val="3"/>
              <w:adjustRightInd w:val="0"/>
              <w:snapToGrid w:val="0"/>
              <w:spacing w:after="0" w:line="276" w:lineRule="auto"/>
              <w:ind w:firstLine="0" w:firstLineChars="0"/>
              <w:jc w:val="center"/>
              <w:rPr>
                <w:rFonts w:ascii="宋体" w:hAnsi="宋体"/>
                <w:szCs w:val="24"/>
              </w:rPr>
            </w:pPr>
          </w:p>
          <w:p w14:paraId="10720684">
            <w:pPr>
              <w:pStyle w:val="3"/>
              <w:adjustRightInd w:val="0"/>
              <w:snapToGrid w:val="0"/>
              <w:spacing w:after="0" w:line="276" w:lineRule="auto"/>
              <w:ind w:firstLine="0" w:firstLineChars="0"/>
              <w:jc w:val="center"/>
              <w:rPr>
                <w:rFonts w:ascii="宋体" w:hAnsi="宋体"/>
                <w:szCs w:val="24"/>
                <w:highlight w:val="yellow"/>
              </w:rPr>
            </w:pPr>
            <w:r>
              <w:rPr>
                <w:rFonts w:hint="eastAsia" w:ascii="宋体" w:hAnsi="宋体"/>
                <w:szCs w:val="24"/>
              </w:rPr>
              <w:t>2024年2月21日</w:t>
            </w:r>
          </w:p>
        </w:tc>
        <w:tc>
          <w:tcPr>
            <w:tcW w:w="667" w:type="pct"/>
          </w:tcPr>
          <w:p w14:paraId="0170B4D2">
            <w:pPr>
              <w:pStyle w:val="3"/>
              <w:spacing w:line="390" w:lineRule="exact"/>
              <w:ind w:firstLine="0" w:firstLineChars="0"/>
              <w:jc w:val="center"/>
              <w:rPr>
                <w:rFonts w:ascii="宋体" w:hAnsi="宋体"/>
                <w:szCs w:val="24"/>
                <w:highlight w:val="yellow"/>
              </w:rPr>
            </w:pPr>
            <w:r>
              <w:rPr>
                <w:rFonts w:hint="eastAsia" w:ascii="宋体" w:hAnsi="宋体"/>
                <w:szCs w:val="24"/>
              </w:rPr>
              <w:t>上海市地质调查研究院</w:t>
            </w:r>
          </w:p>
        </w:tc>
        <w:tc>
          <w:tcPr>
            <w:tcW w:w="668" w:type="pct"/>
          </w:tcPr>
          <w:p w14:paraId="5BD59EF9">
            <w:pPr>
              <w:pStyle w:val="3"/>
              <w:spacing w:line="390" w:lineRule="exact"/>
              <w:ind w:firstLine="0" w:firstLineChars="0"/>
              <w:jc w:val="center"/>
              <w:rPr>
                <w:rFonts w:ascii="宋体" w:hAnsi="宋体"/>
                <w:szCs w:val="24"/>
                <w:highlight w:val="yellow"/>
              </w:rPr>
            </w:pPr>
            <w:r>
              <w:rPr>
                <w:rFonts w:hint="eastAsia" w:ascii="宋体" w:hAnsi="宋体"/>
                <w:szCs w:val="24"/>
              </w:rPr>
              <w:t>范华、段浩等</w:t>
            </w:r>
          </w:p>
        </w:tc>
      </w:tr>
    </w:tbl>
    <w:p w14:paraId="24B82509">
      <w:pPr>
        <w:pStyle w:val="13"/>
        <w:rPr>
          <w:rFonts w:ascii="Times New Roman"/>
          <w:color w:val="auto"/>
          <w:sz w:val="30"/>
          <w:szCs w:val="3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70759280"/>
    </w:sdtPr>
    <w:sdtContent>
      <w:p w14:paraId="4F1F754B">
        <w:pPr>
          <w:pStyle w:val="4"/>
          <w:jc w:val="center"/>
        </w:pPr>
        <w:r>
          <w:fldChar w:fldCharType="begin"/>
        </w:r>
        <w:r>
          <w:instrText xml:space="preserve">PAGE   \* MERGEFORMAT</w:instrText>
        </w:r>
        <w:r>
          <w:fldChar w:fldCharType="separate"/>
        </w:r>
        <w:r>
          <w:rPr>
            <w:lang w:val="zh-CN"/>
          </w:rPr>
          <w:t>1</w:t>
        </w:r>
        <w:r>
          <w:fldChar w:fldCharType="end"/>
        </w:r>
      </w:p>
    </w:sdtContent>
  </w:sdt>
  <w:p w14:paraId="04E39611">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2362E"/>
    <w:multiLevelType w:val="singleLevel"/>
    <w:tmpl w:val="1402362E"/>
    <w:lvl w:ilvl="0" w:tentative="0">
      <w:start w:val="4"/>
      <w:numFmt w:val="chineseCounting"/>
      <w:suff w:val="nothing"/>
      <w:lvlText w:val="%1、"/>
      <w:lvlJc w:val="left"/>
      <w:rPr>
        <w:rFonts w:hint="eastAsia"/>
      </w:rPr>
    </w:lvl>
  </w:abstractNum>
  <w:abstractNum w:abstractNumId="1">
    <w:nsid w:val="483FDD60"/>
    <w:multiLevelType w:val="singleLevel"/>
    <w:tmpl w:val="483FDD60"/>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6F2"/>
    <w:rsid w:val="000101A0"/>
    <w:rsid w:val="00015B4E"/>
    <w:rsid w:val="00017D4A"/>
    <w:rsid w:val="00020343"/>
    <w:rsid w:val="00023EB5"/>
    <w:rsid w:val="00034AEA"/>
    <w:rsid w:val="00073E89"/>
    <w:rsid w:val="000765B5"/>
    <w:rsid w:val="00076F6C"/>
    <w:rsid w:val="0009303A"/>
    <w:rsid w:val="00095DA1"/>
    <w:rsid w:val="000B007A"/>
    <w:rsid w:val="000B0DA5"/>
    <w:rsid w:val="000C6DAE"/>
    <w:rsid w:val="000E62B6"/>
    <w:rsid w:val="000E758E"/>
    <w:rsid w:val="001000AC"/>
    <w:rsid w:val="0010616F"/>
    <w:rsid w:val="001136AD"/>
    <w:rsid w:val="00136812"/>
    <w:rsid w:val="00144FE3"/>
    <w:rsid w:val="0017420F"/>
    <w:rsid w:val="00194176"/>
    <w:rsid w:val="00195E40"/>
    <w:rsid w:val="001A0FDF"/>
    <w:rsid w:val="001A3D24"/>
    <w:rsid w:val="001A7B90"/>
    <w:rsid w:val="001C2A14"/>
    <w:rsid w:val="001D27FE"/>
    <w:rsid w:val="001E0C9B"/>
    <w:rsid w:val="002007E3"/>
    <w:rsid w:val="00213EB8"/>
    <w:rsid w:val="002246A6"/>
    <w:rsid w:val="00231D84"/>
    <w:rsid w:val="002541AE"/>
    <w:rsid w:val="00261F64"/>
    <w:rsid w:val="002B1014"/>
    <w:rsid w:val="002B584F"/>
    <w:rsid w:val="002C7091"/>
    <w:rsid w:val="002D1D0A"/>
    <w:rsid w:val="002E5663"/>
    <w:rsid w:val="002F03AB"/>
    <w:rsid w:val="002F3AF5"/>
    <w:rsid w:val="00315FCD"/>
    <w:rsid w:val="00322F72"/>
    <w:rsid w:val="00322FB3"/>
    <w:rsid w:val="00330559"/>
    <w:rsid w:val="00341042"/>
    <w:rsid w:val="00357549"/>
    <w:rsid w:val="003B4809"/>
    <w:rsid w:val="003F3389"/>
    <w:rsid w:val="004062C6"/>
    <w:rsid w:val="00410745"/>
    <w:rsid w:val="004267EA"/>
    <w:rsid w:val="0043309A"/>
    <w:rsid w:val="00476356"/>
    <w:rsid w:val="0049414E"/>
    <w:rsid w:val="00494509"/>
    <w:rsid w:val="004947D6"/>
    <w:rsid w:val="004B0AB0"/>
    <w:rsid w:val="004B79B1"/>
    <w:rsid w:val="004B79FE"/>
    <w:rsid w:val="004D6684"/>
    <w:rsid w:val="004F1D26"/>
    <w:rsid w:val="00501ECF"/>
    <w:rsid w:val="005119C9"/>
    <w:rsid w:val="005643E7"/>
    <w:rsid w:val="00570A4F"/>
    <w:rsid w:val="005710D1"/>
    <w:rsid w:val="00595545"/>
    <w:rsid w:val="005971AB"/>
    <w:rsid w:val="00597492"/>
    <w:rsid w:val="005B25E4"/>
    <w:rsid w:val="005B3851"/>
    <w:rsid w:val="005B3DA8"/>
    <w:rsid w:val="005C1228"/>
    <w:rsid w:val="005C316E"/>
    <w:rsid w:val="005C61BD"/>
    <w:rsid w:val="00607E1A"/>
    <w:rsid w:val="00633EBE"/>
    <w:rsid w:val="00636A2B"/>
    <w:rsid w:val="006807EF"/>
    <w:rsid w:val="00681491"/>
    <w:rsid w:val="0068687A"/>
    <w:rsid w:val="006D0B18"/>
    <w:rsid w:val="00710E26"/>
    <w:rsid w:val="00711448"/>
    <w:rsid w:val="0073610F"/>
    <w:rsid w:val="00741943"/>
    <w:rsid w:val="007419C2"/>
    <w:rsid w:val="00747243"/>
    <w:rsid w:val="00764451"/>
    <w:rsid w:val="00772F9D"/>
    <w:rsid w:val="00774BF7"/>
    <w:rsid w:val="007943A8"/>
    <w:rsid w:val="0079459F"/>
    <w:rsid w:val="007A5B20"/>
    <w:rsid w:val="007C1931"/>
    <w:rsid w:val="007F1127"/>
    <w:rsid w:val="00812EB3"/>
    <w:rsid w:val="00826A0B"/>
    <w:rsid w:val="00831C00"/>
    <w:rsid w:val="00833A81"/>
    <w:rsid w:val="00850ED2"/>
    <w:rsid w:val="00893F61"/>
    <w:rsid w:val="008A6177"/>
    <w:rsid w:val="008C516A"/>
    <w:rsid w:val="008D633E"/>
    <w:rsid w:val="00912396"/>
    <w:rsid w:val="00913B2F"/>
    <w:rsid w:val="00931669"/>
    <w:rsid w:val="00937BF1"/>
    <w:rsid w:val="00956356"/>
    <w:rsid w:val="0096326E"/>
    <w:rsid w:val="009773A1"/>
    <w:rsid w:val="00986806"/>
    <w:rsid w:val="009A4F5E"/>
    <w:rsid w:val="009B575A"/>
    <w:rsid w:val="009E0ABC"/>
    <w:rsid w:val="00A1345E"/>
    <w:rsid w:val="00A142A0"/>
    <w:rsid w:val="00A16804"/>
    <w:rsid w:val="00A41331"/>
    <w:rsid w:val="00A53B42"/>
    <w:rsid w:val="00AA31EC"/>
    <w:rsid w:val="00AB3C3C"/>
    <w:rsid w:val="00AE29A9"/>
    <w:rsid w:val="00AE4EF1"/>
    <w:rsid w:val="00AF4870"/>
    <w:rsid w:val="00B36EF4"/>
    <w:rsid w:val="00B552CE"/>
    <w:rsid w:val="00B65284"/>
    <w:rsid w:val="00B76311"/>
    <w:rsid w:val="00B765B6"/>
    <w:rsid w:val="00B9272F"/>
    <w:rsid w:val="00BA5F22"/>
    <w:rsid w:val="00BB38C8"/>
    <w:rsid w:val="00BB5488"/>
    <w:rsid w:val="00BC107C"/>
    <w:rsid w:val="00BC38A6"/>
    <w:rsid w:val="00BC4C4E"/>
    <w:rsid w:val="00BE5F3F"/>
    <w:rsid w:val="00BE69B5"/>
    <w:rsid w:val="00C034BC"/>
    <w:rsid w:val="00C078B4"/>
    <w:rsid w:val="00C10C26"/>
    <w:rsid w:val="00C22CB5"/>
    <w:rsid w:val="00C346DF"/>
    <w:rsid w:val="00C404BB"/>
    <w:rsid w:val="00C4237B"/>
    <w:rsid w:val="00C661E2"/>
    <w:rsid w:val="00C81E82"/>
    <w:rsid w:val="00C973B7"/>
    <w:rsid w:val="00CA37F3"/>
    <w:rsid w:val="00CA573F"/>
    <w:rsid w:val="00CD690D"/>
    <w:rsid w:val="00D03EE3"/>
    <w:rsid w:val="00D04FB8"/>
    <w:rsid w:val="00D12C06"/>
    <w:rsid w:val="00D6256F"/>
    <w:rsid w:val="00D67C26"/>
    <w:rsid w:val="00D74BBD"/>
    <w:rsid w:val="00D74F82"/>
    <w:rsid w:val="00DB5BB2"/>
    <w:rsid w:val="00DB63AE"/>
    <w:rsid w:val="00DC5614"/>
    <w:rsid w:val="00DC7D9C"/>
    <w:rsid w:val="00DF5E13"/>
    <w:rsid w:val="00E0326B"/>
    <w:rsid w:val="00E23D02"/>
    <w:rsid w:val="00E34B35"/>
    <w:rsid w:val="00E54784"/>
    <w:rsid w:val="00E601F6"/>
    <w:rsid w:val="00E62273"/>
    <w:rsid w:val="00E71857"/>
    <w:rsid w:val="00E756F2"/>
    <w:rsid w:val="00E80FDA"/>
    <w:rsid w:val="00EA3BDE"/>
    <w:rsid w:val="00EB01ED"/>
    <w:rsid w:val="00EB2662"/>
    <w:rsid w:val="00EC5A0F"/>
    <w:rsid w:val="00EC7D12"/>
    <w:rsid w:val="00EE5766"/>
    <w:rsid w:val="00EF0823"/>
    <w:rsid w:val="00EF3C69"/>
    <w:rsid w:val="00EF4CC4"/>
    <w:rsid w:val="00F203D5"/>
    <w:rsid w:val="00F32EED"/>
    <w:rsid w:val="00F33A26"/>
    <w:rsid w:val="00F37C43"/>
    <w:rsid w:val="00F531B1"/>
    <w:rsid w:val="00F6226B"/>
    <w:rsid w:val="00F74C93"/>
    <w:rsid w:val="00F844DC"/>
    <w:rsid w:val="00FA47E6"/>
    <w:rsid w:val="00FB35D6"/>
    <w:rsid w:val="00FC65B4"/>
    <w:rsid w:val="00FF3E77"/>
    <w:rsid w:val="01721CE1"/>
    <w:rsid w:val="021E764D"/>
    <w:rsid w:val="032B35D3"/>
    <w:rsid w:val="03521A83"/>
    <w:rsid w:val="0419528B"/>
    <w:rsid w:val="04F14D1A"/>
    <w:rsid w:val="052F1F5C"/>
    <w:rsid w:val="06584E34"/>
    <w:rsid w:val="07131DBC"/>
    <w:rsid w:val="09DF1007"/>
    <w:rsid w:val="0A133ADA"/>
    <w:rsid w:val="0AAE43D8"/>
    <w:rsid w:val="0ABD286D"/>
    <w:rsid w:val="0B6A1CE3"/>
    <w:rsid w:val="0BB95B89"/>
    <w:rsid w:val="0D572867"/>
    <w:rsid w:val="0D58062B"/>
    <w:rsid w:val="0E6A6868"/>
    <w:rsid w:val="0F136F00"/>
    <w:rsid w:val="0FCE1D6F"/>
    <w:rsid w:val="11085271"/>
    <w:rsid w:val="11704ABD"/>
    <w:rsid w:val="12A05E6A"/>
    <w:rsid w:val="13710587"/>
    <w:rsid w:val="13DC52F4"/>
    <w:rsid w:val="146113EE"/>
    <w:rsid w:val="14E73E2F"/>
    <w:rsid w:val="150177FB"/>
    <w:rsid w:val="1663163A"/>
    <w:rsid w:val="16E76EA1"/>
    <w:rsid w:val="191E3B61"/>
    <w:rsid w:val="198C127E"/>
    <w:rsid w:val="19E673CD"/>
    <w:rsid w:val="1A7A7E33"/>
    <w:rsid w:val="1BF43DE5"/>
    <w:rsid w:val="1C857A88"/>
    <w:rsid w:val="1D1B4A71"/>
    <w:rsid w:val="1DC712DB"/>
    <w:rsid w:val="1DCA7323"/>
    <w:rsid w:val="1ED7777F"/>
    <w:rsid w:val="22152348"/>
    <w:rsid w:val="22606ADC"/>
    <w:rsid w:val="22F11FFA"/>
    <w:rsid w:val="239F2027"/>
    <w:rsid w:val="251D5F8B"/>
    <w:rsid w:val="2718281C"/>
    <w:rsid w:val="28A00492"/>
    <w:rsid w:val="28CC1A5C"/>
    <w:rsid w:val="29053906"/>
    <w:rsid w:val="29685E9F"/>
    <w:rsid w:val="298D0F71"/>
    <w:rsid w:val="2AE82B97"/>
    <w:rsid w:val="2AF87EBC"/>
    <w:rsid w:val="2D4813E0"/>
    <w:rsid w:val="2D9A4379"/>
    <w:rsid w:val="2E445260"/>
    <w:rsid w:val="2EBD528C"/>
    <w:rsid w:val="2F627A4C"/>
    <w:rsid w:val="3020405C"/>
    <w:rsid w:val="310D77FB"/>
    <w:rsid w:val="31206DE9"/>
    <w:rsid w:val="313A1B57"/>
    <w:rsid w:val="325C2C2C"/>
    <w:rsid w:val="327D14D0"/>
    <w:rsid w:val="34E15227"/>
    <w:rsid w:val="34F925AF"/>
    <w:rsid w:val="35F75996"/>
    <w:rsid w:val="37DE3C9F"/>
    <w:rsid w:val="389B6F6C"/>
    <w:rsid w:val="39597E03"/>
    <w:rsid w:val="3A111FE0"/>
    <w:rsid w:val="3AF310A7"/>
    <w:rsid w:val="3C5478AA"/>
    <w:rsid w:val="3E8310FD"/>
    <w:rsid w:val="42E927A8"/>
    <w:rsid w:val="435D13E9"/>
    <w:rsid w:val="43602AB7"/>
    <w:rsid w:val="442E1B0B"/>
    <w:rsid w:val="4514237A"/>
    <w:rsid w:val="45D87940"/>
    <w:rsid w:val="469C46FA"/>
    <w:rsid w:val="46F42512"/>
    <w:rsid w:val="47BD0CC0"/>
    <w:rsid w:val="49053564"/>
    <w:rsid w:val="494771F9"/>
    <w:rsid w:val="49A0100D"/>
    <w:rsid w:val="4A9C26DC"/>
    <w:rsid w:val="4AD36F68"/>
    <w:rsid w:val="4B0C0BDC"/>
    <w:rsid w:val="4B1208E9"/>
    <w:rsid w:val="4FEDEAEA"/>
    <w:rsid w:val="4FF7BFD3"/>
    <w:rsid w:val="51CE0196"/>
    <w:rsid w:val="523A78CD"/>
    <w:rsid w:val="52E33AC0"/>
    <w:rsid w:val="53363765"/>
    <w:rsid w:val="53542C10"/>
    <w:rsid w:val="543939F6"/>
    <w:rsid w:val="54BF1B3A"/>
    <w:rsid w:val="54C21B17"/>
    <w:rsid w:val="55853555"/>
    <w:rsid w:val="56626437"/>
    <w:rsid w:val="574959A8"/>
    <w:rsid w:val="578515EA"/>
    <w:rsid w:val="57AFDCDB"/>
    <w:rsid w:val="58317354"/>
    <w:rsid w:val="589A4179"/>
    <w:rsid w:val="5B481CD9"/>
    <w:rsid w:val="5B7D20DC"/>
    <w:rsid w:val="5BA0238A"/>
    <w:rsid w:val="5C3952DD"/>
    <w:rsid w:val="5CF0237B"/>
    <w:rsid w:val="5E0277D4"/>
    <w:rsid w:val="5E0D40E7"/>
    <w:rsid w:val="5F61327A"/>
    <w:rsid w:val="5FBF2E12"/>
    <w:rsid w:val="619D6014"/>
    <w:rsid w:val="61A00FA2"/>
    <w:rsid w:val="632D4152"/>
    <w:rsid w:val="63E65F16"/>
    <w:rsid w:val="653D30DE"/>
    <w:rsid w:val="657F6A43"/>
    <w:rsid w:val="6586700B"/>
    <w:rsid w:val="65B03CD6"/>
    <w:rsid w:val="66883BC1"/>
    <w:rsid w:val="672C74D4"/>
    <w:rsid w:val="680F396E"/>
    <w:rsid w:val="68E85E7D"/>
    <w:rsid w:val="69AE48EE"/>
    <w:rsid w:val="6AE63012"/>
    <w:rsid w:val="6B9C5A2D"/>
    <w:rsid w:val="6C326D2D"/>
    <w:rsid w:val="6C8F367C"/>
    <w:rsid w:val="6CC55B41"/>
    <w:rsid w:val="6D0D5EB2"/>
    <w:rsid w:val="6D7F65F1"/>
    <w:rsid w:val="6E396833"/>
    <w:rsid w:val="6E3E31C5"/>
    <w:rsid w:val="71EA2783"/>
    <w:rsid w:val="72D27981"/>
    <w:rsid w:val="73A60C90"/>
    <w:rsid w:val="73BA7222"/>
    <w:rsid w:val="73C502CF"/>
    <w:rsid w:val="74312486"/>
    <w:rsid w:val="759A22AD"/>
    <w:rsid w:val="76755B1F"/>
    <w:rsid w:val="7A4435B3"/>
    <w:rsid w:val="7AA60DCF"/>
    <w:rsid w:val="7AD324E9"/>
    <w:rsid w:val="7B077B0A"/>
    <w:rsid w:val="7D3D633F"/>
    <w:rsid w:val="7E7FB0DC"/>
    <w:rsid w:val="7ED37638"/>
    <w:rsid w:val="7F4F12AC"/>
    <w:rsid w:val="7F947D6D"/>
    <w:rsid w:val="7FABF62E"/>
    <w:rsid w:val="7FFFC7CC"/>
    <w:rsid w:val="B7F560C9"/>
    <w:rsid w:val="C7FB660A"/>
    <w:rsid w:val="CAFFD78E"/>
    <w:rsid w:val="D7D5433F"/>
    <w:rsid w:val="EEED3E12"/>
    <w:rsid w:val="FFBD00AA"/>
    <w:rsid w:val="FFDEC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lang w:val="en-US" w:eastAsia="zh-CN" w:bidi="ar-SA"/>
    </w:rPr>
  </w:style>
  <w:style w:type="paragraph" w:styleId="2">
    <w:name w:val="heading 1"/>
    <w:basedOn w:val="1"/>
    <w:next w:val="1"/>
    <w:link w:val="11"/>
    <w:qFormat/>
    <w:uiPriority w:val="0"/>
    <w:pPr>
      <w:keepNext/>
      <w:spacing w:beforeLines="100" w:afterLines="50"/>
      <w:jc w:val="center"/>
      <w:outlineLvl w:val="0"/>
    </w:pPr>
    <w:rPr>
      <w:rFonts w:eastAsia="黑体"/>
      <w:b/>
      <w:sz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Plain Text"/>
    <w:basedOn w:val="1"/>
    <w:link w:val="12"/>
    <w:qFormat/>
    <w:uiPriority w:val="0"/>
    <w:pPr>
      <w:spacing w:line="360" w:lineRule="auto"/>
      <w:ind w:firstLine="480" w:firstLineChars="200"/>
    </w:pPr>
    <w:rPr>
      <w:rFonts w:ascii="仿宋_GB2312"/>
      <w:sz w:val="24"/>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spacing w:beforeAutospacing="1" w:afterAutospacing="1"/>
      <w:jc w:val="left"/>
    </w:pPr>
    <w:rPr>
      <w:kern w:val="0"/>
      <w:sz w:val="24"/>
    </w:rPr>
  </w:style>
  <w:style w:type="character" w:styleId="9">
    <w:name w:val="Strong"/>
    <w:basedOn w:val="8"/>
    <w:qFormat/>
    <w:uiPriority w:val="22"/>
    <w:rPr>
      <w:b/>
    </w:rPr>
  </w:style>
  <w:style w:type="character" w:styleId="10">
    <w:name w:val="page number"/>
    <w:semiHidden/>
    <w:qFormat/>
    <w:uiPriority w:val="0"/>
  </w:style>
  <w:style w:type="character" w:customStyle="1" w:styleId="11">
    <w:name w:val="标题 1 字符"/>
    <w:basedOn w:val="8"/>
    <w:link w:val="2"/>
    <w:qFormat/>
    <w:uiPriority w:val="0"/>
    <w:rPr>
      <w:rFonts w:ascii="Times New Roman" w:hAnsi="Times New Roman" w:eastAsia="黑体" w:cs="Times New Roman"/>
      <w:b/>
      <w:sz w:val="44"/>
      <w:szCs w:val="20"/>
    </w:rPr>
  </w:style>
  <w:style w:type="character" w:customStyle="1" w:styleId="12">
    <w:name w:val="纯文本 字符"/>
    <w:basedOn w:val="8"/>
    <w:link w:val="3"/>
    <w:qFormat/>
    <w:uiPriority w:val="0"/>
    <w:rPr>
      <w:rFonts w:ascii="仿宋_GB2312" w:hAnsi="Times New Roman" w:eastAsia="宋体" w:cs="Times New Roman"/>
      <w:sz w:val="24"/>
      <w:szCs w:val="20"/>
    </w:rPr>
  </w:style>
  <w:style w:type="paragraph" w:customStyle="1" w:styleId="13">
    <w:name w:val="Default"/>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 w:type="paragraph" w:customStyle="1" w:styleId="14">
    <w:name w:val="CM6"/>
    <w:basedOn w:val="13"/>
    <w:next w:val="13"/>
    <w:qFormat/>
    <w:uiPriority w:val="0"/>
    <w:pPr>
      <w:spacing w:after="15950"/>
    </w:pPr>
    <w:rPr>
      <w:color w:val="auto"/>
    </w:rPr>
  </w:style>
  <w:style w:type="character" w:customStyle="1" w:styleId="15">
    <w:name w:val="页眉 字符"/>
    <w:basedOn w:val="8"/>
    <w:link w:val="5"/>
    <w:qFormat/>
    <w:uiPriority w:val="99"/>
    <w:rPr>
      <w:kern w:val="2"/>
      <w:sz w:val="18"/>
      <w:szCs w:val="18"/>
    </w:rPr>
  </w:style>
  <w:style w:type="character" w:customStyle="1" w:styleId="16">
    <w:name w:val="页脚 字符"/>
    <w:basedOn w:val="8"/>
    <w:link w:val="4"/>
    <w:qFormat/>
    <w:uiPriority w:val="99"/>
    <w:rPr>
      <w:kern w:val="2"/>
      <w:sz w:val="18"/>
      <w:szCs w:val="18"/>
    </w:rPr>
  </w:style>
  <w:style w:type="character" w:customStyle="1" w:styleId="17">
    <w:name w:val="17"/>
    <w:qFormat/>
    <w:uiPriority w:val="0"/>
    <w:rPr>
      <w:rFonts w:hint="default" w:ascii="Times New Roman" w:hAnsi="Times New Roman" w:cs="Times New Roman"/>
      <w:b/>
    </w:rPr>
  </w:style>
  <w:style w:type="paragraph" w:customStyle="1" w:styleId="18">
    <w:name w:val="修订1"/>
    <w:hidden/>
    <w:unhideWhenUsed/>
    <w:qFormat/>
    <w:uiPriority w:val="99"/>
    <w:rPr>
      <w:rFonts w:ascii="Times New Roman" w:hAnsi="Times New Roman" w:eastAsia="宋体" w:cs="Times New Roman"/>
      <w:kern w:val="2"/>
      <w:sz w:val="21"/>
      <w:lang w:val="en-US" w:eastAsia="zh-CN" w:bidi="ar-SA"/>
    </w:rPr>
  </w:style>
  <w:style w:type="paragraph" w:customStyle="1" w:styleId="19">
    <w:name w:val="修订2"/>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1C5371AF-F15E-498F-81FD-019BC0387869}">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3594</Words>
  <Characters>3738</Characters>
  <Lines>24</Lines>
  <Paragraphs>7</Paragraphs>
  <TotalTime>1</TotalTime>
  <ScaleCrop>false</ScaleCrop>
  <LinksUpToDate>false</LinksUpToDate>
  <CharactersWithSpaces>3749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2026-08-28T17:30:00Z</dcterms:created>
  <dc:creator>杨丽君</dc:creator>
  <cp:lastModifiedBy>陈珊O_o</cp:lastModifiedBy>
  <dcterms:modified xsi:type="dcterms:W3CDTF">2026-09-15T08:47:22Z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9053BE77726F479881DC176A4BBF84A1_13</vt:lpwstr>
  </property>
  <property fmtid="{D5CDD505-2E9C-101B-9397-08002B2CF9AE}" pid="4" name="KSOTemplateDocerSaveRecord">
    <vt:lpwstr>eyJoZGlkIjoiYzgxNTU1Y2ZhNmM4MmVkN2ViZDEyN2ZkZDkyNTNmN2YiLCJ1c2VySWQiOiI0NDMwODU2NTMifQ==</vt:lpwstr>
  </property>
</Properties>
</file>