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after="80" w:line="360" w:lineRule="auto"/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color w:val="000000"/>
          <w:sz w:val="24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000000"/>
          <w:sz w:val="24"/>
          <w14:ligatures w14:val="none"/>
        </w:rPr>
        <w:t>附件：</w:t>
      </w:r>
      <w:r>
        <w:rPr>
          <w:rFonts w:hint="default" w:ascii="Times New Roman" w:hAnsi="Times New Roman" w:eastAsia="宋体" w:cs="Times New Roman"/>
          <w:b/>
          <w:color w:val="000000"/>
          <w:sz w:val="24"/>
          <w14:ligatures w14:val="none"/>
        </w:rPr>
        <w:t>公示材料-高品质D,L-蛋氨酸绿色合成关键技术开发及产业化</w:t>
      </w:r>
    </w:p>
    <w:p>
      <w:pPr>
        <w:spacing w:after="0" w:line="360" w:lineRule="auto"/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color w:val="000000"/>
          <w:sz w:val="24"/>
          <w14:ligatures w14:val="none"/>
        </w:rPr>
      </w:pP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一、项目名称</w:t>
      </w:r>
    </w:p>
    <w:p>
      <w:pPr>
        <w:spacing w:before="80" w:after="8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高品质D,L-蛋氨酸绿色合成关键技术开发及产业化</w:t>
      </w: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二、提名者</w:t>
      </w:r>
    </w:p>
    <w:p>
      <w:pPr>
        <w:spacing w:before="80" w:after="8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潍坊市科学技术局</w:t>
      </w: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三、提名等级</w:t>
      </w:r>
    </w:p>
    <w:p>
      <w:pPr>
        <w:spacing w:before="80" w:after="8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山东省科学技术进步奖一等奖</w:t>
      </w: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四、项目简介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D,L-蛋氨酸是重要的限制性氨基酸，能够促进动物生长，提高免疫力，是禽畜饲料的必需添加剂，市场需求量很大。该项目实施前，国内缺乏高品质D,L-蛋氨酸绿色合成关键技术，只能少量生产低质量D,L-蛋氨酸产品，市场被国外企业长期垄断，价格波动很大，严重制约了我国下游养殖业的健康发展。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针对以上现状，项目以为基础化工产品为原料，以工艺绿色化、生产连续化、控制自动化为目标，相继突破了关键中间体高效催化合成、脱碳母液前循环海因及D,L-蛋氨酸钾清洁合成、酸化反应结晶过程及重结晶晶型调控等“卡脖子”关键技术，形成了具有自主知识产权的高品质D,L-蛋氨酸绿色合成成套技术，并实现了大规模工业化生产。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项目已获授权中国发明专利19件，申请PCT专利7件（其中4件共获31个国家授权），获授权实用新型13件，构建了高品质D,L-蛋氨酸绿色合成工艺专利保护池，发表相关论文7篇。经鉴定该项目技术处于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14:ligatures w14:val="none"/>
        </w:rPr>
        <w:t>国际领先水平</w:t>
      </w: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。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项目已建成年产30万吨高品质D,L-蛋氨酸生产线，产品质量、物耗、能耗、三废排放量等关键指标均优于国内外同类企业水平，打破了国外企业对市场的垄断，进口价格下降超过25%，使新和成成为国内第一、全球著名的高品质D,L-蛋氨酸生产商。经济和社会效益非常显著。项目的成功实施保障了国内高品质D,L-蛋氨酸的供应安全，为下游养殖业的健康发展做出了重大贡献。</w:t>
      </w: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五、主要完成人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陈志荣、王志轩、王正江、尹红、陈聪、王勇、汤伟伟、王存超、张剑平、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李寅、陈彦飞、于丽丽、李松松、陈富场、冯晨</w:t>
      </w:r>
    </w:p>
    <w:p>
      <w:pPr>
        <w:spacing w:after="0"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z w:val="28"/>
          <w:szCs w:val="28"/>
          <w14:ligatures w14:val="none"/>
        </w:rPr>
      </w:pP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六、主要完成单位</w:t>
      </w:r>
    </w:p>
    <w:p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sz w:val="24"/>
          <w14:ligatures w14:val="none"/>
        </w:rPr>
        <w:t>山东新和成氨基酸有限公司、浙江大学、浙江新和成股份有限公司、天津大学</w:t>
      </w:r>
    </w:p>
    <w:p>
      <w:pPr>
        <w:spacing w:after="0" w:line="360" w:lineRule="auto"/>
        <w:ind w:firstLine="560" w:firstLineChars="200"/>
        <w:jc w:val="both"/>
        <w:rPr>
          <w:rFonts w:hint="default" w:ascii="Times New Roman" w:hAnsi="Times New Roman" w:eastAsia="黑体" w:cs="Times New Roman"/>
          <w:sz w:val="28"/>
          <w:szCs w:val="28"/>
          <w14:ligatures w14:val="none"/>
        </w:rPr>
      </w:pPr>
    </w:p>
    <w:p>
      <w:pPr>
        <w:spacing w:after="0" w:line="360" w:lineRule="auto"/>
        <w:ind w:firstLine="562" w:firstLineChars="20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14:ligatures w14:val="none"/>
        </w:rPr>
        <w:t>七、主要知识产权和标准规范等目录</w:t>
      </w:r>
    </w:p>
    <w:tbl>
      <w:tblPr>
        <w:tblStyle w:val="17"/>
        <w:tblW w:w="95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59"/>
        <w:gridCol w:w="684"/>
        <w:gridCol w:w="709"/>
        <w:gridCol w:w="767"/>
        <w:gridCol w:w="709"/>
        <w:gridCol w:w="1276"/>
        <w:gridCol w:w="1265"/>
        <w:gridCol w:w="708"/>
        <w:gridCol w:w="803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国家</w:t>
            </w:r>
          </w:p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证书编号（标准批准发布部门）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发明专利（标准）有效状态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第一完成人是否为发明人（标准起草人）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第一完成单位是否为权利人（标准起草单位）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制备2-羟基-4-甲硫基丁酸及其中间体的方法和装置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ZL201811296139.X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2021-02-05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4241038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山东新和成氨基酸有限公司；浙江大学；浙江新和成股份有限公司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陈志荣；尹红；胡柏剡；王正江；王志轩；陈聪；邱贵生；李其川；石清爱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一种清洁的D,L-蛋氨酸制备方法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ZL201210320297.0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2014-02-26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1353283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山东新和成氨基酸有限公司；浙江新和成股份有限公司；浙江大学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陈志荣；王存超；赵初秋；王苏娟；张成锋；龙涛；刘信洪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一种连续制备高堆积密度甲硫氨酸结晶的方法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ZL201510078388.1</w:t>
            </w:r>
          </w:p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2016-08-10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2162546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山东新和成氨基酸有限公司；浙江大学；浙江新和成股份有限公司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陈志荣；王志轩；陈聪；王正江；王存超；李寅；张志香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一种高效催化剂制备氢氰酸的方法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ZL202210304714.6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2023-12-12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6552470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山东新和成氨基酸有限公司；山东新和成精化科技有限公司；浙江新和成股份有限公司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王志轩；孟圆圆；杜振宇；郎咸东；王锦金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用于制备丙烯酸或丙烯醛的催化剂及其制备方法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ZL201910703145.0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2022-01-05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4903451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浙江新和成股份有限公司；浙江大学；山东新和成氨基酸有限公司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陈志荣；董延召；王志轩；王勇；王正江；于丽丽；龚鹏宇；李浩然；冯晨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钼基催化剂及其制备方法和应用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ZL201910611495.4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2021-11-02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4772049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浙江新和成股份有限公司；浙江大学；山东新和成氨基酸有限公司；山东新和成维生素有限公司；上虞新和成生物化工有限公司；山东新和成药业有限公司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王勇；王正江；吕国锋；马啸；王哲；于丽丽；唐静思；陈志荣；李浩然；王志轩；毛建拥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一种协同位点催化剂、其制备方法及其在硫醇和硫醚制备中的应用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ZL202110737403.4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2023-08-04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6203354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浙江大学；山东新和成氨基酸有限公司；浙江新和成股份有限公司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王勇；陈志荣；王哲；王正江；胡柏剡；尹红；陈聪；吴可军；张凯超；李其川；严辉焕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在甲硫氨酸制备过程中使用的添加剂及甲硫氨酸的制备方法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ZL201911412213.4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2022-01-28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4907476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山东新和成氨基酸有限公司；浙江大学；浙江新和成股份有限公司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陈志荣；尹红；王志轩；陈聪；张双双；王钰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用于蒸发结晶的装置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ZL201811291575.8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2023-08-29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6276663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浙江新和成股份有限公司；浙江大学；山东新和成氨基酸有限公司；山东新和成精化科技有限公司；山东新和成药业有限公司</w:t>
            </w:r>
          </w:p>
        </w:tc>
        <w:tc>
          <w:tcPr>
            <w:tcW w:w="1265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陈志荣；刘金龙；邱贵生；王志轩；马啸；周有桂；陈卫勇；刘晓庆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6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15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一种短棒状蛋氨酸晶体的多级连续结晶方法</w:t>
            </w:r>
          </w:p>
        </w:tc>
        <w:tc>
          <w:tcPr>
            <w:tcW w:w="684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ZL201811579207.3</w:t>
            </w:r>
          </w:p>
        </w:tc>
        <w:tc>
          <w:tcPr>
            <w:tcW w:w="767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2021-05-11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4418534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天津大学、山东新和成氨基酸有限公司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龚俊波；汤伟伟；王志轩；赵绍磊；尹秋响；侯宝红</w:t>
            </w:r>
          </w:p>
        </w:tc>
        <w:tc>
          <w:tcPr>
            <w:tcW w:w="708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授权</w:t>
            </w:r>
          </w:p>
        </w:tc>
        <w:tc>
          <w:tcPr>
            <w:tcW w:w="803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是</w:t>
            </w:r>
          </w:p>
        </w:tc>
      </w:tr>
    </w:tbl>
    <w:p>
      <w:pPr>
        <w:spacing w:after="0" w:line="44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z w:val="24"/>
          <w14:ligatures w14:val="none"/>
        </w:rPr>
      </w:pP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  <w:docVar w:name="KSO_WPS_MARK_KEY" w:val="9c70a9c2-e0db-412a-bf12-ae6663a684e8"/>
  </w:docVars>
  <w:rsids>
    <w:rsidRoot w:val="001E3D39"/>
    <w:rsid w:val="00001FE2"/>
    <w:rsid w:val="000273CC"/>
    <w:rsid w:val="000B3F59"/>
    <w:rsid w:val="000E4A9F"/>
    <w:rsid w:val="001450DA"/>
    <w:rsid w:val="0019317B"/>
    <w:rsid w:val="001E3D39"/>
    <w:rsid w:val="00240F59"/>
    <w:rsid w:val="00254041"/>
    <w:rsid w:val="00256043"/>
    <w:rsid w:val="002C1D47"/>
    <w:rsid w:val="00303ED3"/>
    <w:rsid w:val="0034219A"/>
    <w:rsid w:val="00346433"/>
    <w:rsid w:val="0040199D"/>
    <w:rsid w:val="00473A25"/>
    <w:rsid w:val="004B30E3"/>
    <w:rsid w:val="004C50E6"/>
    <w:rsid w:val="005557C9"/>
    <w:rsid w:val="00581CB5"/>
    <w:rsid w:val="005E12D6"/>
    <w:rsid w:val="00603D0E"/>
    <w:rsid w:val="00643F5F"/>
    <w:rsid w:val="006C0116"/>
    <w:rsid w:val="006F277E"/>
    <w:rsid w:val="007762AA"/>
    <w:rsid w:val="00777AC4"/>
    <w:rsid w:val="0079552C"/>
    <w:rsid w:val="00796FCA"/>
    <w:rsid w:val="00797301"/>
    <w:rsid w:val="007B2265"/>
    <w:rsid w:val="00866D91"/>
    <w:rsid w:val="00870D05"/>
    <w:rsid w:val="0087375B"/>
    <w:rsid w:val="00890467"/>
    <w:rsid w:val="00A65E88"/>
    <w:rsid w:val="00AC506C"/>
    <w:rsid w:val="00B5114A"/>
    <w:rsid w:val="00B87E04"/>
    <w:rsid w:val="00BC67A4"/>
    <w:rsid w:val="00C35712"/>
    <w:rsid w:val="00CC4DA5"/>
    <w:rsid w:val="00D14A48"/>
    <w:rsid w:val="00D2552E"/>
    <w:rsid w:val="00D35747"/>
    <w:rsid w:val="00DB1B7C"/>
    <w:rsid w:val="00DF532D"/>
    <w:rsid w:val="00E542AF"/>
    <w:rsid w:val="00EA65F6"/>
    <w:rsid w:val="00EA6703"/>
    <w:rsid w:val="00EC55C7"/>
    <w:rsid w:val="00F1552D"/>
    <w:rsid w:val="00F40E1B"/>
    <w:rsid w:val="00F7057B"/>
    <w:rsid w:val="00FC4A9C"/>
    <w:rsid w:val="00FD1CA8"/>
    <w:rsid w:val="091A1F36"/>
    <w:rsid w:val="0B2E4F7F"/>
    <w:rsid w:val="0C3C0C4D"/>
    <w:rsid w:val="1BF55316"/>
    <w:rsid w:val="32FE0CEC"/>
    <w:rsid w:val="40FA4F7A"/>
    <w:rsid w:val="47A12ACC"/>
    <w:rsid w:val="54F86BA1"/>
    <w:rsid w:val="58035E1A"/>
    <w:rsid w:val="7D92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1"/>
    <w:qFormat/>
    <w:uiPriority w:val="0"/>
    <w:pPr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2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日期 字符"/>
    <w:basedOn w:val="19"/>
    <w:link w:val="12"/>
    <w:semiHidden/>
    <w:qFormat/>
    <w:uiPriority w:val="99"/>
  </w:style>
  <w:style w:type="character" w:customStyle="1" w:styleId="41">
    <w:name w:val="纯文本 字符"/>
    <w:basedOn w:val="19"/>
    <w:link w:val="11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character" w:customStyle="1" w:styleId="42">
    <w:name w:val="纯文本 Char"/>
    <w:basedOn w:val="19"/>
    <w:qFormat/>
    <w:uiPriority w:val="0"/>
    <w:rPr>
      <w:rFonts w:ascii="仿宋_GB2312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2246</Words>
  <Characters>2649</Characters>
  <Lines>20</Lines>
  <Paragraphs>5</Paragraphs>
  <TotalTime>5</TotalTime>
  <ScaleCrop>false</ScaleCrop>
  <LinksUpToDate>false</LinksUpToDate>
  <CharactersWithSpaces>2670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2024-05-14T02:22:00Z</dcterms:created>
  <dc:creator>刘亚斌</dc:creator>
  <cp:lastModifiedBy>喔喔乃糖</cp:lastModifiedBy>
  <dcterms:modified xsi:type="dcterms:W3CDTF">2024-05-15T01:41:51Z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03D7C5DFB33D469198EA13DD29568FE1</vt:lpwstr>
  </property>
</Properties>
</file>