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2D1CB0">
      <w:pPr>
        <w:widowControl/>
        <w:ind w:firstLine="0" w:firstLineChars="0"/>
        <w:rPr>
          <w:rFonts w:hint="eastAsia"/>
        </w:rPr>
      </w:pPr>
      <w:r>
        <w:rPr>
          <w:rFonts w:ascii="黑体" w:hAnsi="宋体" w:eastAsia="黑体" w:cs="黑体"/>
          <w:color w:val="000000"/>
          <w:kern w:val="0"/>
          <w:sz w:val="31"/>
          <w:szCs w:val="31"/>
          <w:lang w:bidi="ar"/>
        </w:rPr>
        <w:t>附件1</w:t>
      </w:r>
    </w:p>
    <w:p w14:paraId="71B25A16">
      <w:pPr>
        <w:widowControl/>
        <w:spacing w:line="360" w:lineRule="auto"/>
        <w:ind w:firstLine="0" w:firstLineChars="0"/>
        <w:jc w:val="center"/>
        <w:rPr>
          <w:rFonts w:ascii="方正小标宋_GBK" w:hAnsi="方正小标宋_GBK" w:eastAsia="方正小标宋_GBK" w:cs="方正小标宋_GBK"/>
          <w:color w:val="000000"/>
          <w:kern w:val="0"/>
          <w:sz w:val="43"/>
          <w:szCs w:val="43"/>
          <w:lang w:bidi="ar"/>
        </w:rPr>
      </w:pPr>
    </w:p>
    <w:p w14:paraId="20F96585">
      <w:pPr>
        <w:widowControl/>
        <w:spacing w:line="360" w:lineRule="auto"/>
        <w:ind w:firstLine="0" w:firstLineChars="0"/>
        <w:jc w:val="center"/>
        <w:rPr>
          <w:rFonts w:hint="eastAsia" w:ascii="方正小标宋_GBK" w:hAnsi="方正小标宋_GBK" w:eastAsia="方正小标宋_GBK" w:cs="方正小标宋_GBK"/>
          <w:color w:val="000000"/>
          <w:kern w:val="0"/>
          <w:sz w:val="43"/>
          <w:szCs w:val="43"/>
          <w:lang w:bidi="ar"/>
        </w:rPr>
      </w:pPr>
    </w:p>
    <w:p w14:paraId="6236E923">
      <w:pPr>
        <w:widowControl/>
        <w:spacing w:line="360" w:lineRule="auto"/>
        <w:ind w:firstLine="0" w:firstLineChars="0"/>
        <w:jc w:val="center"/>
        <w:rPr>
          <w:rFonts w:hint="eastAsia"/>
        </w:rPr>
      </w:pPr>
      <w:r>
        <w:rPr>
          <w:rFonts w:ascii="方正小标宋_GBK" w:hAnsi="方正小标宋_GBK" w:eastAsia="方正小标宋_GBK" w:cs="方正小标宋_GBK"/>
          <w:color w:val="000000"/>
          <w:kern w:val="0"/>
          <w:sz w:val="43"/>
          <w:szCs w:val="43"/>
          <w:lang w:bidi="ar"/>
        </w:rPr>
        <w:t>东方电气集团-浙江大学联合创新研究院</w:t>
      </w:r>
    </w:p>
    <w:p w14:paraId="6F9ADA53">
      <w:pPr>
        <w:widowControl/>
        <w:spacing w:line="360" w:lineRule="auto"/>
        <w:ind w:firstLine="0" w:firstLineChars="0"/>
        <w:jc w:val="center"/>
        <w:rPr>
          <w:rFonts w:hint="eastAsia"/>
        </w:rPr>
      </w:pPr>
      <w:r>
        <w:rPr>
          <w:rFonts w:hint="eastAsia" w:ascii="方正小标宋_GBK" w:hAnsi="方正小标宋_GBK" w:eastAsia="方正小标宋_GBK" w:cs="方正小标宋_GBK"/>
          <w:color w:val="000000"/>
          <w:kern w:val="0"/>
          <w:sz w:val="43"/>
          <w:szCs w:val="43"/>
          <w:lang w:bidi="ar"/>
        </w:rPr>
        <w:t>第四批（2026年度）科技项目榜单</w:t>
      </w:r>
    </w:p>
    <w:p w14:paraId="22B69099">
      <w:pPr>
        <w:widowControl/>
        <w:ind w:firstLine="560"/>
        <w:rPr>
          <w:rFonts w:hint="eastAsia"/>
          <w:color w:val="000000"/>
          <w:kern w:val="0"/>
          <w:sz w:val="28"/>
          <w:szCs w:val="28"/>
          <w:lang w:bidi="ar"/>
        </w:rPr>
      </w:pPr>
    </w:p>
    <w:p w14:paraId="50D60D88">
      <w:pPr>
        <w:widowControl/>
        <w:ind w:firstLine="560"/>
        <w:rPr>
          <w:rFonts w:hint="eastAsia"/>
          <w:color w:val="000000"/>
          <w:kern w:val="0"/>
          <w:sz w:val="28"/>
          <w:szCs w:val="28"/>
          <w:lang w:bidi="ar"/>
        </w:rPr>
      </w:pPr>
    </w:p>
    <w:p w14:paraId="3ED1ECFA">
      <w:pPr>
        <w:widowControl/>
        <w:ind w:firstLine="560"/>
        <w:rPr>
          <w:color w:val="000000"/>
          <w:kern w:val="0"/>
          <w:sz w:val="28"/>
          <w:szCs w:val="28"/>
          <w:lang w:bidi="ar"/>
        </w:rPr>
      </w:pPr>
    </w:p>
    <w:p w14:paraId="1F703143">
      <w:pPr>
        <w:widowControl/>
        <w:ind w:firstLine="560"/>
        <w:rPr>
          <w:color w:val="000000"/>
          <w:kern w:val="0"/>
          <w:sz w:val="28"/>
          <w:szCs w:val="28"/>
          <w:lang w:bidi="ar"/>
        </w:rPr>
      </w:pPr>
    </w:p>
    <w:p w14:paraId="68F3553A">
      <w:pPr>
        <w:widowControl/>
        <w:ind w:firstLine="560"/>
        <w:rPr>
          <w:rFonts w:hint="eastAsia"/>
          <w:color w:val="000000"/>
          <w:kern w:val="0"/>
          <w:sz w:val="28"/>
          <w:szCs w:val="28"/>
          <w:lang w:bidi="ar"/>
        </w:rPr>
      </w:pPr>
    </w:p>
    <w:p w14:paraId="167D131B">
      <w:pPr>
        <w:widowControl/>
        <w:ind w:firstLine="560"/>
        <w:rPr>
          <w:rFonts w:hint="eastAsia"/>
          <w:color w:val="000000"/>
          <w:kern w:val="0"/>
          <w:sz w:val="28"/>
          <w:szCs w:val="28"/>
          <w:lang w:bidi="ar"/>
        </w:rPr>
      </w:pPr>
    </w:p>
    <w:p w14:paraId="1B1AD52A">
      <w:pPr>
        <w:widowControl/>
        <w:ind w:firstLine="560"/>
        <w:rPr>
          <w:rFonts w:hint="eastAsia"/>
          <w:color w:val="000000"/>
          <w:kern w:val="0"/>
          <w:sz w:val="28"/>
          <w:szCs w:val="28"/>
          <w:lang w:bidi="ar"/>
        </w:rPr>
      </w:pPr>
    </w:p>
    <w:p w14:paraId="6F707456">
      <w:pPr>
        <w:widowControl/>
        <w:ind w:firstLine="560"/>
        <w:rPr>
          <w:rFonts w:hint="eastAsia"/>
          <w:color w:val="000000"/>
          <w:kern w:val="0"/>
          <w:sz w:val="28"/>
          <w:szCs w:val="28"/>
          <w:lang w:bidi="ar"/>
        </w:rPr>
      </w:pPr>
    </w:p>
    <w:p w14:paraId="25A0D587">
      <w:pPr>
        <w:widowControl/>
        <w:ind w:firstLine="560"/>
        <w:rPr>
          <w:rFonts w:hint="eastAsia"/>
          <w:color w:val="000000"/>
          <w:kern w:val="0"/>
          <w:sz w:val="28"/>
          <w:szCs w:val="28"/>
          <w:lang w:bidi="ar"/>
        </w:rPr>
      </w:pPr>
    </w:p>
    <w:p w14:paraId="262C6374">
      <w:pPr>
        <w:widowControl/>
        <w:ind w:firstLine="0" w:firstLineChars="0"/>
        <w:rPr>
          <w:rFonts w:hint="eastAsia"/>
          <w:color w:val="000000"/>
          <w:kern w:val="0"/>
          <w:sz w:val="28"/>
          <w:szCs w:val="28"/>
          <w:lang w:bidi="ar"/>
        </w:rPr>
      </w:pPr>
    </w:p>
    <w:p w14:paraId="6B964C2F">
      <w:pPr>
        <w:widowControl/>
        <w:spacing w:line="560" w:lineRule="exact"/>
        <w:ind w:firstLine="0" w:firstLineChars="0"/>
        <w:jc w:val="center"/>
        <w:rPr>
          <w:color w:val="000000"/>
          <w:kern w:val="0"/>
          <w:lang w:bidi="ar"/>
        </w:rPr>
      </w:pPr>
      <w:r>
        <w:rPr>
          <w:color w:val="000000"/>
          <w:kern w:val="0"/>
          <w:lang w:bidi="ar"/>
        </w:rPr>
        <w:t>东方电气集团-浙江大学联合创新研究院</w:t>
      </w:r>
    </w:p>
    <w:p w14:paraId="6945460E">
      <w:pPr>
        <w:widowControl/>
        <w:spacing w:line="560" w:lineRule="exact"/>
        <w:ind w:firstLine="0" w:firstLineChars="0"/>
        <w:jc w:val="center"/>
        <w:rPr>
          <w:rFonts w:hint="eastAsia"/>
          <w:color w:val="000000"/>
          <w:kern w:val="0"/>
          <w:lang w:bidi="ar"/>
        </w:rPr>
      </w:pPr>
      <w:r>
        <w:rPr>
          <w:rFonts w:hint="eastAsia"/>
          <w:color w:val="000000"/>
          <w:kern w:val="0"/>
          <w:lang w:bidi="ar"/>
        </w:rPr>
        <w:t>二零二六年八月七日</w:t>
      </w:r>
    </w:p>
    <w:p w14:paraId="53D340F7">
      <w:pPr>
        <w:widowControl/>
        <w:spacing w:line="240" w:lineRule="auto"/>
        <w:ind w:firstLine="0" w:firstLineChars="0"/>
        <w:rPr>
          <w:rFonts w:hint="eastAsia"/>
          <w:color w:val="000000"/>
          <w:kern w:val="0"/>
          <w:lang w:bidi="ar"/>
        </w:rPr>
      </w:pPr>
      <w:r>
        <w:rPr>
          <w:rFonts w:hint="eastAsia"/>
          <w:color w:val="000000"/>
          <w:kern w:val="0"/>
          <w:lang w:bidi="ar"/>
        </w:rPr>
        <w:br w:type="page"/>
      </w:r>
    </w:p>
    <w:p w14:paraId="07B93438">
      <w:pPr>
        <w:pStyle w:val="2"/>
        <w:rPr>
          <w:rFonts w:hint="eastAsia" w:ascii="仿宋" w:hAnsi="仿宋" w:eastAsia="仿宋" w:cs="仿宋"/>
          <w:color w:val="000000"/>
          <w:kern w:val="0"/>
          <w:sz w:val="24"/>
          <w:szCs w:val="24"/>
          <w:lang w:bidi="ar"/>
        </w:rPr>
      </w:pPr>
      <w:r>
        <w:t>目</w:t>
      </w:r>
      <w:r>
        <w:rPr>
          <w:rFonts w:hint="eastAsia"/>
        </w:rPr>
        <w:t xml:space="preserve">   </w:t>
      </w:r>
      <w:r>
        <w:t>录</w:t>
      </w:r>
    </w:p>
    <w:p w14:paraId="410342F3">
      <w:pPr>
        <w:ind w:firstLine="0" w:firstLineChars="0"/>
        <w:rPr>
          <w:rFonts w:ascii="仿宋" w:hAnsi="仿宋" w:eastAsia="仿宋" w:cs="仿宋"/>
          <w:color w:val="000000"/>
          <w:kern w:val="0"/>
          <w:lang w:bidi="ar"/>
        </w:rPr>
      </w:pPr>
    </w:p>
    <w:p w14:paraId="67150722">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  高压电机长寿命防电晕涂层</w:t>
      </w:r>
    </w:p>
    <w:p w14:paraId="2CBF856F">
      <w:pPr>
        <w:ind w:firstLine="640"/>
        <w:rPr>
          <w:rFonts w:hint="eastAsia" w:ascii="仿宋" w:hAnsi="仿宋" w:eastAsia="仿宋" w:cs="仿宋"/>
          <w:color w:val="000000"/>
          <w:kern w:val="0"/>
          <w:lang w:bidi="ar"/>
        </w:rPr>
      </w:pPr>
      <w:r>
        <w:rPr>
          <w:rFonts w:hint="eastAsia" w:ascii="仿宋" w:hAnsi="仿宋" w:eastAsia="仿宋" w:cs="仿宋"/>
          <w:color w:val="000000"/>
          <w:kern w:val="0"/>
          <w:lang w:bidi="ar"/>
        </w:rPr>
        <w:t>耐老化机制研究及验证………………………………………1</w:t>
      </w:r>
    </w:p>
    <w:p w14:paraId="4A6EC43F">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课题2  发电装备大型部件变温环境及受力约束下的</w:t>
      </w:r>
    </w:p>
    <w:p w14:paraId="166B8553">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  关键几何特征形变机理与修正方法研究……………………4</w:t>
      </w:r>
    </w:p>
    <w:p w14:paraId="35E66BDD">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课题3  大直径熔盐储罐轻量化结构体系</w:t>
      </w:r>
    </w:p>
    <w:p w14:paraId="63C4C54A">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  创构及工程化应用研究……………………………………10</w:t>
      </w:r>
    </w:p>
    <w:p w14:paraId="0ED19714">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课题4  烟气深度节能余热回收新型气液板式</w:t>
      </w:r>
    </w:p>
    <w:p w14:paraId="199DA306">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  换热器开发…………………………………………………14</w:t>
      </w:r>
    </w:p>
    <w:p w14:paraId="4F83DEF7">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课题5  定日镜性能设计与寿命预测工业</w:t>
      </w:r>
    </w:p>
    <w:p w14:paraId="110D9601">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  软件研发……………………………………………………19</w:t>
      </w:r>
    </w:p>
    <w:p w14:paraId="514069E5">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课题6  基于瞬态模拟的定日镜阵列复杂风场</w:t>
      </w:r>
    </w:p>
    <w:p w14:paraId="2F2B659C">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  扰流特性与脉动风载规律研究……………………………23</w:t>
      </w:r>
    </w:p>
    <w:p w14:paraId="2EE5EF55">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课题7  燃气轮机不稳定燃烧预测方法………………………27</w:t>
      </w:r>
    </w:p>
    <w:p w14:paraId="461B6BAB">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课题8  风电场多构网源持续构网能力评估及时序</w:t>
      </w:r>
    </w:p>
    <w:p w14:paraId="24FE4628">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  协同构网策略研究…………………………………………30</w:t>
      </w:r>
    </w:p>
    <w:p w14:paraId="49D62780">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课题9  锂/钠混合储能系统相变直冷式</w:t>
      </w:r>
    </w:p>
    <w:p w14:paraId="37B63177">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  热管理关键技术研究………………………………………35</w:t>
      </w:r>
    </w:p>
    <w:p w14:paraId="63948582">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课题10  弱电网下全功率机组故障穿越控制策略及硬件</w:t>
      </w:r>
    </w:p>
    <w:p w14:paraId="53D2BFEA">
      <w:pPr>
        <w:ind w:firstLine="0" w:firstLineChars="0"/>
        <w:rPr>
          <w:rFonts w:hint="eastAsia" w:ascii="仿宋" w:hAnsi="仿宋" w:eastAsia="仿宋" w:cs="仿宋"/>
          <w:color w:val="000000"/>
          <w:kern w:val="0"/>
          <w:lang w:val="en-US" w:eastAsia="zh-CN" w:bidi="ar"/>
        </w:rPr>
      </w:pPr>
      <w:r>
        <w:rPr>
          <w:rFonts w:hint="eastAsia" w:ascii="仿宋" w:hAnsi="仿宋" w:eastAsia="仿宋" w:cs="仿宋"/>
          <w:color w:val="000000"/>
          <w:kern w:val="0"/>
          <w:lang w:bidi="ar"/>
        </w:rPr>
        <w:t>  极限能力评估方法研究……………………………………4</w:t>
      </w:r>
      <w:r>
        <w:rPr>
          <w:rFonts w:hint="eastAsia" w:ascii="仿宋" w:hAnsi="仿宋" w:eastAsia="仿宋" w:cs="仿宋"/>
          <w:color w:val="000000"/>
          <w:kern w:val="0"/>
          <w:lang w:val="en-US" w:eastAsia="zh-CN" w:bidi="ar"/>
        </w:rPr>
        <w:t>0</w:t>
      </w:r>
    </w:p>
    <w:p w14:paraId="57195F3B">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课题11  高端装备用高性能电机无感重载启动与极端工况</w:t>
      </w:r>
    </w:p>
    <w:p w14:paraId="03673181">
      <w:pPr>
        <w:ind w:firstLine="0" w:firstLineChars="0"/>
        <w:rPr>
          <w:rFonts w:hint="eastAsia" w:ascii="仿宋" w:hAnsi="仿宋" w:eastAsia="仿宋" w:cs="仿宋"/>
          <w:color w:val="000000"/>
          <w:kern w:val="0"/>
          <w:lang w:val="en-US" w:eastAsia="zh-CN" w:bidi="ar"/>
        </w:rPr>
      </w:pPr>
      <w:r>
        <w:rPr>
          <w:rFonts w:hint="eastAsia" w:ascii="仿宋" w:hAnsi="仿宋" w:eastAsia="仿宋" w:cs="仿宋"/>
          <w:color w:val="000000"/>
          <w:kern w:val="0"/>
          <w:lang w:bidi="ar"/>
        </w:rPr>
        <w:t>  自适应控制技术研究………………………………………4</w:t>
      </w:r>
      <w:r>
        <w:rPr>
          <w:rFonts w:hint="eastAsia" w:ascii="仿宋" w:hAnsi="仿宋" w:eastAsia="仿宋" w:cs="仿宋"/>
          <w:color w:val="000000"/>
          <w:kern w:val="0"/>
          <w:lang w:val="en-US" w:eastAsia="zh-CN" w:bidi="ar"/>
        </w:rPr>
        <w:t>4</w:t>
      </w:r>
    </w:p>
    <w:p w14:paraId="28E2D7E3">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课题12  大功率海上风电机组支撑结构一体化</w:t>
      </w:r>
    </w:p>
    <w:p w14:paraId="2180F7E2">
      <w:pPr>
        <w:ind w:firstLine="0" w:firstLineChars="0"/>
        <w:rPr>
          <w:rFonts w:hint="eastAsia" w:ascii="仿宋" w:hAnsi="仿宋" w:eastAsia="仿宋" w:cs="仿宋"/>
          <w:color w:val="000000"/>
          <w:kern w:val="0"/>
          <w:lang w:val="en-US" w:eastAsia="zh-CN" w:bidi="ar"/>
        </w:rPr>
      </w:pPr>
      <w:r>
        <w:rPr>
          <w:rFonts w:hint="eastAsia" w:ascii="仿宋" w:hAnsi="仿宋" w:eastAsia="仿宋" w:cs="仿宋"/>
          <w:color w:val="000000"/>
          <w:kern w:val="0"/>
          <w:lang w:bidi="ar"/>
        </w:rPr>
        <w:t>  设计优化技术研究…………………………………………5</w:t>
      </w:r>
      <w:r>
        <w:rPr>
          <w:rFonts w:hint="eastAsia" w:ascii="仿宋" w:hAnsi="仿宋" w:eastAsia="仿宋" w:cs="仿宋"/>
          <w:color w:val="000000"/>
          <w:kern w:val="0"/>
          <w:lang w:val="en-US" w:eastAsia="zh-CN" w:bidi="ar"/>
        </w:rPr>
        <w:t>2</w:t>
      </w:r>
    </w:p>
    <w:p w14:paraId="6BB25976">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课题13  基于磁性纤维的高灵敏风电叶片应变</w:t>
      </w:r>
    </w:p>
    <w:p w14:paraId="341F0532">
      <w:pPr>
        <w:ind w:firstLine="0" w:firstLineChars="0"/>
        <w:rPr>
          <w:rFonts w:hint="eastAsia" w:ascii="仿宋" w:hAnsi="仿宋" w:eastAsia="仿宋" w:cs="仿宋"/>
          <w:color w:val="000000"/>
          <w:kern w:val="0"/>
          <w:lang w:val="en-US" w:eastAsia="zh-CN" w:bidi="ar"/>
        </w:rPr>
      </w:pPr>
      <w:r>
        <w:rPr>
          <w:rFonts w:hint="eastAsia" w:ascii="仿宋" w:hAnsi="仿宋" w:eastAsia="仿宋" w:cs="仿宋"/>
          <w:color w:val="000000"/>
          <w:kern w:val="0"/>
          <w:lang w:bidi="ar"/>
        </w:rPr>
        <w:t>  监测关键技术研究…………………………………………5</w:t>
      </w:r>
      <w:r>
        <w:rPr>
          <w:rFonts w:hint="eastAsia" w:ascii="仿宋" w:hAnsi="仿宋" w:eastAsia="仿宋" w:cs="仿宋"/>
          <w:color w:val="000000"/>
          <w:kern w:val="0"/>
          <w:lang w:val="en-US" w:eastAsia="zh-CN" w:bidi="ar"/>
        </w:rPr>
        <w:t>6</w:t>
      </w:r>
    </w:p>
    <w:p w14:paraId="2517166C">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课题14  基于多源信息融合的叶片缺陷识别</w:t>
      </w:r>
    </w:p>
    <w:p w14:paraId="01C3FD1D">
      <w:pPr>
        <w:ind w:firstLine="0" w:firstLineChars="0"/>
        <w:rPr>
          <w:rFonts w:hint="eastAsia" w:ascii="仿宋" w:hAnsi="仿宋" w:eastAsia="仿宋" w:cs="仿宋"/>
          <w:color w:val="000000"/>
          <w:kern w:val="0"/>
          <w:lang w:val="en-US" w:eastAsia="zh-CN" w:bidi="ar"/>
        </w:rPr>
      </w:pPr>
      <w:r>
        <w:rPr>
          <w:rFonts w:hint="eastAsia" w:ascii="仿宋" w:hAnsi="仿宋" w:eastAsia="仿宋" w:cs="仿宋"/>
          <w:color w:val="000000"/>
          <w:kern w:val="0"/>
          <w:lang w:bidi="ar"/>
        </w:rPr>
        <w:t>  与定位技术…………………………………………………6</w:t>
      </w:r>
      <w:r>
        <w:rPr>
          <w:rFonts w:hint="eastAsia" w:ascii="仿宋" w:hAnsi="仿宋" w:eastAsia="仿宋" w:cs="仿宋"/>
          <w:color w:val="000000"/>
          <w:kern w:val="0"/>
          <w:lang w:val="en-US" w:eastAsia="zh-CN" w:bidi="ar"/>
        </w:rPr>
        <w:t>0</w:t>
      </w:r>
    </w:p>
    <w:p w14:paraId="56D1E6C6">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课题15  交错并联及风储一体构网变流器</w:t>
      </w:r>
    </w:p>
    <w:p w14:paraId="4D8F1E56">
      <w:pPr>
        <w:ind w:firstLine="0" w:firstLineChars="0"/>
        <w:rPr>
          <w:rFonts w:hint="eastAsia" w:ascii="仿宋" w:hAnsi="仿宋" w:eastAsia="仿宋" w:cs="仿宋"/>
          <w:color w:val="000000"/>
          <w:kern w:val="0"/>
          <w:lang w:val="en-US" w:eastAsia="zh-CN" w:bidi="ar"/>
        </w:rPr>
      </w:pPr>
      <w:r>
        <w:rPr>
          <w:rFonts w:hint="eastAsia" w:ascii="仿宋" w:hAnsi="仿宋" w:eastAsia="仿宋" w:cs="仿宋"/>
          <w:color w:val="000000"/>
          <w:kern w:val="0"/>
          <w:lang w:bidi="ar"/>
        </w:rPr>
        <w:t>  关键技术研究项目…………………………………………6</w:t>
      </w:r>
      <w:r>
        <w:rPr>
          <w:rFonts w:hint="eastAsia" w:ascii="仿宋" w:hAnsi="仿宋" w:eastAsia="仿宋" w:cs="仿宋"/>
          <w:color w:val="000000"/>
          <w:kern w:val="0"/>
          <w:lang w:val="en-US" w:eastAsia="zh-CN" w:bidi="ar"/>
        </w:rPr>
        <w:t>4</w:t>
      </w:r>
    </w:p>
    <w:p w14:paraId="068BA303">
      <w:pPr>
        <w:ind w:firstLine="0" w:firstLineChars="0"/>
        <w:rPr>
          <w:rFonts w:hint="eastAsia" w:ascii="仿宋" w:hAnsi="仿宋" w:eastAsia="仿宋" w:cs="仿宋"/>
          <w:color w:val="000000"/>
          <w:kern w:val="0"/>
          <w:lang w:bidi="ar"/>
        </w:rPr>
      </w:pPr>
      <w:r>
        <w:rPr>
          <w:rFonts w:hint="eastAsia" w:ascii="仿宋" w:hAnsi="仿宋" w:eastAsia="仿宋" w:cs="仿宋"/>
          <w:color w:val="000000"/>
          <w:kern w:val="0"/>
          <w:lang w:bidi="ar"/>
        </w:rPr>
        <w:t>课题16  大型曲面爬行机器人自主路径规划</w:t>
      </w:r>
    </w:p>
    <w:p w14:paraId="35F94E6E">
      <w:pPr>
        <w:ind w:firstLine="0" w:firstLineChars="0"/>
        <w:rPr>
          <w:rFonts w:hint="default" w:eastAsia="仿宋"/>
          <w:lang w:val="en-US" w:eastAsia="zh-CN"/>
        </w:rPr>
      </w:pPr>
      <w:r>
        <w:rPr>
          <w:rFonts w:hint="eastAsia" w:ascii="仿宋" w:hAnsi="仿宋" w:eastAsia="仿宋" w:cs="仿宋"/>
          <w:color w:val="000000"/>
          <w:kern w:val="0"/>
          <w:lang w:bidi="ar"/>
        </w:rPr>
        <w:t>  技术研究及应用……………………………………………</w:t>
      </w:r>
      <w:r>
        <w:rPr>
          <w:rFonts w:hint="eastAsia" w:ascii="仿宋" w:hAnsi="仿宋" w:eastAsia="仿宋" w:cs="仿宋"/>
          <w:color w:val="000000"/>
          <w:kern w:val="0"/>
          <w:lang w:val="en-US" w:eastAsia="zh-CN" w:bidi="ar"/>
        </w:rPr>
        <w:t>68</w:t>
      </w:r>
      <w:bookmarkStart w:id="19" w:name="_GoBack"/>
      <w:bookmarkEnd w:id="19"/>
    </w:p>
    <w:p w14:paraId="3842AF79">
      <w:pPr>
        <w:pStyle w:val="2"/>
        <w:rPr>
          <w:rFonts w:hint="eastAsia"/>
        </w:rPr>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1417" w:gutter="0"/>
          <w:pgNumType w:start="1"/>
          <w:cols w:space="720" w:num="1"/>
          <w:docGrid w:type="lines" w:linePitch="312" w:charSpace="0"/>
        </w:sectPr>
      </w:pPr>
    </w:p>
    <w:p w14:paraId="715282CE">
      <w:pPr>
        <w:pStyle w:val="2"/>
        <w:rPr>
          <w:rFonts w:hint="eastAsia"/>
        </w:rPr>
      </w:pPr>
      <w:r>
        <w:t>高压电机长寿命防电晕涂层耐老化机制研究及验证</w:t>
      </w:r>
      <w:r>
        <w:rPr>
          <w:rFonts w:hint="eastAsia"/>
        </w:rPr>
        <w:t>项目</w:t>
      </w:r>
      <w:r>
        <w:t>指南</w:t>
      </w:r>
    </w:p>
    <w:p w14:paraId="57A81831">
      <w:pPr>
        <w:keepNext/>
        <w:keepLines/>
        <w:ind w:firstLine="640"/>
        <w:jc w:val="both"/>
        <w:outlineLvl w:val="1"/>
        <w:rPr>
          <w:rFonts w:ascii="黑体" w:hAnsi="黑体" w:eastAsia="黑体"/>
        </w:rPr>
      </w:pPr>
    </w:p>
    <w:p w14:paraId="05710E7A">
      <w:pPr>
        <w:keepNext/>
        <w:keepLines/>
        <w:ind w:firstLine="640"/>
        <w:jc w:val="both"/>
        <w:outlineLvl w:val="1"/>
        <w:rPr>
          <w:rFonts w:hint="eastAsia" w:ascii="黑体" w:hAnsi="黑体" w:eastAsia="黑体"/>
        </w:rPr>
      </w:pPr>
      <w:r>
        <w:rPr>
          <w:rFonts w:ascii="黑体" w:hAnsi="黑体" w:eastAsia="黑体"/>
        </w:rPr>
        <w:t>一、项目基本信息</w:t>
      </w:r>
    </w:p>
    <w:p w14:paraId="5D4518B0">
      <w:pPr>
        <w:ind w:firstLine="640"/>
        <w:jc w:val="both"/>
        <w:rPr>
          <w:rFonts w:hint="eastAsia"/>
        </w:rPr>
      </w:pPr>
      <w:r>
        <w:t>项目类型：技术提升项目</w:t>
      </w:r>
    </w:p>
    <w:p w14:paraId="3ED104E2">
      <w:pPr>
        <w:ind w:firstLine="640"/>
        <w:jc w:val="both"/>
        <w:rPr>
          <w:rFonts w:hint="eastAsia"/>
        </w:rPr>
      </w:pPr>
      <w:r>
        <w:t>技术成熟度：项目完成后，预计技术成熟度达到5级</w:t>
      </w:r>
    </w:p>
    <w:p w14:paraId="73B52FFC">
      <w:pPr>
        <w:ind w:firstLine="640"/>
        <w:jc w:val="both"/>
        <w:rPr>
          <w:rFonts w:hint="eastAsia"/>
        </w:rPr>
      </w:pPr>
      <w:r>
        <w:t>需求单位及联系人：</w:t>
      </w:r>
    </w:p>
    <w:p w14:paraId="08FEC73E">
      <w:pPr>
        <w:ind w:firstLine="640"/>
        <w:jc w:val="both"/>
        <w:rPr>
          <w:rFonts w:hint="eastAsia"/>
        </w:rPr>
      </w:pPr>
      <w:r>
        <w:t>东方电机 何明鹏 15196345515</w:t>
      </w:r>
    </w:p>
    <w:p w14:paraId="312E5032">
      <w:pPr>
        <w:ind w:firstLine="640"/>
        <w:jc w:val="both"/>
        <w:rPr>
          <w:rFonts w:hint="eastAsia"/>
        </w:rPr>
      </w:pPr>
      <w:r>
        <w:rPr>
          <w:rFonts w:hint="eastAsia"/>
        </w:rPr>
        <w:t>东树新材料 周百能 15892461260</w:t>
      </w:r>
    </w:p>
    <w:p w14:paraId="58C74A41">
      <w:pPr>
        <w:keepNext/>
        <w:keepLines/>
        <w:ind w:firstLine="640"/>
        <w:jc w:val="both"/>
        <w:outlineLvl w:val="1"/>
        <w:rPr>
          <w:rFonts w:hint="eastAsia" w:ascii="黑体" w:hAnsi="黑体" w:eastAsia="黑体"/>
        </w:rPr>
      </w:pPr>
      <w:r>
        <w:rPr>
          <w:rFonts w:ascii="黑体" w:hAnsi="黑体" w:eastAsia="黑体"/>
        </w:rPr>
        <w:t>二、研究背景</w:t>
      </w:r>
    </w:p>
    <w:p w14:paraId="70789360">
      <w:pPr>
        <w:ind w:firstLine="640"/>
        <w:jc w:val="both"/>
        <w:rPr>
          <w:rFonts w:hint="eastAsia"/>
        </w:rPr>
      </w:pPr>
      <w:r>
        <w:t>高海拔地区空气稀薄，更容易电离，致使发电机组的定子绕组电晕问题更加凸显。特别是近年来随着发电机组额定容量、额定电压、海拔高度的不断提升，以水轮发电机为代表的空冷发电机定子绕组电晕防控和处理已成为行业公认的技术难题。根据初步调研和分析，我们发现定子线棒防晕层在机组长期运行环境下，会受热应力、电应力以及环境应力的影响，从而导致防晕层的导电特性发生变化，致使防晕层出现逐步劣化、失效，进而发生定子绕组电晕问题。因此如何提高防晕材料的长期稳定性能越来越受到重视，而高压电机长寿命防电晕涂层耐老化机制研究对于解决这一问题至关重要。通过本项目的开发，高压电机长寿命防电晕涂层耐老化寿命提升不低于30%，能够为发电机绝缘与防晕设计研发及机组安全可靠运行提供重要技术支撑，对于解决高海拔空冷电机定子绕组电晕具有重要意义。</w:t>
      </w:r>
    </w:p>
    <w:p w14:paraId="5CBABC10">
      <w:pPr>
        <w:keepNext/>
        <w:keepLines/>
        <w:ind w:firstLine="640"/>
        <w:jc w:val="both"/>
        <w:outlineLvl w:val="1"/>
        <w:rPr>
          <w:rFonts w:hint="eastAsia" w:ascii="黑体" w:hAnsi="黑体" w:eastAsia="黑体"/>
        </w:rPr>
      </w:pPr>
      <w:r>
        <w:rPr>
          <w:rFonts w:ascii="黑体" w:hAnsi="黑体" w:eastAsia="黑体"/>
        </w:rPr>
        <w:t>三、研究内容</w:t>
      </w:r>
    </w:p>
    <w:p w14:paraId="02CDAB20">
      <w:pPr>
        <w:ind w:firstLine="640"/>
        <w:jc w:val="both"/>
        <w:rPr>
          <w:rFonts w:hint="eastAsia"/>
        </w:rPr>
      </w:pPr>
      <w:r>
        <w:rPr>
          <w:rFonts w:hint="eastAsia"/>
        </w:rPr>
        <w:t>1.</w:t>
      </w:r>
      <w:r>
        <w:t>长寿命防晕涂层材料及结构的抗老化性能试验：通过高通量的微观材料测试分析技术，结合电学、力学等宏观性能，对防晕涂层多维度老化演变表征分析。</w:t>
      </w:r>
    </w:p>
    <w:p w14:paraId="272AA106">
      <w:pPr>
        <w:ind w:firstLine="640"/>
        <w:jc w:val="both"/>
        <w:rPr>
          <w:rFonts w:hint="eastAsia"/>
        </w:rPr>
      </w:pPr>
      <w:r>
        <w:rPr>
          <w:rFonts w:hint="eastAsia"/>
        </w:rPr>
        <w:t>2.</w:t>
      </w:r>
      <w:r>
        <w:t>基于分子动力学等理论计算的长寿命防晕涂层抗老化机理分析：通过分子动力学模拟等理论计算研究防晕涂层老化过程中的微观结构演变，结合试验结果解析长寿命防晕涂层的抗老化机理。</w:t>
      </w:r>
    </w:p>
    <w:p w14:paraId="29703814">
      <w:pPr>
        <w:ind w:firstLine="640"/>
        <w:jc w:val="both"/>
        <w:rPr>
          <w:rFonts w:hint="eastAsia"/>
        </w:rPr>
      </w:pPr>
      <w:r>
        <w:rPr>
          <w:rFonts w:hint="eastAsia"/>
        </w:rPr>
        <w:t>3.</w:t>
      </w:r>
      <w:r>
        <w:t>长寿命防电晕涂层材料关键应用技术开发：基于有限元的多物理场仿真软件，计算分析定子线棒的电场、损耗分布情况，综合长寿命防晕涂层材料的电气、理化特性以及耐热氧老化特性，完成对防晕结构以及制造工艺参数的设计优化。</w:t>
      </w:r>
    </w:p>
    <w:p w14:paraId="51241A07">
      <w:pPr>
        <w:keepNext/>
        <w:keepLines/>
        <w:ind w:firstLine="640"/>
        <w:jc w:val="both"/>
        <w:outlineLvl w:val="1"/>
        <w:rPr>
          <w:rFonts w:hint="eastAsia" w:ascii="黑体" w:hAnsi="黑体" w:eastAsia="黑体"/>
        </w:rPr>
      </w:pPr>
      <w:r>
        <w:rPr>
          <w:rFonts w:ascii="黑体" w:hAnsi="黑体" w:eastAsia="黑体"/>
        </w:rPr>
        <w:t>四、交付成果及指标</w:t>
      </w:r>
    </w:p>
    <w:p w14:paraId="7107524F">
      <w:pPr>
        <w:ind w:firstLine="640"/>
        <w:jc w:val="both"/>
        <w:rPr>
          <w:rFonts w:hint="eastAsia"/>
        </w:rPr>
      </w:pPr>
      <w:r>
        <w:rPr>
          <w:rFonts w:hint="eastAsia"/>
        </w:rPr>
        <w:t>1.</w:t>
      </w:r>
      <w:r>
        <w:t>高电压长寿命防晕涂层材料长期多因子老化特性研究报告，包含各老化阶段防晕涂层进行微观性能及电学、力学等宏观性能演变特征，分析防晕材料劣化失效的关键原因</w:t>
      </w:r>
      <w:r>
        <w:rPr>
          <w:rFonts w:hint="eastAsia"/>
        </w:rPr>
        <w:t>。</w:t>
      </w:r>
    </w:p>
    <w:p w14:paraId="40EDA3C0">
      <w:pPr>
        <w:ind w:firstLine="640"/>
        <w:jc w:val="both"/>
        <w:rPr>
          <w:rFonts w:hint="eastAsia"/>
        </w:rPr>
      </w:pPr>
      <w:r>
        <w:rPr>
          <w:rFonts w:hint="eastAsia"/>
        </w:rPr>
        <w:t>2.</w:t>
      </w:r>
      <w:r>
        <w:t>长寿命防晕涂层材料抗老化机理研究报告，通过电场、热场下的涂层材料劣化过程模拟计算，解析其抗老化机理，构建长寿命防晕涂层材料的设计策略</w:t>
      </w:r>
      <w:r>
        <w:rPr>
          <w:rFonts w:hint="eastAsia"/>
        </w:rPr>
        <w:t>。</w:t>
      </w:r>
    </w:p>
    <w:p w14:paraId="77AFCABF">
      <w:pPr>
        <w:ind w:firstLine="640"/>
        <w:jc w:val="both"/>
        <w:rPr>
          <w:rFonts w:hint="eastAsia"/>
        </w:rPr>
      </w:pPr>
      <w:r>
        <w:rPr>
          <w:rFonts w:hint="eastAsia"/>
        </w:rPr>
        <w:t>3.</w:t>
      </w:r>
      <w:r>
        <w:t>高海拔长寿命防电晕涂层材料关键应用技术：以长寿命防晕涂层材料为对象，完成对发电机定子线棒防晕结构的设计与优化，并通过仿真与试验相结合，实现对其抗老化性能的验证。</w:t>
      </w:r>
    </w:p>
    <w:p w14:paraId="2E0204F6">
      <w:pPr>
        <w:ind w:firstLine="640"/>
        <w:jc w:val="both"/>
        <w:rPr>
          <w:rFonts w:hint="eastAsia"/>
        </w:rPr>
      </w:pPr>
      <w:r>
        <w:rPr>
          <w:rFonts w:hint="eastAsia"/>
        </w:rPr>
        <w:t>4.</w:t>
      </w:r>
      <w:r>
        <w:t>高压电机长寿命防电晕涂层耐老化寿命提升不低于30%；发表论文1篇，申报专利1件</w:t>
      </w:r>
      <w:r>
        <w:rPr>
          <w:rFonts w:hint="eastAsia"/>
        </w:rPr>
        <w:t>。</w:t>
      </w:r>
    </w:p>
    <w:p w14:paraId="1E8529B6">
      <w:pPr>
        <w:ind w:firstLine="640"/>
        <w:jc w:val="both"/>
        <w:rPr>
          <w:rFonts w:hint="eastAsia"/>
        </w:rPr>
      </w:pPr>
      <w:r>
        <w:rPr>
          <w:rFonts w:hint="eastAsia"/>
        </w:rPr>
        <w:t>5.防晕绝缘材料多因子老化试验平台1套，产权归东方电机所有。</w:t>
      </w:r>
    </w:p>
    <w:p w14:paraId="759DE482">
      <w:pPr>
        <w:keepNext/>
        <w:keepLines/>
        <w:ind w:firstLine="640"/>
        <w:jc w:val="both"/>
        <w:outlineLvl w:val="1"/>
        <w:rPr>
          <w:rFonts w:hint="eastAsia" w:ascii="黑体" w:hAnsi="黑体" w:eastAsia="黑体"/>
        </w:rPr>
      </w:pPr>
      <w:r>
        <w:rPr>
          <w:rFonts w:hint="eastAsia" w:ascii="黑体" w:hAnsi="黑体" w:eastAsia="黑体"/>
        </w:rPr>
        <w:t>五、</w:t>
      </w:r>
      <w:r>
        <w:rPr>
          <w:rFonts w:ascii="黑体" w:hAnsi="黑体" w:eastAsia="黑体"/>
        </w:rPr>
        <w:t>项目执行周期</w:t>
      </w:r>
    </w:p>
    <w:p w14:paraId="455454AD">
      <w:pPr>
        <w:ind w:firstLine="640"/>
        <w:jc w:val="both"/>
        <w:rPr>
          <w:rFonts w:hint="eastAsia"/>
        </w:rPr>
      </w:pPr>
      <w:r>
        <w:t>本项目执行周期为18个月。</w:t>
      </w:r>
    </w:p>
    <w:p w14:paraId="4F4137A7">
      <w:pPr>
        <w:keepNext/>
        <w:keepLines/>
        <w:ind w:firstLine="640"/>
        <w:jc w:val="both"/>
        <w:outlineLvl w:val="1"/>
        <w:rPr>
          <w:rFonts w:hint="eastAsia" w:ascii="黑体" w:hAnsi="黑体" w:eastAsia="黑体"/>
        </w:rPr>
      </w:pPr>
      <w:r>
        <w:rPr>
          <w:rFonts w:ascii="黑体" w:hAnsi="黑体" w:eastAsia="黑体"/>
        </w:rPr>
        <w:t>六、经费概算</w:t>
      </w:r>
    </w:p>
    <w:p w14:paraId="1400F476">
      <w:pPr>
        <w:ind w:firstLine="640"/>
        <w:jc w:val="both"/>
        <w:rPr>
          <w:rFonts w:hint="eastAsia"/>
        </w:rPr>
      </w:pPr>
      <w:r>
        <w:t>本项目总预算为130万元。</w:t>
      </w:r>
    </w:p>
    <w:p w14:paraId="03AF10D6">
      <w:pPr>
        <w:ind w:firstLine="640"/>
        <w:jc w:val="both"/>
        <w:rPr>
          <w:rFonts w:hint="eastAsia"/>
        </w:rPr>
      </w:pPr>
    </w:p>
    <w:p w14:paraId="6E259D88">
      <w:pPr>
        <w:pStyle w:val="2"/>
        <w:jc w:val="both"/>
        <w:rPr>
          <w:rFonts w:hint="eastAsia"/>
        </w:rPr>
        <w:sectPr>
          <w:footerReference r:id="rId11" w:type="default"/>
          <w:pgSz w:w="11906" w:h="16838"/>
          <w:pgMar w:top="2098" w:right="1474" w:bottom="1984" w:left="1587" w:header="851" w:footer="1417" w:gutter="0"/>
          <w:pgNumType w:start="1"/>
          <w:cols w:space="720" w:num="1"/>
          <w:docGrid w:type="lines" w:linePitch="312" w:charSpace="0"/>
        </w:sectPr>
      </w:pPr>
    </w:p>
    <w:p w14:paraId="341968A9">
      <w:pPr>
        <w:pStyle w:val="2"/>
        <w:rPr>
          <w:rFonts w:hint="eastAsia"/>
        </w:rPr>
      </w:pPr>
      <w:r>
        <w:rPr>
          <w:rFonts w:hint="eastAsia"/>
        </w:rPr>
        <w:t>发电装备大型部件变温环境及受力约束下的关键几何特征形变机理与修正方法研究</w:t>
      </w:r>
      <w:r>
        <w:t>项目指南</w:t>
      </w:r>
    </w:p>
    <w:p w14:paraId="4DD0F7C8">
      <w:pPr>
        <w:ind w:firstLine="0" w:firstLineChars="0"/>
        <w:jc w:val="both"/>
        <w:rPr>
          <w:rFonts w:hint="eastAsia"/>
        </w:rPr>
      </w:pPr>
    </w:p>
    <w:p w14:paraId="64BE8C12">
      <w:pPr>
        <w:pStyle w:val="3"/>
        <w:ind w:firstLine="640"/>
        <w:rPr>
          <w:rFonts w:hint="eastAsia"/>
        </w:rPr>
      </w:pPr>
      <w:r>
        <w:t>一、项目基本信息</w:t>
      </w:r>
    </w:p>
    <w:p w14:paraId="7D107543">
      <w:pPr>
        <w:ind w:firstLine="640"/>
        <w:rPr>
          <w:rFonts w:hint="eastAsia"/>
        </w:rPr>
      </w:pPr>
      <w:r>
        <w:rPr>
          <w:rFonts w:hint="eastAsia"/>
        </w:rPr>
        <w:t>项目类型：技术提升项目（质量提升）</w:t>
      </w:r>
    </w:p>
    <w:p w14:paraId="7B6F8CAA">
      <w:pPr>
        <w:ind w:firstLine="640"/>
        <w:rPr>
          <w:rFonts w:hint="eastAsia"/>
        </w:rPr>
      </w:pPr>
      <w:r>
        <w:rPr>
          <w:rFonts w:hint="eastAsia"/>
        </w:rPr>
        <w:t>技术成熟度：项目完成后，预计技术成熟度达到8级</w:t>
      </w:r>
    </w:p>
    <w:p w14:paraId="01744362">
      <w:pPr>
        <w:ind w:firstLine="640"/>
        <w:rPr>
          <w:rFonts w:hint="eastAsia"/>
        </w:rPr>
      </w:pPr>
      <w:r>
        <w:rPr>
          <w:rFonts w:hint="eastAsia"/>
        </w:rPr>
        <w:t>需求单位及联系人：</w:t>
      </w:r>
    </w:p>
    <w:p w14:paraId="6449B02F">
      <w:pPr>
        <w:ind w:firstLine="640"/>
        <w:rPr>
          <w:rFonts w:hint="eastAsia"/>
        </w:rPr>
      </w:pPr>
      <w:r>
        <w:rPr>
          <w:rFonts w:hint="eastAsia"/>
        </w:rPr>
        <w:t>东方电机 刘甲元 18728024882</w:t>
      </w:r>
    </w:p>
    <w:p w14:paraId="79F8F402">
      <w:pPr>
        <w:ind w:firstLine="640"/>
        <w:rPr>
          <w:rFonts w:hint="eastAsia"/>
        </w:rPr>
      </w:pPr>
      <w:r>
        <w:rPr>
          <w:rFonts w:hint="eastAsia"/>
        </w:rPr>
        <w:t>东方武核 魏煌臻 18271942628</w:t>
      </w:r>
    </w:p>
    <w:p w14:paraId="5EB5DC79">
      <w:pPr>
        <w:pStyle w:val="3"/>
        <w:ind w:firstLine="640"/>
        <w:rPr>
          <w:rFonts w:hint="eastAsia"/>
        </w:rPr>
      </w:pPr>
      <w:r>
        <w:t>二、研究背景</w:t>
      </w:r>
    </w:p>
    <w:p w14:paraId="01D7EF98">
      <w:pPr>
        <w:ind w:firstLine="640"/>
        <w:rPr>
          <w:rFonts w:hint="eastAsia"/>
        </w:rPr>
      </w:pPr>
      <w:r>
        <w:rPr>
          <w:rFonts w:hint="eastAsia"/>
        </w:rPr>
        <w:t>发电装备典型产品中包含一系列大尺寸的核心部件，如转轮、球阀、座环、顶盖、机座等。这些大型部件的加工精度直接决定了重大装备的性能与寿命。当前，东方电机在大型工件的大尺寸精密加工中面临严峻的“热环境”与“力约束”的双重挑战：在非恒温车间环境下，受季节性气温波动及加工切削热影响，机床、巨型工件及测量工具均会产生显著的热变形，如转轮、球阀、机座等。这种多源耦合的热误差往往达到微米甚至毫米级，严重制约了加工精度，且量具与工件的非协同热变形使得尺寸精确补偿变得十分困难。对于大型弱刚性部件在加工过程中受到装夹力约束得到的加工尺寸，当其恢复到自由状态后会因为弹性形变而导致尺寸发生显著变化，使得后续的产品装配无法实现，如球阀缸套、顶盖及底环止漏环等。对于大型分瓣部件在组圆装配前后发生的弹性形变，会导致单瓣加工时关键的形位特征发生变化而影响精确找正与定位，如分瓣顶盖或分瓣底环的轴孔加工。</w:t>
      </w:r>
    </w:p>
    <w:p w14:paraId="540F4155">
      <w:pPr>
        <w:ind w:firstLine="640"/>
        <w:rPr>
          <w:rFonts w:hint="eastAsia"/>
        </w:rPr>
      </w:pPr>
      <w:r>
        <w:rPr>
          <w:rFonts w:hint="eastAsia"/>
        </w:rPr>
        <w:t>作为技术提升项目，本研究旨在突破环境</w:t>
      </w:r>
      <w:r>
        <w:t>-装备-工件-量具的热耦合</w:t>
      </w:r>
      <w:r>
        <w:rPr>
          <w:rFonts w:hint="eastAsia"/>
        </w:rPr>
        <w:t>及力约束</w:t>
      </w:r>
      <w:r>
        <w:t>瓶颈。通过</w:t>
      </w:r>
      <w:r>
        <w:rPr>
          <w:rFonts w:hint="eastAsia"/>
        </w:rPr>
        <w:t>分析典型大部件的热变形及力变形演化规律，建立适合工程应用的几何特征形变修正模型或公式。在此基础上，基于数字化与便捷化的实际操作需求，改进现有的测量工具、数据采集方法、装夹找正工艺等，显著提升大型部件精加工的绝对精度与互换性，大幅避免因热变形与力约束导致的后续装配环节的修配工作</w:t>
      </w:r>
      <w:r>
        <w:t>，提升装配质量与效率。</w:t>
      </w:r>
    </w:p>
    <w:p w14:paraId="684A2CAD">
      <w:pPr>
        <w:pStyle w:val="3"/>
        <w:ind w:firstLine="640"/>
        <w:rPr>
          <w:rFonts w:hint="eastAsia"/>
        </w:rPr>
      </w:pPr>
      <w:r>
        <w:t>三、研究内容</w:t>
      </w:r>
    </w:p>
    <w:p w14:paraId="00A0CEAE">
      <w:pPr>
        <w:ind w:firstLine="640"/>
        <w:rPr>
          <w:rFonts w:hint="eastAsia"/>
        </w:rPr>
      </w:pPr>
      <w:r>
        <w:rPr>
          <w:rFonts w:hint="eastAsia"/>
        </w:rPr>
        <w:t>本项目将围绕“形变机理-模型构建-工具改进-方法优化-效益评估”的技术路线开展深入研究，具体内容如下：</w:t>
      </w:r>
    </w:p>
    <w:p w14:paraId="342596EB">
      <w:pPr>
        <w:ind w:firstLine="640"/>
        <w:rPr>
          <w:rFonts w:hint="eastAsia"/>
        </w:rPr>
      </w:pPr>
      <w:r>
        <w:t>1.</w:t>
      </w:r>
      <w:r>
        <w:rPr>
          <w:rFonts w:hint="eastAsia"/>
        </w:rPr>
        <w:t>变温环境、受力约束与关键几何特征之间的关联机制研究：深入分析无恒温车间环境及不同装夹及装配受力约束条件下，箱体结构件等典型工件的热传导及弹性变形规律，构建环境温度、受力空约束与工件尺寸波动的动态关联模型，揭示关键特征的形变演化机理。</w:t>
      </w:r>
    </w:p>
    <w:p w14:paraId="211B8792">
      <w:pPr>
        <w:ind w:firstLine="640"/>
        <w:rPr>
          <w:rFonts w:hint="eastAsia"/>
        </w:rPr>
      </w:pPr>
      <w:r>
        <w:t>2.</w:t>
      </w:r>
      <w:r>
        <w:rPr>
          <w:rFonts w:hint="eastAsia"/>
        </w:rPr>
        <w:t>高效补偿模型与修正公式开发：结合车间实际工况、工件的典型特征、决定加工精度以及装配允许偏差等，开发工程适应性强、操作便捷、高效可靠的补偿模型或修正公式。进一步的，通过实测数据与工程应用不断迭代优化，实现对加工测量环节的高精度补偿。</w:t>
      </w:r>
    </w:p>
    <w:p w14:paraId="382CB4FC">
      <w:pPr>
        <w:ind w:firstLine="640"/>
        <w:rPr>
          <w:rFonts w:hint="eastAsia"/>
        </w:rPr>
      </w:pPr>
      <w:r>
        <w:rPr>
          <w:rFonts w:hint="eastAsia"/>
        </w:rPr>
        <w:t>3.大尺寸先进检测方法及测量工具研究：根据大尺寸的形变机理与修正需要，研究与之匹配的先进检测方法与工具改进措施。例如，研究热变形影响较小的线性测量工具，如碳纤维比较测量仪等；探索结合温度检测功能的千分尺量具；研究大尺寸的形变测量工具等。</w:t>
      </w:r>
    </w:p>
    <w:p w14:paraId="2627E793">
      <w:pPr>
        <w:ind w:firstLine="640"/>
        <w:rPr>
          <w:rFonts w:hint="eastAsia"/>
        </w:rPr>
      </w:pPr>
      <w:r>
        <w:rPr>
          <w:rFonts w:hint="eastAsia"/>
        </w:rPr>
        <w:t>4.大型部件受力约束下的装夹方法改进：针对典型的若刚性部件、分瓣部件在装夹约束、装配约束下的弹性形变特点，对现有的测量方法、装夹工艺进行改进研究，减少弹性形变的变形量或基于实时监测的力约束进行动态的尺寸补偿。</w:t>
      </w:r>
    </w:p>
    <w:p w14:paraId="63EBC13A">
      <w:pPr>
        <w:ind w:firstLine="640"/>
        <w:rPr>
          <w:rFonts w:hint="eastAsia"/>
        </w:rPr>
      </w:pPr>
      <w:r>
        <w:rPr>
          <w:rFonts w:hint="eastAsia"/>
        </w:rPr>
        <w:t>5</w:t>
      </w:r>
      <w:r>
        <w:t>.</w:t>
      </w:r>
      <w:r>
        <w:rPr>
          <w:rFonts w:hint="eastAsia"/>
        </w:rPr>
        <w:t>装配质量提升的量化研究：建立量化评估指标体系，对比分析补偿前后的加工数据，明确温差补偿与受力约束在降低装配误差、缩短装配周期及减少质量损失方面的具体贡献，验证技术的实际工程价值。</w:t>
      </w:r>
    </w:p>
    <w:p w14:paraId="6660AB34">
      <w:pPr>
        <w:pStyle w:val="3"/>
        <w:ind w:firstLine="640"/>
        <w:rPr>
          <w:rFonts w:hint="eastAsia"/>
        </w:rPr>
      </w:pPr>
      <w:r>
        <w:t>四、交付成果及指标</w:t>
      </w:r>
    </w:p>
    <w:p w14:paraId="2594E1A1">
      <w:pPr>
        <w:ind w:firstLine="640"/>
        <w:rPr>
          <w:rFonts w:hint="eastAsia"/>
        </w:rPr>
      </w:pPr>
      <w:r>
        <w:rPr>
          <w:rFonts w:hint="eastAsia"/>
        </w:rPr>
        <w:t>1.现有指标</w:t>
      </w:r>
    </w:p>
    <w:p w14:paraId="5BA09B01">
      <w:pPr>
        <w:ind w:firstLine="640"/>
        <w:rPr>
          <w:rFonts w:hint="eastAsia"/>
        </w:rPr>
      </w:pPr>
      <w:r>
        <w:rPr>
          <w:rFonts w:hint="eastAsia"/>
        </w:rPr>
        <w:t>现阶段操作者现场采取等温或者保持整圆装配状态下再进行测量的质量管控方式，需要等待环境温度稳定或者通过占用大型机床整圆加工方式等开展检测工作，占用大量生产工时和关键瓶颈加工资源。另外，由于自然天气气温变化不可控，受力状态监测不明确，使得测量工作难以稳定可靠的进行。目前，传统的尺寸检测使用的各类量具、标准尺均在</w:t>
      </w:r>
      <w:r>
        <w:t>20℃恒温环境中完成检定，进入车间后受温差影响膨胀收缩幅度大，而大型工件热惯性强、形变缓慢，量具与工件变形不同步，造成冬夏季加工成品尺寸存在系统性偏差，时常出现装配不符的情况。日常生产依靠操作工凭借经验，结合热膨胀系数进行手动尺寸补偿，但箱体类复杂工件结构不均，热变形数值无法精准核算，人工补偿精度低，传统管控方式已无法根除热误</w:t>
      </w:r>
      <w:r>
        <w:rPr>
          <w:rFonts w:hint="eastAsia"/>
        </w:rPr>
        <w:t>差带来的质量隐患。另外，当大型部件在装夹受力状态下进行加工后，当期恢复到自由状态时原有的精加工尺寸特征会发生弹性形变，导致几何特征发生变化影响后续的装配质量。对于大型的分瓣部件，组圆状态下的几何特征与分瓣状态下的相同特征的尺寸也会发生变化，影响后续加工过程中的基准传递和找正过程。</w:t>
      </w:r>
    </w:p>
    <w:p w14:paraId="3B675413">
      <w:pPr>
        <w:ind w:firstLine="640"/>
        <w:rPr>
          <w:rFonts w:hint="eastAsia"/>
        </w:rPr>
      </w:pPr>
      <w:r>
        <w:rPr>
          <w:rFonts w:hint="eastAsia"/>
        </w:rPr>
        <w:t>2.期望交付成果及指标</w:t>
      </w:r>
    </w:p>
    <w:p w14:paraId="06112729">
      <w:pPr>
        <w:ind w:firstLine="640"/>
        <w:rPr>
          <w:rFonts w:hint="eastAsia"/>
        </w:rPr>
      </w:pPr>
      <w:r>
        <w:rPr>
          <w:rFonts w:hint="eastAsia"/>
        </w:rPr>
        <w:t>（1）</w:t>
      </w:r>
      <w:r>
        <w:t>交付成果</w:t>
      </w:r>
      <w:r>
        <w:rPr>
          <w:rFonts w:hint="eastAsia"/>
        </w:rPr>
        <w:t>：</w:t>
      </w:r>
    </w:p>
    <w:p w14:paraId="5B180398">
      <w:pPr>
        <w:ind w:firstLine="640"/>
        <w:rPr>
          <w:rFonts w:hint="eastAsia"/>
        </w:rPr>
      </w:pPr>
      <w:r>
        <w:rPr>
          <w:rFonts w:hint="eastAsia"/>
        </w:rPr>
        <w:t>①机理与规律：典型大部件在热变形与力变形双重耦合动态作用下的关键几何特征演变机理与变形规律，如《大型工件加工环境</w:t>
      </w:r>
      <w:r>
        <w:t>-装备-工件-量具热</w:t>
      </w:r>
      <w:r>
        <w:rPr>
          <w:rFonts w:hint="eastAsia"/>
        </w:rPr>
        <w:t>力</w:t>
      </w:r>
      <w:r>
        <w:t>耦合机理研究报告》</w:t>
      </w:r>
      <w:r>
        <w:rPr>
          <w:rFonts w:hint="eastAsia"/>
        </w:rPr>
        <w:t>。</w:t>
      </w:r>
    </w:p>
    <w:p w14:paraId="434EC4CC">
      <w:pPr>
        <w:ind w:firstLine="640"/>
        <w:rPr>
          <w:rFonts w:hint="eastAsia"/>
        </w:rPr>
      </w:pPr>
      <w:r>
        <w:rPr>
          <w:rFonts w:hint="eastAsia"/>
        </w:rPr>
        <w:t>②硬件系统：大型工件温度监测与受力约束数据采集设备，具有力、热感知及尺寸修正功能的线性检测工具及附属件等。</w:t>
      </w:r>
    </w:p>
    <w:p w14:paraId="3FE09323">
      <w:pPr>
        <w:ind w:firstLine="640"/>
        <w:rPr>
          <w:rFonts w:hint="eastAsia"/>
        </w:rPr>
      </w:pPr>
      <w:r>
        <w:rPr>
          <w:rFonts w:hint="eastAsia"/>
        </w:rPr>
        <w:t>③方法、软件及其他：</w:t>
      </w:r>
      <w:r>
        <w:t>高效温差</w:t>
      </w:r>
      <w:r>
        <w:rPr>
          <w:rFonts w:hint="eastAsia"/>
        </w:rPr>
        <w:t>与受力</w:t>
      </w:r>
      <w:r>
        <w:t>补偿算法库（含源代码）、</w:t>
      </w:r>
      <w:r>
        <w:rPr>
          <w:rFonts w:hint="eastAsia"/>
        </w:rPr>
        <w:t>《自然环境与受力变形下大型工件精密加工工艺规范》、《热力耦合补偿技术对装配质量与效率提升的量化评估报告》等。</w:t>
      </w:r>
    </w:p>
    <w:p w14:paraId="25797511">
      <w:pPr>
        <w:ind w:firstLine="640"/>
        <w:rPr>
          <w:rFonts w:hint="eastAsia"/>
        </w:rPr>
      </w:pPr>
      <w:r>
        <w:rPr>
          <w:rFonts w:hint="eastAsia"/>
        </w:rPr>
        <w:t>（2）</w:t>
      </w:r>
      <w:r>
        <w:t>关键技术指标</w:t>
      </w:r>
      <w:r>
        <w:rPr>
          <w:rFonts w:hint="eastAsia"/>
        </w:rPr>
        <w:t>模型精度：</w:t>
      </w:r>
    </w:p>
    <w:p w14:paraId="3F8CCE5D">
      <w:pPr>
        <w:ind w:firstLine="640"/>
        <w:rPr>
          <w:rFonts w:hint="eastAsia"/>
        </w:rPr>
      </w:pPr>
      <w:r>
        <w:rPr>
          <w:rFonts w:hint="eastAsia"/>
        </w:rPr>
        <w:t>建立的环境</w:t>
      </w:r>
      <w:r>
        <w:t>-工件热</w:t>
      </w:r>
      <w:r>
        <w:rPr>
          <w:rFonts w:hint="eastAsia"/>
        </w:rPr>
        <w:t>、力</w:t>
      </w:r>
      <w:r>
        <w:t>变形关联模型，其预测值与实测值的相关性系数（R</w:t>
      </w:r>
      <w:r>
        <w:rPr>
          <w:rFonts w:hint="eastAsia"/>
        </w:rPr>
        <w:t>²</w:t>
      </w:r>
      <w:r>
        <w:t>）≥0.90。</w:t>
      </w:r>
      <w:r>
        <w:rPr>
          <w:rFonts w:hint="eastAsia"/>
        </w:rPr>
        <w:t>补偿效果：在典型非恒温及受力约束工况下，主要特征尺寸（如孔内径、孔外径等）的误差较项目实施前降低</w:t>
      </w:r>
      <w:r>
        <w:t>50%以上。</w:t>
      </w:r>
      <w:r>
        <w:rPr>
          <w:rFonts w:hint="eastAsia"/>
        </w:rPr>
        <w:t>测量精度：综合考虑材料与量具，现场测量环节的系统误差降低</w:t>
      </w:r>
      <w:r>
        <w:t>30%以上。</w:t>
      </w:r>
      <w:r>
        <w:rPr>
          <w:rFonts w:hint="eastAsia"/>
        </w:rPr>
        <w:t>效益指标：后续装配环节的因尺寸超差导致的修配工时减少</w:t>
      </w:r>
      <w:r>
        <w:t>20%以上。</w:t>
      </w:r>
    </w:p>
    <w:p w14:paraId="17D5A0AD">
      <w:pPr>
        <w:ind w:firstLine="640"/>
        <w:rPr>
          <w:rFonts w:hint="eastAsia"/>
        </w:rPr>
      </w:pPr>
      <w:r>
        <w:rPr>
          <w:rFonts w:hint="eastAsia"/>
        </w:rPr>
        <w:t>3.验收场景：所有验收场景在使用单位加工车间，针对典型的龙门铣、大型立车等场景进行工程应用验证。</w:t>
      </w:r>
    </w:p>
    <w:p w14:paraId="7981CCFC">
      <w:pPr>
        <w:pStyle w:val="3"/>
        <w:ind w:firstLine="640"/>
        <w:rPr>
          <w:rFonts w:hint="eastAsia"/>
        </w:rPr>
      </w:pPr>
      <w:r>
        <w:t>五、项目执行周期</w:t>
      </w:r>
    </w:p>
    <w:p w14:paraId="03A1CBF9">
      <w:pPr>
        <w:ind w:firstLine="640"/>
        <w:rPr>
          <w:rFonts w:hint="eastAsia"/>
        </w:rPr>
      </w:pPr>
      <w:r>
        <w:t>本项目执行周期为36个月。</w:t>
      </w:r>
    </w:p>
    <w:p w14:paraId="711ABCA3">
      <w:pPr>
        <w:pStyle w:val="3"/>
        <w:ind w:firstLine="640"/>
        <w:rPr>
          <w:rFonts w:hint="eastAsia"/>
        </w:rPr>
      </w:pPr>
      <w:r>
        <w:t>六、经费概算</w:t>
      </w:r>
    </w:p>
    <w:p w14:paraId="29C3A75C">
      <w:pPr>
        <w:ind w:firstLine="640"/>
        <w:rPr>
          <w:rFonts w:hint="eastAsia"/>
        </w:rPr>
        <w:sectPr>
          <w:headerReference r:id="rId12" w:type="default"/>
          <w:footerReference r:id="rId13" w:type="default"/>
          <w:pgSz w:w="11906" w:h="16838"/>
          <w:pgMar w:top="2098" w:right="1474" w:bottom="1984" w:left="1587" w:header="851" w:footer="1417" w:gutter="0"/>
          <w:cols w:space="720" w:num="1"/>
          <w:docGrid w:type="lines" w:linePitch="312" w:charSpace="0"/>
        </w:sectPr>
      </w:pPr>
      <w:r>
        <w:t>本项目总预算为200万元。</w:t>
      </w:r>
    </w:p>
    <w:p w14:paraId="51F84EDC">
      <w:pPr>
        <w:pStyle w:val="2"/>
        <w:rPr>
          <w:rFonts w:hint="eastAsia"/>
        </w:rPr>
      </w:pPr>
      <w:r>
        <w:t>大直径熔盐储罐轻量化结构体系创构及工程化应用研究项目指南</w:t>
      </w:r>
    </w:p>
    <w:p w14:paraId="3DF630FA">
      <w:pPr>
        <w:ind w:firstLine="0" w:firstLineChars="0"/>
        <w:rPr>
          <w:rFonts w:hint="eastAsia"/>
        </w:rPr>
      </w:pPr>
    </w:p>
    <w:p w14:paraId="28C1C59B">
      <w:pPr>
        <w:pStyle w:val="3"/>
        <w:ind w:firstLine="640"/>
        <w:jc w:val="both"/>
        <w:rPr>
          <w:rFonts w:hint="eastAsia"/>
        </w:rPr>
      </w:pPr>
      <w:r>
        <w:t>一、项目基本信息</w:t>
      </w:r>
    </w:p>
    <w:p w14:paraId="2CC69C88">
      <w:pPr>
        <w:ind w:firstLine="640"/>
        <w:jc w:val="both"/>
        <w:rPr>
          <w:rFonts w:hint="eastAsia"/>
        </w:rPr>
      </w:pPr>
      <w:r>
        <w:t>项目类型：技术提升项目（成本降低、技术指标提升）</w:t>
      </w:r>
    </w:p>
    <w:p w14:paraId="5A6FE359">
      <w:pPr>
        <w:ind w:firstLine="640"/>
        <w:jc w:val="both"/>
        <w:rPr>
          <w:rFonts w:hint="eastAsia"/>
        </w:rPr>
      </w:pPr>
      <w:r>
        <w:t>技术成熟度：项目完成后，预计技术成熟度达到5级，形成经仿真与关键构造验证的工程化设计方法、软件工具和技术文件。</w:t>
      </w:r>
    </w:p>
    <w:p w14:paraId="1171B449">
      <w:pPr>
        <w:ind w:firstLine="640"/>
        <w:jc w:val="both"/>
        <w:rPr>
          <w:rFonts w:hint="eastAsia"/>
        </w:rPr>
      </w:pPr>
      <w:r>
        <w:t>需求单位及联系人：</w:t>
      </w:r>
    </w:p>
    <w:p w14:paraId="521E1E06">
      <w:pPr>
        <w:ind w:firstLine="640"/>
        <w:jc w:val="both"/>
        <w:rPr>
          <w:rFonts w:hint="eastAsia"/>
        </w:rPr>
      </w:pPr>
      <w:r>
        <w:t>东方锅炉 陈健陵 15928972050</w:t>
      </w:r>
    </w:p>
    <w:p w14:paraId="6872AD49">
      <w:pPr>
        <w:pStyle w:val="3"/>
        <w:ind w:firstLine="640"/>
        <w:jc w:val="both"/>
        <w:rPr>
          <w:rFonts w:hint="eastAsia"/>
        </w:rPr>
      </w:pPr>
      <w:r>
        <w:t>二、研究背景</w:t>
      </w:r>
    </w:p>
    <w:p w14:paraId="126EB2F2">
      <w:pPr>
        <w:ind w:firstLine="640"/>
        <w:jc w:val="both"/>
        <w:rPr>
          <w:rFonts w:hint="eastAsia"/>
        </w:rPr>
      </w:pPr>
      <w:r>
        <w:t>伴随光热发电与大型熔盐储热技术高速发展，熔盐储罐持续朝着大型化方向升级，对罐体及顶盖结构的安全性能与经济指标提出严苛标准。业界现有储罐顶盖普遍采用肋环形式，但仅适配中小跨度，对于40米以上直径的穹顶结构，标准已要求不再使用肋环型结构；若储罐直径增大，顶盖跨度增加，此时结构的薄膜应力、结构稳定承载力会呈几何级衰减，如果仍采用传统结构形式，钢材消耗量大幅上涨。同时，顶盖自重加重还会增加罐体与基础的荷载，抬高整体造价，削弱产品市场竞争力。民用建筑结构领域现已引入大跨空间结构设计理念，但二者服役环境差异显著：机场和大型场馆等常规大跨结构仅承受常温静荷载，而熔盐储罐长期经受冷热循环交变、熔盐腐蚀，叠加风、雪、介质晃动等多场耦合作用，工况更为恶劣复杂。当前该领域存在突出技术短板，轻量化顶盖体系仍无成熟设计理论和方法。如热-固-液耦合作用机理不明；节点、焊缝长期疲劳特性及温度荷载计算模型研究存在明显缺口；高温下奥氏体不锈钢弹性模量衰变对结构屈曲的影响等；目前市场上尚未有针对高温高腐环境下的顶盖网格结构的设计方法和设计软件。以上基础研究是建立工程设计方法、确定结构体系布置、材料参数、节点刚度和荷载组合规则的必要前提，也是后续参数化建模与智能辅助设计软件可靠落地的核心支撑。综上所述，开展大直径熔盐储罐轻量化新型结构体系研究，具备重要技术价值与产业推进作用。</w:t>
      </w:r>
    </w:p>
    <w:p w14:paraId="3BD3B732">
      <w:pPr>
        <w:pStyle w:val="3"/>
        <w:ind w:firstLine="640"/>
        <w:jc w:val="both"/>
        <w:rPr>
          <w:rFonts w:hint="eastAsia"/>
        </w:rPr>
      </w:pPr>
      <w:r>
        <w:t>三、研究内容</w:t>
      </w:r>
    </w:p>
    <w:p w14:paraId="4427C55E">
      <w:pPr>
        <w:ind w:firstLine="640"/>
        <w:jc w:val="both"/>
        <w:rPr>
          <w:rFonts w:hint="eastAsia"/>
        </w:rPr>
      </w:pPr>
      <w:r>
        <w:t>1.新型顶盖结构体系研发与创构：确定高低温储罐罐顶材料，通过概念设计和试设计论证，比选单双层网壳，拱梁肋板，网桁架等各类大跨罐顶结构的技术经济性，探索适合大直径的高温储罐顶盖的新型结构体系，依据体系研究成果，明确优选体系构型参数。</w:t>
      </w:r>
    </w:p>
    <w:p w14:paraId="44CB7693">
      <w:pPr>
        <w:ind w:firstLine="640"/>
        <w:jc w:val="both"/>
        <w:rPr>
          <w:rFonts w:hint="eastAsia"/>
        </w:rPr>
      </w:pPr>
      <w:r>
        <w:t>2.仿真分析与试验验证</w:t>
      </w:r>
      <w:r>
        <w:rPr>
          <w:rFonts w:hint="eastAsia"/>
        </w:rPr>
        <w:t>：</w:t>
      </w:r>
      <w:r>
        <w:t>开展罐顶盖-罐体整体结构、关键连接部位、关键节点、开孔区域及重要连接构造的仿真分析与试验研究，验证新研发的结构体系以及关键节点的承载力和稳定，研究高温下材料非线性对结构强度和稳定的影响，提取关键设计参数及刚度修正系数。</w:t>
      </w:r>
    </w:p>
    <w:p w14:paraId="4C90AD8F">
      <w:pPr>
        <w:ind w:firstLine="640"/>
        <w:jc w:val="both"/>
        <w:rPr>
          <w:rFonts w:hint="eastAsia"/>
        </w:rPr>
      </w:pPr>
      <w:r>
        <w:t>3.基于罐顶-罐体整体结构的热-固耦合研究</w:t>
      </w:r>
      <w:r>
        <w:rPr>
          <w:rFonts w:hint="eastAsia"/>
        </w:rPr>
        <w:t>：</w:t>
      </w:r>
      <w:r>
        <w:t>研究罐体和罐顶热膨胀不一致，罐体不均匀沉降产生以及地震工况下熔盐晃动时产生的热-固及热-固-液耦合分析，量化耦合与非耦合分析的偏差，确立耦合效应设计准则，为工程化设计奠定基础，并明确软件中罐盖结构支座约束刚度的设计参数。</w:t>
      </w:r>
    </w:p>
    <w:p w14:paraId="655F1DB7">
      <w:pPr>
        <w:ind w:firstLine="640"/>
        <w:jc w:val="both"/>
        <w:rPr>
          <w:rFonts w:hint="eastAsia"/>
        </w:rPr>
      </w:pPr>
      <w:r>
        <w:t>4.研发新型罐体侧壁型式</w:t>
      </w:r>
      <w:r>
        <w:rPr>
          <w:rFonts w:hint="eastAsia"/>
        </w:rPr>
        <w:t>：</w:t>
      </w:r>
      <w:r>
        <w:t>研究基于钢混组合型罐壁和LP纵向变厚度钢板在罐体侧壁的应用型式，通过数学建模分析和仿真分析验证其可行性，明确变厚度过渡段及组合界面的关键控制参数。</w:t>
      </w:r>
    </w:p>
    <w:p w14:paraId="0D03DC5C">
      <w:pPr>
        <w:ind w:firstLine="640"/>
        <w:jc w:val="both"/>
        <w:rPr>
          <w:rFonts w:hint="eastAsia"/>
        </w:rPr>
      </w:pPr>
      <w:r>
        <w:t>5.完成大跨空间结构储罐顶盖的设计导则、制造技术要求和安装手册编制。</w:t>
      </w:r>
    </w:p>
    <w:p w14:paraId="682977F5">
      <w:pPr>
        <w:pStyle w:val="3"/>
        <w:ind w:firstLine="640"/>
        <w:jc w:val="both"/>
        <w:rPr>
          <w:rFonts w:hint="eastAsia"/>
        </w:rPr>
      </w:pPr>
      <w:r>
        <w:t>四、交付成果及指标</w:t>
      </w:r>
    </w:p>
    <w:p w14:paraId="19EBD73C">
      <w:pPr>
        <w:ind w:firstLine="640"/>
        <w:jc w:val="both"/>
        <w:rPr>
          <w:rFonts w:hint="eastAsia"/>
        </w:rPr>
      </w:pPr>
      <w:r>
        <w:t>交付成果包括：</w:t>
      </w:r>
    </w:p>
    <w:p w14:paraId="07ACDB7D">
      <w:pPr>
        <w:ind w:firstLine="640"/>
        <w:jc w:val="both"/>
        <w:rPr>
          <w:rFonts w:hint="eastAsia"/>
        </w:rPr>
      </w:pPr>
      <w:r>
        <w:rPr>
          <w:rFonts w:hint="eastAsia"/>
        </w:rPr>
        <w:t>1.</w:t>
      </w:r>
      <w:r>
        <w:t>多物理场耦合作用下大直径熔盐储罐轻量化结构体系选型方案1套</w:t>
      </w:r>
      <w:r>
        <w:rPr>
          <w:rFonts w:hint="eastAsia"/>
        </w:rPr>
        <w:t>。</w:t>
      </w:r>
    </w:p>
    <w:p w14:paraId="0D6CF0DA">
      <w:pPr>
        <w:ind w:firstLine="640"/>
        <w:jc w:val="both"/>
        <w:rPr>
          <w:rFonts w:hint="eastAsia"/>
        </w:rPr>
      </w:pPr>
      <w:r>
        <w:rPr>
          <w:rFonts w:hint="eastAsia"/>
        </w:rPr>
        <w:t>2.</w:t>
      </w:r>
      <w:r>
        <w:t>耦合工况下储罐结构及连接节点有限元分析报告1套</w:t>
      </w:r>
      <w:r>
        <w:rPr>
          <w:rFonts w:hint="eastAsia"/>
        </w:rPr>
        <w:t>。</w:t>
      </w:r>
    </w:p>
    <w:p w14:paraId="276095A4">
      <w:pPr>
        <w:ind w:firstLine="640"/>
        <w:jc w:val="both"/>
        <w:rPr>
          <w:rFonts w:hint="eastAsia"/>
        </w:rPr>
      </w:pPr>
      <w:r>
        <w:rPr>
          <w:rFonts w:hint="eastAsia"/>
        </w:rPr>
        <w:t>3.</w:t>
      </w:r>
      <w:r>
        <w:t>新型罐体侧壁可行性分析报告1套</w:t>
      </w:r>
      <w:r>
        <w:rPr>
          <w:rFonts w:hint="eastAsia"/>
        </w:rPr>
        <w:t>。</w:t>
      </w:r>
    </w:p>
    <w:p w14:paraId="3F598221">
      <w:pPr>
        <w:ind w:firstLine="640"/>
        <w:jc w:val="both"/>
        <w:rPr>
          <w:rFonts w:hint="eastAsia"/>
        </w:rPr>
      </w:pPr>
      <w:r>
        <w:rPr>
          <w:rFonts w:hint="eastAsia"/>
        </w:rPr>
        <w:t>4.</w:t>
      </w:r>
      <w:r>
        <w:t>大直径罐顶设计导则、制造技术要求与安装手册各1套</w:t>
      </w:r>
      <w:r>
        <w:rPr>
          <w:rFonts w:hint="eastAsia"/>
        </w:rPr>
        <w:t>。</w:t>
      </w:r>
    </w:p>
    <w:p w14:paraId="67E205C0">
      <w:pPr>
        <w:ind w:firstLine="640"/>
        <w:jc w:val="both"/>
        <w:rPr>
          <w:rFonts w:hint="eastAsia"/>
        </w:rPr>
      </w:pPr>
      <w:r>
        <w:rPr>
          <w:rFonts w:hint="eastAsia"/>
        </w:rPr>
        <w:t>5.</w:t>
      </w:r>
      <w:r>
        <w:t>完成典型规格顶盖设计方案与施工图1套</w:t>
      </w:r>
      <w:r>
        <w:rPr>
          <w:rFonts w:hint="eastAsia"/>
        </w:rPr>
        <w:t>。</w:t>
      </w:r>
    </w:p>
    <w:p w14:paraId="650387D1">
      <w:pPr>
        <w:ind w:firstLine="640"/>
        <w:jc w:val="both"/>
        <w:rPr>
          <w:rFonts w:hint="eastAsia"/>
        </w:rPr>
      </w:pPr>
      <w:r>
        <w:rPr>
          <w:rFonts w:hint="eastAsia"/>
        </w:rPr>
        <w:t>6.</w:t>
      </w:r>
      <w:r>
        <w:t>申请发明专利不少于1项，SCI论文（东方锅炉为第一或通讯作者）不少于1篇。</w:t>
      </w:r>
    </w:p>
    <w:p w14:paraId="537E3A6F">
      <w:pPr>
        <w:ind w:firstLine="640"/>
        <w:jc w:val="both"/>
        <w:rPr>
          <w:rFonts w:hint="eastAsia"/>
        </w:rPr>
      </w:pPr>
      <w:r>
        <w:t>关键指标包括：获取罐顶稳定分析的支座刚度修正系数、材料非线性修正系数和结构屈曲荷载安全系数。对标传统肋环型储罐结构，新型储罐结构钢材耗梁下降不低于15%。</w:t>
      </w:r>
    </w:p>
    <w:p w14:paraId="2C94A88A">
      <w:pPr>
        <w:pStyle w:val="3"/>
        <w:ind w:firstLine="640"/>
        <w:jc w:val="both"/>
        <w:rPr>
          <w:rFonts w:hint="eastAsia"/>
        </w:rPr>
      </w:pPr>
      <w:r>
        <w:t>五、项目执行周期</w:t>
      </w:r>
    </w:p>
    <w:p w14:paraId="5E128568">
      <w:pPr>
        <w:ind w:firstLine="640"/>
        <w:jc w:val="both"/>
        <w:rPr>
          <w:rFonts w:hint="eastAsia"/>
        </w:rPr>
      </w:pPr>
      <w:r>
        <w:t>本项目执行周期为24个月。</w:t>
      </w:r>
    </w:p>
    <w:p w14:paraId="0794C75E">
      <w:pPr>
        <w:pStyle w:val="3"/>
        <w:ind w:firstLine="640"/>
        <w:jc w:val="both"/>
        <w:rPr>
          <w:rFonts w:hint="eastAsia"/>
        </w:rPr>
      </w:pPr>
      <w:r>
        <w:t>六、经费概算</w:t>
      </w:r>
    </w:p>
    <w:p w14:paraId="71B119CB">
      <w:pPr>
        <w:ind w:firstLine="640"/>
        <w:jc w:val="both"/>
        <w:rPr>
          <w:rFonts w:hint="eastAsia"/>
        </w:rPr>
      </w:pPr>
      <w:r>
        <w:t>本项目总预算为</w:t>
      </w:r>
      <w:r>
        <w:rPr>
          <w:rFonts w:hint="eastAsia"/>
        </w:rPr>
        <w:t>27</w:t>
      </w:r>
      <w:r>
        <w:t>0万元</w:t>
      </w:r>
      <w:r>
        <w:rPr>
          <w:rFonts w:hint="eastAsia"/>
        </w:rPr>
        <w:t>。</w:t>
      </w:r>
    </w:p>
    <w:p w14:paraId="323766E0">
      <w:pPr>
        <w:pStyle w:val="2"/>
        <w:jc w:val="both"/>
        <w:rPr>
          <w:rFonts w:hint="eastAsia"/>
        </w:rPr>
        <w:sectPr>
          <w:pgSz w:w="11906" w:h="16838"/>
          <w:pgMar w:top="2098" w:right="1474" w:bottom="1984" w:left="1587" w:header="851" w:footer="1417" w:gutter="0"/>
          <w:cols w:space="720" w:num="1"/>
          <w:docGrid w:type="lines" w:linePitch="312" w:charSpace="0"/>
        </w:sectPr>
      </w:pPr>
    </w:p>
    <w:p w14:paraId="12726908">
      <w:pPr>
        <w:pStyle w:val="2"/>
        <w:rPr>
          <w:rFonts w:hint="eastAsia"/>
        </w:rPr>
      </w:pPr>
      <w:r>
        <w:t>烟气深度节能余热回收新型气液板式换热器开发项目指南</w:t>
      </w:r>
    </w:p>
    <w:p w14:paraId="4A342096">
      <w:pPr>
        <w:ind w:firstLine="640"/>
        <w:rPr>
          <w:rFonts w:hint="eastAsia"/>
        </w:rPr>
      </w:pPr>
    </w:p>
    <w:p w14:paraId="4CD2FBAC">
      <w:pPr>
        <w:keepNext/>
        <w:keepLines/>
        <w:ind w:firstLine="640"/>
        <w:jc w:val="both"/>
        <w:outlineLvl w:val="1"/>
        <w:rPr>
          <w:rFonts w:hint="eastAsia" w:ascii="黑体" w:hAnsi="黑体" w:eastAsia="黑体"/>
        </w:rPr>
      </w:pPr>
      <w:r>
        <w:rPr>
          <w:rFonts w:ascii="黑体" w:hAnsi="黑体" w:eastAsia="黑体"/>
        </w:rPr>
        <w:t>一、项目基本信息</w:t>
      </w:r>
    </w:p>
    <w:p w14:paraId="550DE5E0">
      <w:pPr>
        <w:ind w:firstLine="640"/>
        <w:jc w:val="both"/>
        <w:rPr>
          <w:rFonts w:hint="eastAsia"/>
        </w:rPr>
      </w:pPr>
      <w:r>
        <w:t>项目类型：技术提升项目（技术指标提升）</w:t>
      </w:r>
    </w:p>
    <w:p w14:paraId="1138ADE6">
      <w:pPr>
        <w:ind w:firstLine="640"/>
        <w:jc w:val="both"/>
        <w:rPr>
          <w:rFonts w:hint="eastAsia"/>
        </w:rPr>
      </w:pPr>
      <w:r>
        <w:t>技术成熟度：项目完成后，预计技术成熟度达到6级</w:t>
      </w:r>
    </w:p>
    <w:p w14:paraId="46741D22">
      <w:pPr>
        <w:ind w:firstLine="640"/>
        <w:jc w:val="both"/>
        <w:rPr>
          <w:rFonts w:hint="eastAsia"/>
        </w:rPr>
      </w:pPr>
      <w:r>
        <w:t>需求单位及联系人：</w:t>
      </w:r>
    </w:p>
    <w:p w14:paraId="6F8E6D40">
      <w:pPr>
        <w:ind w:firstLine="640"/>
        <w:jc w:val="both"/>
        <w:rPr>
          <w:rFonts w:hint="eastAsia"/>
        </w:rPr>
      </w:pPr>
      <w:r>
        <w:t>东方锅炉</w:t>
      </w:r>
      <w:r>
        <w:rPr>
          <w:rFonts w:hint="eastAsia"/>
        </w:rPr>
        <w:t xml:space="preserve"> </w:t>
      </w:r>
      <w:r>
        <w:t>王亿桦 18780327639</w:t>
      </w:r>
      <w:r>
        <w:rPr>
          <w:rFonts w:hint="eastAsia"/>
        </w:rPr>
        <w:t>，</w:t>
      </w:r>
    </w:p>
    <w:p w14:paraId="46023087">
      <w:pPr>
        <w:ind w:firstLine="640"/>
        <w:jc w:val="both"/>
        <w:rPr>
          <w:rFonts w:hint="eastAsia"/>
        </w:rPr>
      </w:pPr>
      <w:r>
        <w:t xml:space="preserve">东长研究院 </w:t>
      </w:r>
      <w:r>
        <w:rPr>
          <w:rFonts w:hint="eastAsia"/>
        </w:rPr>
        <w:t>张中伟</w:t>
      </w:r>
      <w:r>
        <w:t xml:space="preserve"> 13980596307</w:t>
      </w:r>
    </w:p>
    <w:p w14:paraId="5D0C83AF">
      <w:pPr>
        <w:keepNext/>
        <w:keepLines/>
        <w:ind w:firstLine="640"/>
        <w:jc w:val="both"/>
        <w:outlineLvl w:val="1"/>
        <w:rPr>
          <w:rFonts w:hint="eastAsia" w:ascii="黑体" w:hAnsi="黑体" w:eastAsia="黑体"/>
        </w:rPr>
      </w:pPr>
      <w:r>
        <w:rPr>
          <w:rFonts w:ascii="黑体" w:hAnsi="黑体" w:eastAsia="黑体"/>
        </w:rPr>
        <w:t>二、研究背景</w:t>
      </w:r>
    </w:p>
    <w:p w14:paraId="4424A5D8">
      <w:pPr>
        <w:ind w:firstLine="640"/>
        <w:jc w:val="both"/>
        <w:rPr>
          <w:rFonts w:hint="eastAsia"/>
        </w:rPr>
      </w:pPr>
      <w:r>
        <w:t>据国家统计局2025年统计公报，全国火电装机容量达15.39亿kW，燃气轮机、燃煤机组及工业锅炉烟气余热回收改造市场广阔。现有管壳式和常规板式换热器存在设备体积大、单位体积换热能力不足、烟气侧阻力偏高，以及强化传热与低阻运行难以兼顾等问题；在高含湿、高灰、高硫烟气条件下，还易发生酸露点腐蚀、颗粒冲蚀、积灰堵塞和冷凝液滞留，造成换热性能衰减、检修频繁及运行成本上升。气液板式换热器具有紧凑、高效和易模块化等优势，但烟气侧冷凝相变、液膜迁移、鼓泡扰流与流动压降之间的耦合机理尚不明确。本项目拟开发总传热系数大于150 W/(m²·K)、烟气侧阻力降小于220Pa的新型高效低阻耐蚀气液板式换热器，形成板型优化、样机制造和中试验证成套技术，完善东方电气燃机与火电余热利用装备体系，提升产品竞争力和工程推广能力。</w:t>
      </w:r>
    </w:p>
    <w:p w14:paraId="4CFB1E11">
      <w:pPr>
        <w:keepNext/>
        <w:keepLines/>
        <w:ind w:firstLine="640"/>
        <w:jc w:val="both"/>
        <w:outlineLvl w:val="1"/>
        <w:rPr>
          <w:rFonts w:hint="eastAsia" w:ascii="黑体" w:hAnsi="黑体" w:eastAsia="黑体"/>
        </w:rPr>
      </w:pPr>
      <w:r>
        <w:rPr>
          <w:rFonts w:ascii="黑体" w:hAnsi="黑体" w:eastAsia="黑体"/>
        </w:rPr>
        <w:t>三、研究内容</w:t>
      </w:r>
    </w:p>
    <w:p w14:paraId="58BD60C5">
      <w:pPr>
        <w:ind w:firstLine="640"/>
        <w:jc w:val="both"/>
        <w:rPr>
          <w:rFonts w:hint="eastAsia"/>
        </w:rPr>
      </w:pPr>
      <w:r>
        <w:t>1.开展湿烟气板式通道冷凝传热、传质与流动阻力耦合机理研究，建立多组分输运、壁面冷凝、冷凝液膜形成与迁移、气液两相流动、固体壁面共轭传热及颗粒沉积模型。揭示含湿量、壁面过冷度、流速与板间距对传热和压降的影响</w:t>
      </w:r>
      <w:r>
        <w:rPr>
          <w:rFonts w:hint="eastAsia"/>
        </w:rPr>
        <w:t>。</w:t>
      </w:r>
    </w:p>
    <w:p w14:paraId="7436434D">
      <w:pPr>
        <w:ind w:firstLine="640"/>
        <w:jc w:val="both"/>
        <w:rPr>
          <w:rFonts w:hint="eastAsia"/>
        </w:rPr>
      </w:pPr>
      <w:r>
        <w:t>2.围绕圆形、椭圆形、流线形及组合式鼓泡或凹凸单元，建立包含单元形状、凸起高度、横向间距、纵向间距、排列角度、板间距及通道宽度等参数的板型参数化模型。分析不同结构对换热、压降、排液、抗积灰和强度的影响。</w:t>
      </w:r>
    </w:p>
    <w:p w14:paraId="60C0C3BA">
      <w:pPr>
        <w:ind w:firstLine="640"/>
        <w:jc w:val="both"/>
        <w:rPr>
          <w:rFonts w:hint="eastAsia"/>
        </w:rPr>
      </w:pPr>
      <w:r>
        <w:t>3.研制新型气液板式换热器工程样机及中试验证系统，实现温度、压力、流量、含湿量、冷凝量及烟气侧阻力等关键参数的连续监测与同步采集，开展不同负荷及典型工况下的性能测试与可靠性验证。</w:t>
      </w:r>
    </w:p>
    <w:p w14:paraId="5E219FFE">
      <w:pPr>
        <w:keepNext/>
        <w:keepLines/>
        <w:ind w:firstLine="640"/>
        <w:jc w:val="both"/>
        <w:outlineLvl w:val="1"/>
        <w:rPr>
          <w:rFonts w:hint="eastAsia" w:ascii="黑体" w:hAnsi="黑体" w:eastAsia="黑体"/>
        </w:rPr>
      </w:pPr>
      <w:r>
        <w:rPr>
          <w:rFonts w:ascii="黑体" w:hAnsi="黑体" w:eastAsia="黑体"/>
        </w:rPr>
        <w:t>四、交付成果及指标</w:t>
      </w:r>
    </w:p>
    <w:p w14:paraId="4B03C2EB">
      <w:pPr>
        <w:ind w:firstLine="640"/>
        <w:jc w:val="both"/>
        <w:rPr>
          <w:rFonts w:hint="eastAsia"/>
        </w:rPr>
      </w:pPr>
      <w:r>
        <w:t>交付成果包括：</w:t>
      </w:r>
    </w:p>
    <w:p w14:paraId="6A597D92">
      <w:pPr>
        <w:ind w:firstLine="640"/>
        <w:jc w:val="both"/>
        <w:rPr>
          <w:rFonts w:hint="eastAsia"/>
        </w:rPr>
      </w:pPr>
      <w:r>
        <w:rPr>
          <w:rFonts w:hint="eastAsia"/>
        </w:rPr>
        <w:t>1.</w:t>
      </w:r>
      <w:r>
        <w:t>形成湿烟气板式通道冷凝传热、传质与流动阻力预测模型。模型应综合考虑烟气温度、含湿量、流速、冷却介质温度、板片几何参数、冷凝液膜及非凝性气体等因素，能够预测换热器内部温度场、速度场、水蒸气组分分布、冷凝量、传热系数及烟气侧压降，关键参数预测偏差≤10%</w:t>
      </w:r>
      <w:r>
        <w:rPr>
          <w:rFonts w:hint="eastAsia"/>
        </w:rPr>
        <w:t>。</w:t>
      </w:r>
    </w:p>
    <w:p w14:paraId="06333FD5">
      <w:pPr>
        <w:ind w:firstLine="640"/>
        <w:jc w:val="both"/>
        <w:rPr>
          <w:rFonts w:hint="eastAsia"/>
        </w:rPr>
      </w:pPr>
      <w:r>
        <w:rPr>
          <w:rFonts w:hint="eastAsia"/>
        </w:rPr>
        <w:t>2.</w:t>
      </w:r>
      <w:r>
        <w:t>引入无量纲分析方法，建立鼓泡结构参数与传热性能、阻力损失之间的定量关联式</w:t>
      </w:r>
      <w:r>
        <w:rPr>
          <w:rFonts w:hint="eastAsia"/>
        </w:rPr>
        <w:t>。</w:t>
      </w:r>
    </w:p>
    <w:p w14:paraId="7724702B">
      <w:pPr>
        <w:ind w:firstLine="640"/>
        <w:jc w:val="both"/>
        <w:rPr>
          <w:rFonts w:hint="eastAsia"/>
        </w:rPr>
      </w:pPr>
      <w:r>
        <w:t>3.面向高温、高流速、含尘烟气工况，开展换热强化与抗磨损协同设计研究，从结构与流动形态角度引入前置导流板与分区流道设计，引导颗粒绕流并削弱其对鼓泡换热区的直接冲刷；同时结合鼓泡结构尺度优化与搪瓷等防护材料应用</w:t>
      </w:r>
      <w:r>
        <w:rPr>
          <w:rFonts w:hint="eastAsia"/>
        </w:rPr>
        <w:t>。</w:t>
      </w:r>
    </w:p>
    <w:p w14:paraId="4BF01EC0">
      <w:pPr>
        <w:ind w:firstLine="640"/>
        <w:jc w:val="both"/>
        <w:rPr>
          <w:rFonts w:hint="eastAsia"/>
        </w:rPr>
      </w:pPr>
      <w:r>
        <w:t>4.完成板型的参数化设计与性能对比，明确鼓泡高度、横纵向间距、形状、排列方式及板间通道尺寸对传热、冷凝、积液和阻力特性的影响规律，完成工程定型板片、整机设计计算书、换热器结构设计说明书和全套制造图纸</w:t>
      </w:r>
      <w:r>
        <w:rPr>
          <w:rFonts w:hint="eastAsia"/>
        </w:rPr>
        <w:t>。</w:t>
      </w:r>
    </w:p>
    <w:p w14:paraId="55D892C7">
      <w:pPr>
        <w:ind w:firstLine="640"/>
        <w:jc w:val="both"/>
        <w:rPr>
          <w:rFonts w:hint="eastAsia"/>
        </w:rPr>
      </w:pPr>
      <w:r>
        <w:t>5.开发气液板式换热器设计计算软件或者计算表，根据输入的计算表格，计算并输出板式换热器设计结果计算表。导入的计算表格中输入参数包含：计算边界条件（被加热介质选择、进口烟温、被加热介质进口温度、换热烟气量、被加热介质流量、换热比例、烟气成分（RO2量、O2量、含水量、含灰浓度））、换热器布置方式（流动方式、形式（立式/卧式）、换热有效系数、换热面积修正系数、鼓泡内阻力修正系数）、环境条件（温度、湿度、大气压等）、结构参数（鼓泡规格、节距、排数、长度）等。输出的计算表中输出参数包含：介质流速、换热系数、换热面积、换热量、重量、阻力、出口温度等参数结果。并且编制完成计算软件或者计算表的使用说明书</w:t>
      </w:r>
      <w:r>
        <w:rPr>
          <w:rFonts w:hint="eastAsia"/>
        </w:rPr>
        <w:t>。</w:t>
      </w:r>
    </w:p>
    <w:p w14:paraId="7083ACC3">
      <w:pPr>
        <w:ind w:firstLine="640"/>
        <w:jc w:val="both"/>
        <w:rPr>
          <w:rFonts w:hint="eastAsia"/>
        </w:rPr>
      </w:pPr>
      <w:r>
        <w:t>6.绘制完成不同鼓泡结构、横纵向间距、形状、排列方式及板间通道尺寸、防护材料对传热、冷凝、积液和阻力特性、流速的性能变化曲线图</w:t>
      </w:r>
      <w:r>
        <w:rPr>
          <w:rFonts w:hint="eastAsia"/>
        </w:rPr>
        <w:t>。</w:t>
      </w:r>
    </w:p>
    <w:p w14:paraId="0687B831">
      <w:pPr>
        <w:ind w:firstLine="640"/>
        <w:jc w:val="both"/>
        <w:rPr>
          <w:rFonts w:hint="eastAsia"/>
        </w:rPr>
      </w:pPr>
      <w:r>
        <w:t>7.研制中试验证样机1套，试验用换热器尺寸约700×1200×1000mm，配套完成烟气、冷却介质、冷凝液、温度、压力、流量及阻力、磨损、板片几何结构、鼓泡形态等参数的测试与数据采集系统，并提交安装、调试、运行、检修规程和中试验收报告。额定工况下，换热器总传热系数K大于150W/(m²·K)，烟气侧总阻力降小于220 Pa，系统热平衡误差不超过5%；与基准板型相比，综合性能评价因子或单位体积换热能力提升不低于10%。</w:t>
      </w:r>
    </w:p>
    <w:p w14:paraId="1FB1F350">
      <w:pPr>
        <w:ind w:firstLine="640"/>
        <w:jc w:val="both"/>
        <w:rPr>
          <w:rFonts w:hint="eastAsia"/>
        </w:rPr>
      </w:pPr>
      <w:r>
        <w:t>8.申请发明专利2项，撰写论文1篇。</w:t>
      </w:r>
    </w:p>
    <w:p w14:paraId="08D010CB">
      <w:pPr>
        <w:keepNext/>
        <w:keepLines/>
        <w:ind w:firstLine="640"/>
        <w:jc w:val="both"/>
        <w:outlineLvl w:val="1"/>
        <w:rPr>
          <w:rFonts w:hint="eastAsia" w:ascii="黑体" w:hAnsi="黑体" w:eastAsia="黑体"/>
        </w:rPr>
      </w:pPr>
      <w:r>
        <w:rPr>
          <w:rFonts w:ascii="黑体" w:hAnsi="黑体" w:eastAsia="黑体"/>
        </w:rPr>
        <w:t>五、项目执行周期</w:t>
      </w:r>
    </w:p>
    <w:p w14:paraId="3120EF39">
      <w:pPr>
        <w:ind w:firstLine="640"/>
        <w:jc w:val="both"/>
        <w:rPr>
          <w:rFonts w:hint="eastAsia"/>
        </w:rPr>
      </w:pPr>
      <w:r>
        <w:t>本项目执行周期为24个月。分三个阶段实施：第1阶段（0-6个月）完成典型烟气工况梳理、实验方案设计、含冷凝相变CFD模型建立及初步板片结构方案设计；第2阶段（7-15个月）开展鼓泡结构参数优化，完成关键部件样件试制；第3阶段（16-24个月）完成换热器样机研制、中试平台测试及典型工况下换热性能、烟气侧阻力降、冷凝排水和长期运行可靠性验证，形成工程化应用方案和项目验收材料。</w:t>
      </w:r>
    </w:p>
    <w:p w14:paraId="57862F61">
      <w:pPr>
        <w:keepNext/>
        <w:keepLines/>
        <w:ind w:firstLine="640"/>
        <w:jc w:val="both"/>
        <w:outlineLvl w:val="1"/>
        <w:rPr>
          <w:rFonts w:hint="eastAsia" w:ascii="黑体" w:hAnsi="黑体" w:eastAsia="黑体"/>
        </w:rPr>
      </w:pPr>
      <w:r>
        <w:rPr>
          <w:rFonts w:ascii="黑体" w:hAnsi="黑体" w:eastAsia="黑体"/>
        </w:rPr>
        <w:t>六、经费概算</w:t>
      </w:r>
    </w:p>
    <w:p w14:paraId="51D475A1">
      <w:pPr>
        <w:ind w:firstLine="640"/>
        <w:jc w:val="both"/>
        <w:rPr>
          <w:rFonts w:hint="eastAsia"/>
        </w:rPr>
      </w:pPr>
      <w:r>
        <w:t>本项目总预算为298万元。</w:t>
      </w:r>
    </w:p>
    <w:p w14:paraId="5EB16FB6">
      <w:pPr>
        <w:keepNext/>
        <w:spacing w:line="700" w:lineRule="exact"/>
        <w:ind w:firstLine="0" w:firstLineChars="0"/>
        <w:jc w:val="both"/>
        <w:outlineLvl w:val="0"/>
        <w:rPr>
          <w:rFonts w:hint="eastAsia" w:ascii="方正小标宋简体" w:hAnsi="方正小标宋简体" w:eastAsia="方正小标宋简体"/>
          <w:kern w:val="44"/>
          <w:sz w:val="44"/>
        </w:rPr>
        <w:sectPr>
          <w:pgSz w:w="11906" w:h="16838"/>
          <w:pgMar w:top="2098" w:right="1474" w:bottom="1984" w:left="1587" w:header="851" w:footer="1417" w:gutter="0"/>
          <w:cols w:space="720" w:num="1"/>
          <w:docGrid w:type="lines" w:linePitch="312" w:charSpace="0"/>
        </w:sectPr>
      </w:pPr>
    </w:p>
    <w:p w14:paraId="58178B3B">
      <w:pPr>
        <w:keepNext/>
        <w:spacing w:line="700" w:lineRule="exact"/>
        <w:ind w:firstLine="0" w:firstLineChars="0"/>
        <w:jc w:val="center"/>
        <w:outlineLvl w:val="0"/>
        <w:rPr>
          <w:rFonts w:hint="eastAsia" w:ascii="方正小标宋简体" w:hAnsi="方正小标宋简体" w:eastAsia="方正小标宋简体"/>
          <w:kern w:val="44"/>
          <w:sz w:val="44"/>
        </w:rPr>
      </w:pPr>
      <w:r>
        <w:rPr>
          <w:rFonts w:hint="eastAsia" w:ascii="方正小标宋简体" w:hAnsi="方正小标宋简体" w:eastAsia="方正小标宋简体"/>
          <w:kern w:val="44"/>
          <w:sz w:val="44"/>
        </w:rPr>
        <w:t>定日镜性能设计与寿命预测工业软件研发</w:t>
      </w:r>
      <w:r>
        <w:rPr>
          <w:rFonts w:hint="eastAsia" w:ascii="方正小标宋简体" w:hAnsi="方正小标宋简体" w:eastAsia="方正小标宋简体"/>
          <w:kern w:val="44"/>
          <w:sz w:val="44"/>
        </w:rPr>
        <w:br w:type="textWrapping"/>
      </w:r>
      <w:r>
        <w:rPr>
          <w:rFonts w:hint="eastAsia" w:ascii="方正小标宋简体" w:hAnsi="方正小标宋简体" w:eastAsia="方正小标宋简体"/>
          <w:kern w:val="44"/>
          <w:sz w:val="44"/>
        </w:rPr>
        <w:t>项目指南</w:t>
      </w:r>
    </w:p>
    <w:p w14:paraId="1A4548C7">
      <w:pPr>
        <w:ind w:firstLine="640"/>
        <w:jc w:val="both"/>
        <w:rPr>
          <w:rFonts w:hint="eastAsia"/>
        </w:rPr>
      </w:pPr>
    </w:p>
    <w:p w14:paraId="6F05B4CF">
      <w:pPr>
        <w:keepNext/>
        <w:ind w:firstLine="640"/>
        <w:jc w:val="both"/>
        <w:outlineLvl w:val="1"/>
        <w:rPr>
          <w:rFonts w:hint="eastAsia" w:ascii="黑体" w:hAnsi="黑体" w:eastAsia="黑体"/>
        </w:rPr>
      </w:pPr>
      <w:r>
        <w:rPr>
          <w:rFonts w:hint="eastAsia" w:ascii="黑体" w:hAnsi="黑体" w:eastAsia="黑体"/>
        </w:rPr>
        <w:t>一、项目基本信息</w:t>
      </w:r>
    </w:p>
    <w:p w14:paraId="48F66415">
      <w:pPr>
        <w:ind w:firstLine="640"/>
        <w:jc w:val="both"/>
        <w:rPr>
          <w:rFonts w:hint="eastAsia"/>
        </w:rPr>
      </w:pPr>
      <w:r>
        <w:rPr>
          <w:rFonts w:hint="eastAsia"/>
        </w:rPr>
        <w:t>项目类型：技术提升项目（技术指标提升）</w:t>
      </w:r>
    </w:p>
    <w:p w14:paraId="2F6A4F46">
      <w:pPr>
        <w:ind w:firstLine="640"/>
        <w:jc w:val="both"/>
        <w:rPr>
          <w:rFonts w:hint="eastAsia"/>
        </w:rPr>
      </w:pPr>
      <w:r>
        <w:rPr>
          <w:rFonts w:hint="eastAsia"/>
        </w:rPr>
        <w:t>技术成熟度：</w:t>
      </w:r>
      <w:r>
        <w:t>项目完成后，预计技术成熟度达到6级</w:t>
      </w:r>
    </w:p>
    <w:p w14:paraId="1C6FFB83">
      <w:pPr>
        <w:ind w:firstLine="640"/>
        <w:jc w:val="both"/>
        <w:rPr>
          <w:rFonts w:hint="eastAsia"/>
        </w:rPr>
      </w:pPr>
      <w:r>
        <w:rPr>
          <w:rFonts w:hint="eastAsia"/>
        </w:rPr>
        <w:t>需求单位及联系人：</w:t>
      </w:r>
    </w:p>
    <w:p w14:paraId="0F108438">
      <w:pPr>
        <w:ind w:firstLine="640"/>
        <w:jc w:val="both"/>
        <w:rPr>
          <w:rFonts w:hint="eastAsia"/>
        </w:rPr>
      </w:pPr>
      <w:r>
        <w:rPr>
          <w:rFonts w:hint="eastAsia"/>
        </w:rPr>
        <w:t>东方锅炉 单晗林 18841510695</w:t>
      </w:r>
    </w:p>
    <w:p w14:paraId="07AD1198">
      <w:pPr>
        <w:keepNext/>
        <w:ind w:firstLine="640"/>
        <w:jc w:val="both"/>
        <w:outlineLvl w:val="1"/>
        <w:rPr>
          <w:rFonts w:hint="eastAsia" w:ascii="黑体" w:hAnsi="黑体" w:eastAsia="黑体"/>
        </w:rPr>
      </w:pPr>
      <w:r>
        <w:rPr>
          <w:rFonts w:hint="eastAsia" w:ascii="黑体" w:hAnsi="黑体" w:eastAsia="黑体"/>
        </w:rPr>
        <w:t>二、研究背景</w:t>
      </w:r>
    </w:p>
    <w:p w14:paraId="15889F01">
      <w:pPr>
        <w:ind w:firstLine="640"/>
        <w:jc w:val="both"/>
        <w:rPr>
          <w:rFonts w:hint="eastAsia"/>
        </w:rPr>
      </w:pPr>
      <w:r>
        <w:t>光热发电是新型电力系统的重要支撑</w:t>
      </w:r>
      <w:r>
        <w:rPr>
          <w:rFonts w:hint="eastAsia"/>
        </w:rPr>
        <w:t>。2026年7月</w:t>
      </w:r>
      <w:r>
        <w:t>，国务院印发《</w:t>
      </w:r>
      <w:r>
        <w:rPr>
          <w:rFonts w:hint="eastAsia"/>
        </w:rPr>
        <w:t>“</w:t>
      </w:r>
      <w:r>
        <w:t>十五五</w:t>
      </w:r>
      <w:r>
        <w:rPr>
          <w:rFonts w:hint="eastAsia"/>
        </w:rPr>
        <w:t>”</w:t>
      </w:r>
      <w:r>
        <w:t>碳达峰行动方案》，明确推动光热发电规模化发展。截至2025年末，</w:t>
      </w:r>
      <w:r>
        <w:rPr>
          <w:rFonts w:hint="eastAsia"/>
        </w:rPr>
        <w:t>我国塔式光热技术路线占累计装机的70.82%，在建项目超300万千瓦。</w:t>
      </w:r>
    </w:p>
    <w:p w14:paraId="3548B857">
      <w:pPr>
        <w:ind w:firstLine="640"/>
        <w:jc w:val="both"/>
        <w:rPr>
          <w:rFonts w:hint="eastAsia"/>
        </w:rPr>
      </w:pPr>
      <w:r>
        <w:t>定日镜场建设成本占塔式电站总投资的40%，</w:t>
      </w:r>
      <w:r>
        <w:rPr>
          <w:rFonts w:hint="eastAsia"/>
        </w:rPr>
        <w:t>其中镜面成本占比超35%，其性能直接影响电站的光热转换效率和运行稳定性。然而，</w:t>
      </w:r>
      <w:r>
        <w:t>当前反射镜面设计分析存在</w:t>
      </w:r>
      <w:r>
        <w:rPr>
          <w:rFonts w:hint="eastAsia"/>
        </w:rPr>
        <w:t>三</w:t>
      </w:r>
      <w:r>
        <w:t>方面</w:t>
      </w:r>
      <w:r>
        <w:rPr>
          <w:rFonts w:hint="eastAsia"/>
        </w:rPr>
        <w:t>突出</w:t>
      </w:r>
      <w:r>
        <w:t>瓶颈</w:t>
      </w:r>
      <w:r>
        <w:rPr>
          <w:rFonts w:hint="eastAsia"/>
        </w:rPr>
        <w:t>：</w:t>
      </w:r>
    </w:p>
    <w:p w14:paraId="41D4A651">
      <w:pPr>
        <w:ind w:firstLine="640"/>
        <w:jc w:val="both"/>
        <w:rPr>
          <w:rFonts w:hint="eastAsia"/>
        </w:rPr>
      </w:pPr>
      <w:r>
        <w:rPr>
          <w:rFonts w:hint="eastAsia"/>
        </w:rPr>
        <w:t>1.</w:t>
      </w:r>
      <w:r>
        <w:t>技术性能</w:t>
      </w:r>
      <w:r>
        <w:rPr>
          <w:rFonts w:hint="eastAsia"/>
        </w:rPr>
        <w:t>层面。</w:t>
      </w:r>
      <w:r>
        <w:t>寿命评估局限于单一静力校核，风沙冲蚀、温差循环、紫外老化、湿度侵蚀等多环境因素耦合作用下的性能退化机理尚不清晰，缺乏“环境输入→结构响应→损伤累积→寿命预测”的统一评价模型，镜面长期服役可靠性无法准确预判。</w:t>
      </w:r>
    </w:p>
    <w:p w14:paraId="15FD3A8F">
      <w:pPr>
        <w:ind w:firstLine="640"/>
        <w:jc w:val="both"/>
        <w:rPr>
          <w:rFonts w:hint="eastAsia"/>
        </w:rPr>
      </w:pPr>
      <w:r>
        <w:rPr>
          <w:rFonts w:hint="eastAsia"/>
        </w:rPr>
        <w:t>2.</w:t>
      </w:r>
      <w:r>
        <w:t>标准规范层面</w:t>
      </w:r>
      <w:r>
        <w:rPr>
          <w:rFonts w:hint="eastAsia"/>
        </w:rPr>
        <w:t>。</w:t>
      </w:r>
      <w:r>
        <w:t>目前尚无专门针对定日镜镜面材料的企业或行业测试、评价标准</w:t>
      </w:r>
      <w:r>
        <w:rPr>
          <w:rFonts w:hint="eastAsia"/>
        </w:rPr>
        <w:t>或规范</w:t>
      </w:r>
      <w:r>
        <w:t>，参数口径不统一、检测方法各异、计算结果缺乏可比性，镜面研发知识难以形成系统化积累。</w:t>
      </w:r>
    </w:p>
    <w:p w14:paraId="2EBC3E37">
      <w:pPr>
        <w:ind w:firstLine="640"/>
        <w:jc w:val="both"/>
        <w:rPr>
          <w:rFonts w:hint="eastAsia"/>
        </w:rPr>
      </w:pPr>
      <w:r>
        <w:rPr>
          <w:rFonts w:hint="eastAsia"/>
        </w:rPr>
        <w:t>3.</w:t>
      </w:r>
      <w:r>
        <w:t>平台对接层面。缺乏与集团数字化平台对接的标准化接口，模型与算法成果难以在企业层面高效集成与复用，制约了自主可控镜面性能评价能力的形成。</w:t>
      </w:r>
    </w:p>
    <w:p w14:paraId="06AB9BA7">
      <w:pPr>
        <w:ind w:firstLine="640"/>
        <w:jc w:val="both"/>
        <w:rPr>
          <w:rFonts w:hint="eastAsia"/>
        </w:rPr>
      </w:pPr>
      <w:r>
        <w:t>为此，本项目聚焦定日镜反射镜面这一核心部件，建立镜面材料耐久性测试规范与评价方法，构建镜面性能退化与寿命预测模型，通过标准化接口接入集团数字化平台，形成企业自主可控的镜面性能评价能力，为后续产品升级和标准制定奠定基础。</w:t>
      </w:r>
    </w:p>
    <w:p w14:paraId="007EF6B7">
      <w:pPr>
        <w:keepNext/>
        <w:ind w:firstLine="640"/>
        <w:jc w:val="both"/>
        <w:outlineLvl w:val="1"/>
        <w:rPr>
          <w:rFonts w:hint="eastAsia" w:ascii="黑体" w:hAnsi="黑体" w:eastAsia="黑体"/>
        </w:rPr>
      </w:pPr>
      <w:r>
        <w:rPr>
          <w:rFonts w:hint="eastAsia" w:ascii="黑体" w:hAnsi="黑体" w:eastAsia="黑体"/>
        </w:rPr>
        <w:t>三、研究内容</w:t>
      </w:r>
    </w:p>
    <w:p w14:paraId="21CB81EE">
      <w:pPr>
        <w:ind w:firstLine="640"/>
        <w:jc w:val="both"/>
        <w:rPr>
          <w:rFonts w:hint="eastAsia"/>
        </w:rPr>
      </w:pPr>
      <w:r>
        <w:t>围绕</w:t>
      </w:r>
      <w:r>
        <w:rPr>
          <w:rFonts w:hint="eastAsia"/>
        </w:rPr>
        <w:t>“</w:t>
      </w:r>
      <w:r>
        <w:t>多场耦合作用下定日镜镜面高效设计与评价方法</w:t>
      </w:r>
      <w:r>
        <w:rPr>
          <w:rFonts w:hint="eastAsia"/>
        </w:rPr>
        <w:t>”</w:t>
      </w:r>
      <w:r>
        <w:t>开展研发，研究内容包括以下</w:t>
      </w:r>
      <w:r>
        <w:rPr>
          <w:rFonts w:hint="eastAsia"/>
        </w:rPr>
        <w:t>三</w:t>
      </w:r>
      <w:r>
        <w:t>个方面：</w:t>
      </w:r>
    </w:p>
    <w:p w14:paraId="17444AD3">
      <w:pPr>
        <w:ind w:firstLine="640"/>
        <w:jc w:val="both"/>
        <w:rPr>
          <w:rFonts w:hint="eastAsia"/>
        </w:rPr>
      </w:pPr>
      <w:r>
        <w:rPr>
          <w:rFonts w:hint="eastAsia"/>
        </w:rPr>
        <w:t>1.定日镜镜面结构性能退化关键影响因素及机理</w:t>
      </w:r>
      <w:r>
        <w:t>。研究镜面</w:t>
      </w:r>
      <w:r>
        <w:rPr>
          <w:rFonts w:hint="eastAsia"/>
        </w:rPr>
        <w:t>结构</w:t>
      </w:r>
      <w:r>
        <w:t>、材料和工况参数</w:t>
      </w:r>
      <w:r>
        <w:rPr>
          <w:rFonts w:hint="eastAsia"/>
        </w:rPr>
        <w:t>对于镜面性能的影响规律</w:t>
      </w:r>
      <w:r>
        <w:t>，</w:t>
      </w:r>
      <w:r>
        <w:rPr>
          <w:rFonts w:hint="eastAsia"/>
        </w:rPr>
        <w:t>开展</w:t>
      </w:r>
      <w:r>
        <w:t>风沙、温差、紫外、湿度等目标工况下的环境影响试验，揭示多场耦合作用下镜面的性能退化机理与损伤演化规律，建立镜面损伤模型。</w:t>
      </w:r>
    </w:p>
    <w:p w14:paraId="31F74AF2">
      <w:pPr>
        <w:ind w:firstLine="640"/>
        <w:jc w:val="both"/>
        <w:rPr>
          <w:rFonts w:hint="eastAsia"/>
        </w:rPr>
      </w:pPr>
      <w:r>
        <w:rPr>
          <w:rFonts w:hint="eastAsia"/>
        </w:rPr>
        <w:t>2.多场耦合作用下定日镜镜面损伤与寿命预测算法模型。</w:t>
      </w:r>
      <w:r>
        <w:t>基于试验</w:t>
      </w:r>
      <w:r>
        <w:rPr>
          <w:rFonts w:hint="eastAsia"/>
        </w:rPr>
        <w:t>数据与</w:t>
      </w:r>
      <w:r>
        <w:t>数值模拟分析数据集，采用机器学习</w:t>
      </w:r>
      <w:r>
        <w:rPr>
          <w:rFonts w:hint="eastAsia"/>
        </w:rPr>
        <w:t>方法</w:t>
      </w:r>
      <w:r>
        <w:t>建立镜面性能退化与寿命预测模型；研究</w:t>
      </w:r>
      <w:bookmarkStart w:id="0" w:name="_Hlk236065940"/>
      <w:r>
        <w:t>风沙、温差、紫外、湿度</w:t>
      </w:r>
      <w:bookmarkEnd w:id="0"/>
      <w:r>
        <w:t>等因素对镜面性能的退化影响规律及退化参数转化方法</w:t>
      </w:r>
      <w:r>
        <w:rPr>
          <w:rFonts w:hint="eastAsia"/>
        </w:rPr>
        <w:t>，</w:t>
      </w:r>
      <w:r>
        <w:t>集成雨流计数、Miner累积损伤、P-S-N曲线和可靠性分析，构建“环境输入→结构响应→损伤累积→寿命预测”初步自动计算流程。</w:t>
      </w:r>
    </w:p>
    <w:p w14:paraId="7702F047">
      <w:pPr>
        <w:ind w:firstLine="640"/>
        <w:jc w:val="both"/>
        <w:rPr>
          <w:rFonts w:hint="eastAsia"/>
        </w:rPr>
      </w:pPr>
      <w:r>
        <w:rPr>
          <w:rFonts w:hint="eastAsia"/>
        </w:rPr>
        <w:t>3.</w:t>
      </w:r>
      <w:r>
        <w:t>标准化数据接口开发与平台对接。开发面向集团数字化平台的标准化数据接口，实现镜面损伤模型与寿命预测模型计算结果的规范化输出</w:t>
      </w:r>
      <w:r>
        <w:rPr>
          <w:rFonts w:hint="eastAsia"/>
        </w:rPr>
        <w:t>，</w:t>
      </w:r>
      <w:r>
        <w:t>完成接口测试与平台对接验证，支撑集团数字化平台对镜面性能评价能力的集成调用。</w:t>
      </w:r>
    </w:p>
    <w:p w14:paraId="46C8CB7E">
      <w:pPr>
        <w:keepNext/>
        <w:ind w:firstLine="640"/>
        <w:jc w:val="both"/>
        <w:outlineLvl w:val="1"/>
        <w:rPr>
          <w:rFonts w:hint="eastAsia" w:ascii="黑体" w:hAnsi="黑体" w:eastAsia="黑体"/>
        </w:rPr>
      </w:pPr>
      <w:r>
        <w:rPr>
          <w:rFonts w:hint="eastAsia" w:ascii="黑体" w:hAnsi="黑体" w:eastAsia="黑体"/>
        </w:rPr>
        <w:t>四、交付成果及指标</w:t>
      </w:r>
    </w:p>
    <w:p w14:paraId="20336E07">
      <w:pPr>
        <w:ind w:firstLine="640"/>
        <w:jc w:val="both"/>
        <w:rPr>
          <w:rFonts w:hint="eastAsia"/>
        </w:rPr>
      </w:pPr>
      <w:r>
        <w:t>交付成果</w:t>
      </w:r>
      <w:r>
        <w:rPr>
          <w:rFonts w:hint="eastAsia"/>
        </w:rPr>
        <w:t>如下</w:t>
      </w:r>
      <w:r>
        <w:t>：</w:t>
      </w:r>
    </w:p>
    <w:p w14:paraId="7010C06E">
      <w:pPr>
        <w:ind w:firstLine="640"/>
        <w:jc w:val="both"/>
        <w:rPr>
          <w:rFonts w:hint="eastAsia"/>
        </w:rPr>
      </w:pPr>
      <w:r>
        <w:rPr>
          <w:rFonts w:hint="eastAsia"/>
        </w:rPr>
        <w:t>1.多场耦合作用下定日镜镜面损伤模型，</w:t>
      </w:r>
      <w:r>
        <w:t>含原始实验数据、完整实验</w:t>
      </w:r>
      <w:r>
        <w:rPr>
          <w:rFonts w:hint="eastAsia"/>
        </w:rPr>
        <w:t>及分析方法</w:t>
      </w:r>
      <w:r>
        <w:t>流程</w:t>
      </w:r>
      <w:r>
        <w:rPr>
          <w:rFonts w:hint="eastAsia"/>
        </w:rPr>
        <w:t>。</w:t>
      </w:r>
    </w:p>
    <w:p w14:paraId="4DB33D83">
      <w:pPr>
        <w:ind w:firstLine="640"/>
        <w:jc w:val="both"/>
        <w:rPr>
          <w:rFonts w:hint="eastAsia"/>
        </w:rPr>
      </w:pPr>
      <w:r>
        <w:rPr>
          <w:rFonts w:hint="eastAsia"/>
        </w:rPr>
        <w:t>2.基于机器学习的定日镜镜面</w:t>
      </w:r>
      <w:r>
        <w:t>寿命预测</w:t>
      </w:r>
      <w:r>
        <w:rPr>
          <w:rFonts w:hint="eastAsia"/>
        </w:rPr>
        <w:t>模型。</w:t>
      </w:r>
    </w:p>
    <w:p w14:paraId="704BA6AD">
      <w:pPr>
        <w:ind w:firstLine="640"/>
        <w:jc w:val="both"/>
        <w:rPr>
          <w:rFonts w:hint="eastAsia"/>
        </w:rPr>
      </w:pPr>
      <w:r>
        <w:rPr>
          <w:rFonts w:hint="eastAsia"/>
        </w:rPr>
        <w:t>3.</w:t>
      </w:r>
      <w:r>
        <w:t>定日镜镜面材料测试和评价方法相关企业标准1套</w:t>
      </w:r>
      <w:r>
        <w:rPr>
          <w:rFonts w:hint="eastAsia"/>
        </w:rPr>
        <w:t>。</w:t>
      </w:r>
    </w:p>
    <w:p w14:paraId="21461DC1">
      <w:pPr>
        <w:ind w:firstLine="640"/>
        <w:jc w:val="both"/>
        <w:rPr>
          <w:rFonts w:hint="eastAsia"/>
        </w:rPr>
      </w:pPr>
      <w:r>
        <w:rPr>
          <w:rFonts w:hint="eastAsia"/>
        </w:rPr>
        <w:t>4.</w:t>
      </w:r>
      <w:r>
        <w:t>多场耦合作用下定日镜镜面设计导则1套</w:t>
      </w:r>
      <w:r>
        <w:rPr>
          <w:rFonts w:hint="eastAsia"/>
        </w:rPr>
        <w:t>。</w:t>
      </w:r>
    </w:p>
    <w:p w14:paraId="19F045F7">
      <w:pPr>
        <w:ind w:firstLine="640"/>
        <w:jc w:val="both"/>
        <w:rPr>
          <w:rFonts w:hint="eastAsia"/>
        </w:rPr>
      </w:pPr>
      <w:r>
        <w:rPr>
          <w:rFonts w:hint="eastAsia"/>
        </w:rPr>
        <w:t>5.</w:t>
      </w:r>
      <w:r>
        <w:t>面向集团数字化平台的标准化数据接口1套，含接口文档及对接验证报告。</w:t>
      </w:r>
    </w:p>
    <w:p w14:paraId="31B8C7D5">
      <w:pPr>
        <w:ind w:firstLine="640"/>
        <w:jc w:val="both"/>
        <w:rPr>
          <w:rFonts w:hint="eastAsia"/>
        </w:rPr>
      </w:pPr>
      <w:r>
        <w:t>关键技术指标</w:t>
      </w:r>
      <w:r>
        <w:rPr>
          <w:rFonts w:hint="eastAsia"/>
        </w:rPr>
        <w:t>如下</w:t>
      </w:r>
      <w:r>
        <w:t>：</w:t>
      </w:r>
    </w:p>
    <w:p w14:paraId="18D70B93">
      <w:pPr>
        <w:ind w:firstLine="640"/>
        <w:jc w:val="both"/>
        <w:rPr>
          <w:rFonts w:hint="eastAsia"/>
        </w:rPr>
      </w:pPr>
      <w:r>
        <w:rPr>
          <w:rFonts w:hint="eastAsia"/>
        </w:rPr>
        <w:t>1.用于机器学习</w:t>
      </w:r>
      <w:r>
        <w:t>模型训练与验证</w:t>
      </w:r>
      <w:r>
        <w:rPr>
          <w:rFonts w:hint="eastAsia"/>
        </w:rPr>
        <w:t>的数据样本量不少于1200组，</w:t>
      </w:r>
      <w:r>
        <w:t>决定系数R</w:t>
      </w:r>
      <w:r>
        <w:rPr>
          <w:rFonts w:hint="eastAsia"/>
        </w:rPr>
        <w:t>2</w:t>
      </w:r>
      <w:r>
        <w:t>不低于0.80</w:t>
      </w:r>
      <w:r>
        <w:rPr>
          <w:rFonts w:hint="eastAsia"/>
        </w:rPr>
        <w:t>，</w:t>
      </w:r>
      <w:r>
        <w:t>均方根误差RMSE</w:t>
      </w:r>
      <w:r>
        <w:rPr>
          <w:rFonts w:hint="eastAsia"/>
        </w:rPr>
        <w:t>和</w:t>
      </w:r>
      <w:r>
        <w:t>平均绝对误差MAE</w:t>
      </w:r>
      <w:r>
        <w:rPr>
          <w:rFonts w:hint="eastAsia"/>
        </w:rPr>
        <w:t>均</w:t>
      </w:r>
      <w:r>
        <w:t>不大于精细化仿真模型结果平均值的1</w:t>
      </w:r>
      <w:r>
        <w:rPr>
          <w:rFonts w:hint="eastAsia"/>
        </w:rPr>
        <w:t>0</w:t>
      </w:r>
      <w:r>
        <w:t>%</w:t>
      </w:r>
      <w:r>
        <w:rPr>
          <w:rFonts w:hint="eastAsia"/>
        </w:rPr>
        <w:t>。</w:t>
      </w:r>
    </w:p>
    <w:p w14:paraId="0CE3CE0A">
      <w:pPr>
        <w:ind w:firstLine="640"/>
        <w:jc w:val="both"/>
        <w:rPr>
          <w:rFonts w:hint="eastAsia"/>
        </w:rPr>
      </w:pPr>
      <w:r>
        <w:rPr>
          <w:rFonts w:hint="eastAsia"/>
        </w:rPr>
        <w:t>2.</w:t>
      </w:r>
      <w:r>
        <w:t>对比不少于3种机器学习算法（如神经网络、随机森林、支持向量回归等），以R</w:t>
      </w:r>
      <w:r>
        <w:rPr>
          <w:rFonts w:hint="eastAsia"/>
        </w:rPr>
        <w:t>2</w:t>
      </w:r>
      <w:r>
        <w:t>、RMSE、MAE为评价指标，最终选用模型在测试集上三项指标均不低于其他候选算法</w:t>
      </w:r>
      <w:r>
        <w:rPr>
          <w:rFonts w:hint="eastAsia"/>
        </w:rPr>
        <w:t>。</w:t>
      </w:r>
    </w:p>
    <w:p w14:paraId="1A63FBA0">
      <w:pPr>
        <w:ind w:firstLine="640"/>
        <w:jc w:val="both"/>
        <w:rPr>
          <w:rFonts w:hint="eastAsia"/>
        </w:rPr>
      </w:pPr>
      <w:r>
        <w:rPr>
          <w:rFonts w:hint="eastAsia"/>
        </w:rPr>
        <w:t>3.所建模型考虑的环境和荷载因素包括但不限于</w:t>
      </w:r>
      <w:r>
        <w:t>风沙侵蚀、温差循环、紫外线强度、湿度侵蚀等</w:t>
      </w:r>
      <w:r>
        <w:rPr>
          <w:rFonts w:hint="eastAsia"/>
        </w:rPr>
        <w:t>。</w:t>
      </w:r>
    </w:p>
    <w:p w14:paraId="08B8E020">
      <w:pPr>
        <w:ind w:firstLine="640"/>
        <w:jc w:val="both"/>
        <w:rPr>
          <w:rFonts w:hint="eastAsia"/>
        </w:rPr>
      </w:pPr>
      <w:r>
        <w:rPr>
          <w:rFonts w:hint="eastAsia"/>
        </w:rPr>
        <w:t>4.</w:t>
      </w:r>
      <w:r>
        <w:t>标准化数据接口实现镜面损伤模型与寿命预测模型计算结果向集团数字化平台的对接输出，并通过测试验证。</w:t>
      </w:r>
    </w:p>
    <w:p w14:paraId="377AEB8A">
      <w:pPr>
        <w:keepNext/>
        <w:ind w:firstLine="640"/>
        <w:jc w:val="both"/>
        <w:outlineLvl w:val="1"/>
        <w:rPr>
          <w:rFonts w:hint="eastAsia" w:ascii="黑体" w:hAnsi="黑体" w:eastAsia="黑体"/>
        </w:rPr>
      </w:pPr>
      <w:r>
        <w:rPr>
          <w:rFonts w:hint="eastAsia" w:ascii="黑体" w:hAnsi="黑体" w:eastAsia="黑体"/>
        </w:rPr>
        <w:t>五、项目执行周期</w:t>
      </w:r>
    </w:p>
    <w:p w14:paraId="01AAE4A7">
      <w:pPr>
        <w:ind w:firstLine="640"/>
        <w:jc w:val="both"/>
        <w:rPr>
          <w:rFonts w:hint="eastAsia"/>
        </w:rPr>
      </w:pPr>
      <w:r>
        <w:t>本项目执行周期为24个月。项目按照“试验研究→模型构建→接口开发”分阶段推进，前期完成试验数据获取与机理研究，中期完成损伤模型与寿命预测</w:t>
      </w:r>
      <w:r>
        <w:rPr>
          <w:rFonts w:hint="eastAsia"/>
        </w:rPr>
        <w:t>模型</w:t>
      </w:r>
      <w:r>
        <w:t>构建，后期完成标准化数据接口开发与集团平台对接验证，各阶段形成相应验证成果，并根据反馈持续完善，最终完成全部成果交付。</w:t>
      </w:r>
    </w:p>
    <w:p w14:paraId="14129424">
      <w:pPr>
        <w:keepNext/>
        <w:ind w:firstLine="640"/>
        <w:jc w:val="both"/>
        <w:outlineLvl w:val="1"/>
        <w:rPr>
          <w:rFonts w:hint="eastAsia" w:ascii="黑体" w:hAnsi="黑体" w:eastAsia="黑体"/>
        </w:rPr>
      </w:pPr>
      <w:r>
        <w:rPr>
          <w:rFonts w:hint="eastAsia" w:ascii="黑体" w:hAnsi="黑体" w:eastAsia="黑体"/>
        </w:rPr>
        <w:t>六、经费概算</w:t>
      </w:r>
    </w:p>
    <w:p w14:paraId="27C9E8C5">
      <w:pPr>
        <w:ind w:firstLine="640"/>
        <w:jc w:val="both"/>
        <w:rPr>
          <w:rFonts w:hint="eastAsia"/>
        </w:rPr>
      </w:pPr>
      <w:r>
        <w:t>本项目总预算为2</w:t>
      </w:r>
      <w:r>
        <w:rPr>
          <w:rFonts w:hint="eastAsia"/>
        </w:rPr>
        <w:t>80</w:t>
      </w:r>
      <w:r>
        <w:t>万元</w:t>
      </w:r>
      <w:r>
        <w:rPr>
          <w:rFonts w:hint="eastAsia"/>
        </w:rPr>
        <w:t>。</w:t>
      </w:r>
    </w:p>
    <w:p w14:paraId="07F3A72F">
      <w:pPr>
        <w:pStyle w:val="2"/>
        <w:jc w:val="both"/>
        <w:rPr>
          <w:rFonts w:hint="eastAsia"/>
        </w:rPr>
        <w:sectPr>
          <w:pgSz w:w="11906" w:h="16838"/>
          <w:pgMar w:top="2098" w:right="1474" w:bottom="1984" w:left="1587" w:header="851" w:footer="1417" w:gutter="0"/>
          <w:cols w:space="720" w:num="1"/>
          <w:docGrid w:type="lines" w:linePitch="312" w:charSpace="0"/>
        </w:sectPr>
      </w:pPr>
    </w:p>
    <w:p w14:paraId="296172D8">
      <w:pPr>
        <w:pStyle w:val="2"/>
        <w:rPr>
          <w:rFonts w:hint="eastAsia"/>
        </w:rPr>
      </w:pPr>
      <w:r>
        <w:t>基于瞬态模拟的定日镜阵列复杂风场扰流特性与脉动风载规律研究项目指南</w:t>
      </w:r>
    </w:p>
    <w:p w14:paraId="1A7F87DC">
      <w:pPr>
        <w:ind w:firstLine="640"/>
        <w:jc w:val="both"/>
        <w:rPr>
          <w:rFonts w:hint="eastAsia"/>
        </w:rPr>
      </w:pPr>
    </w:p>
    <w:p w14:paraId="298BD006">
      <w:pPr>
        <w:keepNext/>
        <w:keepLines/>
        <w:ind w:firstLine="640"/>
        <w:jc w:val="both"/>
        <w:outlineLvl w:val="1"/>
        <w:rPr>
          <w:rFonts w:hint="eastAsia" w:ascii="黑体" w:hAnsi="黑体" w:eastAsia="黑体"/>
        </w:rPr>
      </w:pPr>
      <w:r>
        <w:rPr>
          <w:rFonts w:ascii="黑体" w:hAnsi="黑体" w:eastAsia="黑体"/>
        </w:rPr>
        <w:t>一、项目基本信息</w:t>
      </w:r>
    </w:p>
    <w:p w14:paraId="73B84C7F">
      <w:pPr>
        <w:ind w:firstLine="640"/>
        <w:jc w:val="both"/>
        <w:rPr>
          <w:rFonts w:hint="eastAsia"/>
        </w:rPr>
      </w:pPr>
      <w:r>
        <w:t>项目类型：新型产业项目</w:t>
      </w:r>
    </w:p>
    <w:p w14:paraId="005B8792">
      <w:pPr>
        <w:ind w:firstLine="640"/>
        <w:jc w:val="both"/>
        <w:rPr>
          <w:rFonts w:hint="eastAsia"/>
        </w:rPr>
      </w:pPr>
      <w:r>
        <w:t>技术成熟度：项目完成后，预计定日镜瞬态风载预测技术成熟度达到6级</w:t>
      </w:r>
    </w:p>
    <w:p w14:paraId="526CA103">
      <w:pPr>
        <w:ind w:firstLine="640"/>
        <w:jc w:val="both"/>
        <w:rPr>
          <w:rFonts w:hint="eastAsia"/>
        </w:rPr>
      </w:pPr>
      <w:r>
        <w:t>需求单位及联系人：</w:t>
      </w:r>
    </w:p>
    <w:p w14:paraId="2C69DA0B">
      <w:pPr>
        <w:ind w:firstLine="640"/>
        <w:jc w:val="both"/>
        <w:rPr>
          <w:rFonts w:hint="eastAsia"/>
        </w:rPr>
      </w:pPr>
      <w:r>
        <w:t>东方锅炉</w:t>
      </w:r>
      <w:r>
        <w:rPr>
          <w:rFonts w:hint="eastAsia"/>
        </w:rPr>
        <w:t xml:space="preserve"> </w:t>
      </w:r>
      <w:r>
        <w:t>常晋伟</w:t>
      </w:r>
      <w:r>
        <w:rPr>
          <w:rFonts w:hint="eastAsia"/>
        </w:rPr>
        <w:t xml:space="preserve"> </w:t>
      </w:r>
      <w:r>
        <w:t>13688383592</w:t>
      </w:r>
    </w:p>
    <w:p w14:paraId="73DE93B6">
      <w:pPr>
        <w:ind w:firstLine="640"/>
        <w:jc w:val="both"/>
        <w:rPr>
          <w:rFonts w:hint="eastAsia"/>
        </w:rPr>
      </w:pPr>
      <w:r>
        <w:t>东长研究院 王立闻 18011491098</w:t>
      </w:r>
    </w:p>
    <w:p w14:paraId="3CD5A467">
      <w:pPr>
        <w:keepNext/>
        <w:keepLines/>
        <w:ind w:firstLine="640"/>
        <w:jc w:val="both"/>
        <w:outlineLvl w:val="1"/>
        <w:rPr>
          <w:rFonts w:hint="eastAsia" w:ascii="黑体" w:hAnsi="黑体" w:eastAsia="黑体"/>
        </w:rPr>
      </w:pPr>
      <w:r>
        <w:rPr>
          <w:rFonts w:ascii="黑体" w:hAnsi="黑体" w:eastAsia="黑体"/>
        </w:rPr>
        <w:t>二、研究背景</w:t>
      </w:r>
    </w:p>
    <w:p w14:paraId="6B10E3D9">
      <w:pPr>
        <w:ind w:firstLine="640"/>
        <w:jc w:val="both"/>
        <w:rPr>
          <w:rFonts w:hint="eastAsia"/>
        </w:rPr>
      </w:pPr>
      <w:r>
        <w:t>随着我国“双碳”战略深入实施和新型电力系统建设加快推进，塔式太阳能光热发电因具备大规模储能和灵活调峰能力，成为新能源领域的重要发展方向。作为光热电站集热系统的核心装备，定日镜长期运行于荒漠、高原等强风环境，其受风安全性能直接关系到镜场运行可靠性、设备寿命及度电成本。</w:t>
      </w:r>
    </w:p>
    <w:p w14:paraId="0201F346">
      <w:pPr>
        <w:ind w:firstLine="640"/>
        <w:jc w:val="both"/>
        <w:rPr>
          <w:rFonts w:hint="eastAsia"/>
        </w:rPr>
      </w:pPr>
      <w:r>
        <w:t>目前，定日镜风荷载设计主要依赖风洞试验或基于雷诺平均（RANS）稳态模拟的平均风载模型，对复杂天然风场中高湍流度、阵风、风向快速变化及镜间扰流等非定常流动特征的描述能力有限，难以准确获取镜面瞬态风压、峰值荷载、脉动荷载及其空间相关性，进而影响结构动力响应和疲劳寿命评估的可靠性，已成为制约大型镜场优化设计的重要技术瓶颈。与此同时，大型镜场风洞试验周期长、成本高，难以覆盖多工况、多阵列布局条件。</w:t>
      </w:r>
    </w:p>
    <w:p w14:paraId="1FDE663A">
      <w:pPr>
        <w:ind w:firstLine="640"/>
        <w:jc w:val="both"/>
        <w:rPr>
          <w:rFonts w:hint="eastAsia"/>
        </w:rPr>
      </w:pPr>
      <w:r>
        <w:t>本项目拟以实测/试验数据为基础，建立适用于定日镜阵列的瞬态来流边界和高精度数值模拟方法。系统研究阵列排布、镜面姿态、阵列密度及来流条件对镜场扰流和脉动风荷载的影响规律。形成经验证的定日镜阵列风荷载分析方法、扰流效应评价方法及标准化风载数据库。研究成果可为大型光热电站镜场布局优化、定日镜结构安全设计、疲劳寿命评估和极端风况下的运行控制提供技术支撑。</w:t>
      </w:r>
    </w:p>
    <w:p w14:paraId="32046F7A">
      <w:pPr>
        <w:keepNext/>
        <w:keepLines/>
        <w:ind w:firstLine="640"/>
        <w:jc w:val="both"/>
        <w:outlineLvl w:val="1"/>
        <w:rPr>
          <w:rFonts w:hint="eastAsia" w:ascii="黑体" w:hAnsi="黑体" w:eastAsia="黑体"/>
        </w:rPr>
      </w:pPr>
      <w:r>
        <w:rPr>
          <w:rFonts w:ascii="黑体" w:hAnsi="黑体" w:eastAsia="黑体"/>
        </w:rPr>
        <w:t>三、研究内容</w:t>
      </w:r>
    </w:p>
    <w:p w14:paraId="6F3572D6">
      <w:pPr>
        <w:ind w:firstLine="640"/>
        <w:jc w:val="both"/>
        <w:rPr>
          <w:rFonts w:hint="eastAsia"/>
        </w:rPr>
      </w:pPr>
      <w:r>
        <w:t>围绕定日镜阵列复杂风场扰流特性及脉动风载规律开展研究，主要包括以下内容：</w:t>
      </w:r>
    </w:p>
    <w:p w14:paraId="70835B93">
      <w:pPr>
        <w:ind w:firstLine="640"/>
        <w:jc w:val="both"/>
        <w:rPr>
          <w:rFonts w:hint="eastAsia"/>
        </w:rPr>
      </w:pPr>
      <w:r>
        <w:rPr>
          <w:rFonts w:hint="eastAsia"/>
        </w:rPr>
        <w:t>1.</w:t>
      </w:r>
      <w:r>
        <w:t>建立基于现场实测数据的风速概率模型及瞬态来流边界模型，构建典型风况数据库</w:t>
      </w:r>
      <w:r>
        <w:rPr>
          <w:rFonts w:hint="eastAsia"/>
        </w:rPr>
        <w:t>。</w:t>
      </w:r>
    </w:p>
    <w:p w14:paraId="7A5CFC87">
      <w:pPr>
        <w:ind w:firstLine="640"/>
        <w:jc w:val="both"/>
        <w:rPr>
          <w:rFonts w:hint="eastAsia"/>
        </w:rPr>
      </w:pPr>
      <w:r>
        <w:rPr>
          <w:rFonts w:hint="eastAsia"/>
        </w:rPr>
        <w:t>2.</w:t>
      </w:r>
      <w:r>
        <w:t>基于LES等高精度CFD方法先行开展单镜及阵列尺度瞬态风场模拟，再利用神经算子加速等方法进一步建立瞬态风场的降阶模型。以上建立的仿真模型需通过东方锅炉主导的风洞试验或实测数据进行验证，并满足模型指标要求</w:t>
      </w:r>
      <w:r>
        <w:rPr>
          <w:rFonts w:hint="eastAsia"/>
        </w:rPr>
        <w:t>。</w:t>
      </w:r>
    </w:p>
    <w:p w14:paraId="5C50B70F">
      <w:pPr>
        <w:ind w:firstLine="640"/>
        <w:jc w:val="both"/>
        <w:rPr>
          <w:rFonts w:hint="eastAsia"/>
        </w:rPr>
      </w:pPr>
      <w:r>
        <w:rPr>
          <w:rFonts w:hint="eastAsia"/>
        </w:rPr>
        <w:t>3.</w:t>
      </w:r>
      <w:r>
        <w:t>研究不同来流条件、镜面姿态、阵列排布及密度对局部风场及脉动风载的影响，揭示尾流演化、镜间干扰及风载时空相关分布规律</w:t>
      </w:r>
      <w:r>
        <w:rPr>
          <w:rFonts w:hint="eastAsia"/>
        </w:rPr>
        <w:t>。</w:t>
      </w:r>
    </w:p>
    <w:p w14:paraId="1F8BA992">
      <w:pPr>
        <w:ind w:firstLine="640"/>
        <w:jc w:val="both"/>
        <w:rPr>
          <w:rFonts w:hint="eastAsia"/>
        </w:rPr>
      </w:pPr>
      <w:r>
        <w:rPr>
          <w:rFonts w:hint="eastAsia"/>
        </w:rPr>
        <w:t>4.</w:t>
      </w:r>
      <w:r>
        <w:t>提取镜面脉动风压时程、荷载峰值分布、功率谱等关键参数，构建阵列扰流评价方法和标准化风载数据库，形成面向结构动力分析和疲劳寿命分析的数据接口。</w:t>
      </w:r>
    </w:p>
    <w:p w14:paraId="4BF507D3">
      <w:pPr>
        <w:keepNext/>
        <w:keepLines/>
        <w:ind w:firstLine="640"/>
        <w:jc w:val="both"/>
        <w:outlineLvl w:val="1"/>
        <w:rPr>
          <w:rFonts w:hint="eastAsia" w:ascii="黑体" w:hAnsi="黑体" w:eastAsia="黑体"/>
        </w:rPr>
      </w:pPr>
      <w:r>
        <w:rPr>
          <w:rFonts w:ascii="黑体" w:hAnsi="黑体" w:eastAsia="黑体"/>
        </w:rPr>
        <w:t>四、交付成果及指标</w:t>
      </w:r>
    </w:p>
    <w:p w14:paraId="123A15ED">
      <w:pPr>
        <w:ind w:firstLine="640"/>
        <w:jc w:val="both"/>
        <w:rPr>
          <w:rFonts w:hint="eastAsia"/>
        </w:rPr>
      </w:pPr>
      <w:r>
        <w:rPr>
          <w:rFonts w:hint="eastAsia"/>
        </w:rPr>
        <w:t>1.</w:t>
      </w:r>
      <w:r>
        <w:t>形成基于LES高精度CFD及基于神经算子加速等方法的降阶模型两种瞬态模拟的定日镜阵列复杂风场数值模拟技术方案，交付两种技术方案下的计算方法、模型文件、代码文件和典型算例等，完成网格、时间步长及统计收敛性分析；至少完成不同风况、不同定日镜阵列姿态角度下的模型验证；CFD模型与降阶模型的精度要求：总体平均风速/风力/力矩预测误差原则上≤15%，峰值风载误差原则上≤20%；降阶模型完成单工况的计算时长控制在10 min内，最优实现1min内。成果用于定日镜产品研发、镜场设计和安全复核，缩短方案比选周期，降低试验与设计成本。</w:t>
      </w:r>
    </w:p>
    <w:p w14:paraId="5967EAA1">
      <w:pPr>
        <w:ind w:firstLine="640"/>
        <w:jc w:val="both"/>
        <w:rPr>
          <w:rFonts w:hint="eastAsia"/>
        </w:rPr>
      </w:pPr>
      <w:r>
        <w:rPr>
          <w:rFonts w:hint="eastAsia"/>
        </w:rPr>
        <w:t>2.</w:t>
      </w:r>
      <w:r>
        <w:t>建立覆盖我国西北典型光热资源区的自然风场模型与瞬态来流边界数据库，选取新疆、青海、西藏、甘肃等地区中不少于三个典型场址。数据库应系统表征风速风向概率分布、平均风速剖面、湍流强度、积分尺度及脉动风速功率谱等，作为光热电站镜场风环境分析的统一输入，为项目选址、设计基准风况确定、极端风况构造及不同场址方案对比提供依据。</w:t>
      </w:r>
    </w:p>
    <w:p w14:paraId="02A111E9">
      <w:pPr>
        <w:ind w:firstLine="640"/>
        <w:jc w:val="both"/>
        <w:rPr>
          <w:rFonts w:hint="eastAsia"/>
        </w:rPr>
      </w:pPr>
      <w:r>
        <w:rPr>
          <w:rFonts w:hint="eastAsia"/>
        </w:rPr>
        <w:t>3.</w:t>
      </w:r>
      <w:r>
        <w:t>建立定日镜阵列瞬态风场与脉动风载数据库，涵盖典型来流、镜面姿态、阵列布局、风压风力、峰值、功率谱等多工况数据（不少于300个工况），统一格式和接口，用于关键部件强度校核、动力响应及疲劳寿命评估。</w:t>
      </w:r>
    </w:p>
    <w:p w14:paraId="7838CEF0">
      <w:pPr>
        <w:ind w:firstLine="640"/>
        <w:jc w:val="both"/>
        <w:rPr>
          <w:rFonts w:hint="eastAsia"/>
        </w:rPr>
      </w:pPr>
      <w:r>
        <w:rPr>
          <w:rFonts w:hint="eastAsia"/>
        </w:rPr>
        <w:t>4.</w:t>
      </w:r>
      <w:r>
        <w:t>形成一套阵列扰流效应评价方法，提出关键镜位和不利工况识别指标，形成扰流分区及风险分级方法，支撑镜场布局、边缘区域防护和结构加强方案优化。</w:t>
      </w:r>
    </w:p>
    <w:p w14:paraId="3667CF57">
      <w:pPr>
        <w:ind w:firstLine="640"/>
        <w:jc w:val="both"/>
        <w:rPr>
          <w:rFonts w:hint="eastAsia"/>
        </w:rPr>
      </w:pPr>
      <w:r>
        <w:rPr>
          <w:rFonts w:hint="eastAsia"/>
        </w:rPr>
        <w:t>5.</w:t>
      </w:r>
      <w:r>
        <w:t>编制定日镜阵列风载分析企业技术导则1份，规范边界构建、建模计算、验证评价、风载取值等。</w:t>
      </w:r>
    </w:p>
    <w:p w14:paraId="478A1AA4">
      <w:pPr>
        <w:ind w:firstLine="640"/>
        <w:jc w:val="both"/>
        <w:rPr>
          <w:rFonts w:hint="eastAsia"/>
        </w:rPr>
      </w:pPr>
      <w:r>
        <w:rPr>
          <w:rFonts w:hint="eastAsia"/>
        </w:rPr>
        <w:t>6.</w:t>
      </w:r>
      <w:r>
        <w:t>提交研究报告1份，申请发明专利或软件著作权≥1项，发表或录用SCI/EI论文1～2篇。</w:t>
      </w:r>
    </w:p>
    <w:p w14:paraId="182CDDD9">
      <w:pPr>
        <w:keepNext/>
        <w:keepLines/>
        <w:ind w:firstLine="640"/>
        <w:jc w:val="both"/>
        <w:outlineLvl w:val="1"/>
        <w:rPr>
          <w:rFonts w:hint="eastAsia" w:ascii="黑体" w:hAnsi="黑体" w:eastAsia="黑体"/>
        </w:rPr>
      </w:pPr>
      <w:r>
        <w:rPr>
          <w:rFonts w:ascii="黑体" w:hAnsi="黑体" w:eastAsia="黑体"/>
        </w:rPr>
        <w:t>五、项目执行周期</w:t>
      </w:r>
    </w:p>
    <w:p w14:paraId="0C478043">
      <w:pPr>
        <w:ind w:firstLine="640"/>
        <w:jc w:val="both"/>
        <w:rPr>
          <w:rFonts w:hint="eastAsia"/>
        </w:rPr>
      </w:pPr>
      <w:r>
        <w:t>本项目执行周期为24个月。</w:t>
      </w:r>
    </w:p>
    <w:p w14:paraId="2E10472F">
      <w:pPr>
        <w:pStyle w:val="3"/>
        <w:ind w:firstLine="640"/>
        <w:jc w:val="both"/>
        <w:rPr>
          <w:rFonts w:hint="eastAsia"/>
        </w:rPr>
      </w:pPr>
      <w:r>
        <w:t>六、经费概算</w:t>
      </w:r>
    </w:p>
    <w:p w14:paraId="41879C6F">
      <w:pPr>
        <w:ind w:firstLine="640"/>
        <w:jc w:val="both"/>
        <w:rPr>
          <w:rFonts w:hint="eastAsia"/>
        </w:rPr>
      </w:pPr>
      <w:r>
        <w:t>本项目总预算为173万元。</w:t>
      </w:r>
    </w:p>
    <w:p w14:paraId="0A89174F">
      <w:pPr>
        <w:pStyle w:val="2"/>
        <w:jc w:val="both"/>
        <w:rPr>
          <w:rFonts w:hint="eastAsia"/>
        </w:rPr>
        <w:sectPr>
          <w:footerReference r:id="rId14" w:type="default"/>
          <w:pgSz w:w="11906" w:h="16838"/>
          <w:pgMar w:top="1600" w:right="1440" w:bottom="860" w:left="1800" w:header="0" w:footer="674" w:gutter="0"/>
          <w:cols w:space="720" w:num="1"/>
        </w:sectPr>
      </w:pPr>
    </w:p>
    <w:p w14:paraId="484FE207">
      <w:pPr>
        <w:pStyle w:val="2"/>
        <w:rPr>
          <w:rFonts w:hint="eastAsia"/>
        </w:rPr>
      </w:pPr>
      <w:r>
        <w:t>燃气轮机不稳定燃烧预测方法</w:t>
      </w:r>
      <w:r>
        <w:rPr>
          <w:rFonts w:hint="eastAsia"/>
        </w:rPr>
        <w:t>项目指南</w:t>
      </w:r>
    </w:p>
    <w:p w14:paraId="3B9F0674">
      <w:pPr>
        <w:ind w:firstLine="640"/>
        <w:rPr>
          <w:rFonts w:hint="eastAsia"/>
        </w:rPr>
      </w:pPr>
    </w:p>
    <w:p w14:paraId="5EC756CC">
      <w:pPr>
        <w:pStyle w:val="3"/>
        <w:ind w:firstLine="640"/>
        <w:jc w:val="both"/>
        <w:rPr>
          <w:rFonts w:hint="eastAsia"/>
        </w:rPr>
      </w:pPr>
      <w:r>
        <w:t>一、项目基本信息</w:t>
      </w:r>
    </w:p>
    <w:p w14:paraId="2059B4F7">
      <w:pPr>
        <w:ind w:firstLine="640"/>
        <w:jc w:val="both"/>
        <w:rPr>
          <w:rFonts w:hint="eastAsia"/>
        </w:rPr>
      </w:pPr>
      <w:r>
        <w:t>项目类型：技术提升项目</w:t>
      </w:r>
    </w:p>
    <w:p w14:paraId="2C802DF1">
      <w:pPr>
        <w:ind w:firstLine="640"/>
        <w:jc w:val="both"/>
        <w:rPr>
          <w:rFonts w:hint="eastAsia"/>
        </w:rPr>
      </w:pPr>
      <w:r>
        <w:t>技术成熟度：项目完成后，预计技术成熟度达到</w:t>
      </w:r>
      <w:r>
        <w:rPr>
          <w:rFonts w:hint="eastAsia"/>
        </w:rPr>
        <w:t>4</w:t>
      </w:r>
      <w:r>
        <w:t>级</w:t>
      </w:r>
    </w:p>
    <w:p w14:paraId="4C6F3198">
      <w:pPr>
        <w:ind w:firstLine="640"/>
        <w:jc w:val="both"/>
        <w:rPr>
          <w:rFonts w:hint="eastAsia"/>
        </w:rPr>
      </w:pPr>
      <w:r>
        <w:t>需求单位及联系人：</w:t>
      </w:r>
    </w:p>
    <w:p w14:paraId="60CE7327">
      <w:pPr>
        <w:ind w:firstLine="640"/>
        <w:jc w:val="both"/>
        <w:rPr>
          <w:rFonts w:hint="eastAsia"/>
        </w:rPr>
      </w:pPr>
      <w:r>
        <w:t>东方汽轮机 缪承希 18811379971</w:t>
      </w:r>
    </w:p>
    <w:p w14:paraId="6B247E53">
      <w:pPr>
        <w:pStyle w:val="3"/>
        <w:ind w:firstLine="640"/>
        <w:jc w:val="both"/>
        <w:rPr>
          <w:rFonts w:hint="eastAsia"/>
        </w:rPr>
      </w:pPr>
      <w:r>
        <w:t>二、研究背景</w:t>
      </w:r>
    </w:p>
    <w:p w14:paraId="720F2A37">
      <w:pPr>
        <w:ind w:firstLine="640"/>
        <w:jc w:val="both"/>
        <w:rPr>
          <w:rFonts w:hint="eastAsia"/>
        </w:rPr>
      </w:pPr>
      <w:r>
        <w:t>燃烧不稳定（热声振荡）是重型燃气轮机研制中的核心难题，高幅值脉动压力可形成局部高温、增加污染物排放，严重时引发熄火或回火，烧毁喷嘴；同时可能诱发结构共振，增大交变应力，导致疲劳失效，缩短燃机寿命。</w:t>
      </w:r>
    </w:p>
    <w:p w14:paraId="4AD367C1">
      <w:pPr>
        <w:ind w:firstLine="640"/>
        <w:jc w:val="both"/>
        <w:rPr>
          <w:rFonts w:hint="eastAsia"/>
        </w:rPr>
      </w:pPr>
      <w:r>
        <w:t>世界燃气轮机厂商都极为关注热声振荡问题，一直致力于优化不稳定燃烧实时调控方式，开发热声预判方法和改进热声控制策略。然而，公司自主燃机目前仍处于频谱分析加事后调控阶段，暂无法实现预测与在线调控，与国际先进水平存在明显差距。</w:t>
      </w:r>
    </w:p>
    <w:p w14:paraId="2B4046FC">
      <w:pPr>
        <w:ind w:firstLine="640"/>
        <w:jc w:val="both"/>
        <w:rPr>
          <w:rFonts w:hint="eastAsia"/>
        </w:rPr>
      </w:pPr>
      <w:r>
        <w:t>燃气轮机燃烧室可以视做一个高度非线性系统，其动力学演化特征非常复杂。传统基于傅里叶变换和频谱分析的方法，只能进行事后响应，无法提前预测燃烧不稳定的分析。近年来，神经算子网络的发展为高度非线性系统特征演化的学习，提供了一条新的技术路线。算子网络的强大非线性学习能力，有望为不稳定燃烧的预测提供新的工具。因此，亟须开展基于神经算子网络模型的燃气轮机不稳定燃烧预测方法，并开发相应的在线预测软件，以提升自主燃机安全性与可靠性。</w:t>
      </w:r>
    </w:p>
    <w:p w14:paraId="5BEFEC4A">
      <w:pPr>
        <w:pStyle w:val="3"/>
        <w:ind w:firstLine="640"/>
        <w:jc w:val="both"/>
        <w:rPr>
          <w:rFonts w:hint="eastAsia"/>
        </w:rPr>
      </w:pPr>
      <w:r>
        <w:t>三、研究内容</w:t>
      </w:r>
    </w:p>
    <w:p w14:paraId="1E48BC4F">
      <w:pPr>
        <w:ind w:firstLine="640"/>
        <w:jc w:val="both"/>
        <w:rPr>
          <w:rFonts w:hint="eastAsia"/>
        </w:rPr>
      </w:pPr>
      <w:r>
        <w:t>针对燃气轮机不稳定燃烧问题，开展基于神经算子网络模型的不稳定燃烧预测方法研究并开发对应预测软件。</w:t>
      </w:r>
    </w:p>
    <w:p w14:paraId="676CEBFA">
      <w:pPr>
        <w:ind w:firstLine="640"/>
        <w:jc w:val="both"/>
        <w:rPr>
          <w:rFonts w:hint="eastAsia"/>
        </w:rPr>
      </w:pPr>
      <w:r>
        <w:t>研究内容包括：</w:t>
      </w:r>
    </w:p>
    <w:p w14:paraId="58A5C862">
      <w:pPr>
        <w:ind w:firstLine="640"/>
        <w:jc w:val="both"/>
        <w:rPr>
          <w:rFonts w:hint="eastAsia"/>
        </w:rPr>
      </w:pPr>
      <w:r>
        <w:rPr>
          <w:rFonts w:hint="eastAsia"/>
        </w:rPr>
        <w:t>1.</w:t>
      </w:r>
      <w:r>
        <w:t>基于模型燃烧室实验数据，构建可用于深度学习模型训练使用的不稳定燃烧时序信号高质量数据集</w:t>
      </w:r>
      <w:r>
        <w:rPr>
          <w:rFonts w:hint="eastAsia"/>
        </w:rPr>
        <w:t>。</w:t>
      </w:r>
    </w:p>
    <w:p w14:paraId="6B054D63">
      <w:pPr>
        <w:ind w:firstLine="640"/>
        <w:jc w:val="both"/>
        <w:rPr>
          <w:rFonts w:hint="eastAsia"/>
        </w:rPr>
      </w:pPr>
      <w:r>
        <w:rPr>
          <w:rFonts w:hint="eastAsia"/>
        </w:rPr>
        <w:t>2.</w:t>
      </w:r>
      <w:r>
        <w:t>开展燃烧室中热声时序信号的频谱特征分析，采用非线性分析方法探究不稳定燃烧触发、切换和模态迁移规律。提出基于神经算子网络的深度学习框架，并开发不稳定燃烧时序信号频谱重构算法</w:t>
      </w:r>
      <w:r>
        <w:rPr>
          <w:rFonts w:hint="eastAsia"/>
        </w:rPr>
        <w:t>。</w:t>
      </w:r>
    </w:p>
    <w:p w14:paraId="4576BD7C">
      <w:pPr>
        <w:ind w:firstLine="640"/>
        <w:jc w:val="both"/>
        <w:rPr>
          <w:rFonts w:hint="eastAsia"/>
        </w:rPr>
      </w:pPr>
      <w:r>
        <w:rPr>
          <w:rFonts w:hint="eastAsia"/>
        </w:rPr>
        <w:t>3.</w:t>
      </w:r>
      <w:r>
        <w:t>采用神经算子网络构建燃烧室中动态压力信号时序预测方法，开发不稳定燃烧发生过程的动态压力时序信号重建算法</w:t>
      </w:r>
      <w:r>
        <w:rPr>
          <w:rFonts w:hint="eastAsia"/>
        </w:rPr>
        <w:t>。</w:t>
      </w:r>
    </w:p>
    <w:p w14:paraId="775014E3">
      <w:pPr>
        <w:ind w:firstLine="640"/>
        <w:jc w:val="both"/>
        <w:rPr>
          <w:rFonts w:hint="eastAsia"/>
        </w:rPr>
      </w:pPr>
      <w:r>
        <w:rPr>
          <w:rFonts w:hint="eastAsia"/>
        </w:rPr>
        <w:t>4.</w:t>
      </w:r>
      <w:r>
        <w:t>开发基于神经算子网络模型的燃烧室不稳定燃烧预测软件，探索燃气轮机不稳定燃烧前兆预测和自动控制。</w:t>
      </w:r>
    </w:p>
    <w:p w14:paraId="563E364F">
      <w:pPr>
        <w:pStyle w:val="3"/>
        <w:ind w:firstLine="640"/>
        <w:jc w:val="both"/>
        <w:rPr>
          <w:rFonts w:hint="eastAsia"/>
        </w:rPr>
      </w:pPr>
      <w:r>
        <w:t>四、交付成果及指标</w:t>
      </w:r>
    </w:p>
    <w:p w14:paraId="2BB659A1">
      <w:pPr>
        <w:ind w:firstLine="640"/>
        <w:jc w:val="both"/>
        <w:rPr>
          <w:rFonts w:hint="eastAsia"/>
        </w:rPr>
      </w:pPr>
      <w:r>
        <w:rPr>
          <w:rFonts w:hint="eastAsia"/>
        </w:rPr>
        <w:t>1.</w:t>
      </w:r>
      <w:r>
        <w:t>基于模型燃烧室不稳定燃烧数据，构建高质量时序信号数据集</w:t>
      </w:r>
      <w:r>
        <w:rPr>
          <w:rFonts w:hint="eastAsia"/>
        </w:rPr>
        <w:t>。</w:t>
      </w:r>
    </w:p>
    <w:p w14:paraId="0D9942AB">
      <w:pPr>
        <w:ind w:firstLine="640"/>
        <w:jc w:val="both"/>
        <w:rPr>
          <w:rFonts w:hint="eastAsia"/>
        </w:rPr>
      </w:pPr>
      <w:r>
        <w:rPr>
          <w:rFonts w:hint="eastAsia"/>
        </w:rPr>
        <w:t>2.</w:t>
      </w:r>
      <w:r>
        <w:t>开发基于神经算子网络框架的燃烧室不稳定燃烧频谱重构算法，实现动压时序信号频谱重构的均方根误差不超过20%</w:t>
      </w:r>
      <w:r>
        <w:rPr>
          <w:rFonts w:hint="eastAsia"/>
        </w:rPr>
        <w:t>。</w:t>
      </w:r>
    </w:p>
    <w:p w14:paraId="4B9F510B">
      <w:pPr>
        <w:ind w:firstLine="640"/>
        <w:jc w:val="both"/>
        <w:rPr>
          <w:rFonts w:hint="eastAsia"/>
        </w:rPr>
      </w:pPr>
      <w:r>
        <w:rPr>
          <w:rFonts w:hint="eastAsia"/>
        </w:rPr>
        <w:t>3.</w:t>
      </w:r>
      <w:r>
        <w:t>开发基于神经算子网络模型的动压信号重建算法，动态压力时序信号预测时间达到30~40ms，幅值预测均方根误差小于20%</w:t>
      </w:r>
      <w:r>
        <w:rPr>
          <w:rFonts w:hint="eastAsia"/>
        </w:rPr>
        <w:t>。</w:t>
      </w:r>
    </w:p>
    <w:p w14:paraId="39F4F24E">
      <w:pPr>
        <w:ind w:firstLine="640"/>
        <w:jc w:val="both"/>
        <w:rPr>
          <w:rFonts w:hint="eastAsia"/>
        </w:rPr>
      </w:pPr>
      <w:r>
        <w:rPr>
          <w:rFonts w:hint="eastAsia"/>
        </w:rPr>
        <w:t>4.</w:t>
      </w:r>
      <w:r>
        <w:t>基于神经算子网络模型的频谱重构算法和时序型号重建算法，探索燃气轮机不稳定燃烧前兆预测软件</w:t>
      </w:r>
      <w:r>
        <w:rPr>
          <w:rFonts w:hint="eastAsia"/>
        </w:rPr>
        <w:t>。</w:t>
      </w:r>
    </w:p>
    <w:p w14:paraId="050075FA">
      <w:pPr>
        <w:pStyle w:val="3"/>
        <w:ind w:firstLine="640"/>
        <w:jc w:val="both"/>
        <w:rPr>
          <w:rFonts w:hint="eastAsia"/>
        </w:rPr>
      </w:pPr>
      <w:r>
        <w:rPr>
          <w:rFonts w:hint="eastAsia"/>
        </w:rPr>
        <w:t>五、</w:t>
      </w:r>
      <w:r>
        <w:t>项目执行周期</w:t>
      </w:r>
    </w:p>
    <w:p w14:paraId="7DBAB0EA">
      <w:pPr>
        <w:ind w:firstLine="640"/>
        <w:jc w:val="both"/>
        <w:rPr>
          <w:rFonts w:hint="eastAsia"/>
        </w:rPr>
      </w:pPr>
      <w:r>
        <w:t>本项目执行周期为12个月。</w:t>
      </w:r>
    </w:p>
    <w:p w14:paraId="7E21EA94">
      <w:pPr>
        <w:pStyle w:val="3"/>
        <w:ind w:firstLine="640"/>
        <w:jc w:val="both"/>
        <w:rPr>
          <w:rFonts w:hint="eastAsia"/>
        </w:rPr>
      </w:pPr>
      <w:r>
        <w:rPr>
          <w:rFonts w:hint="eastAsia"/>
        </w:rPr>
        <w:t>六、</w:t>
      </w:r>
      <w:r>
        <w:t>经费概算</w:t>
      </w:r>
    </w:p>
    <w:p w14:paraId="76312D6B">
      <w:pPr>
        <w:ind w:firstLine="640"/>
        <w:jc w:val="both"/>
        <w:rPr>
          <w:rFonts w:hint="eastAsia"/>
        </w:rPr>
      </w:pPr>
      <w:r>
        <w:t>本项目总预算为1</w:t>
      </w:r>
      <w:r>
        <w:rPr>
          <w:rFonts w:hint="eastAsia"/>
        </w:rPr>
        <w:t>46</w:t>
      </w:r>
      <w:r>
        <w:t>万元</w:t>
      </w:r>
      <w:r>
        <w:rPr>
          <w:rFonts w:hint="eastAsia"/>
        </w:rPr>
        <w:t>。</w:t>
      </w:r>
    </w:p>
    <w:p w14:paraId="57A8533D">
      <w:pPr>
        <w:pStyle w:val="2"/>
        <w:jc w:val="both"/>
        <w:rPr>
          <w:rFonts w:hint="eastAsia"/>
        </w:rPr>
        <w:sectPr>
          <w:headerReference r:id="rId15" w:type="default"/>
          <w:footerReference r:id="rId16" w:type="default"/>
          <w:pgSz w:w="11906" w:h="16838"/>
          <w:pgMar w:top="2098" w:right="1474" w:bottom="1984" w:left="1587" w:header="851" w:footer="1417" w:gutter="0"/>
          <w:cols w:space="720" w:num="1"/>
          <w:docGrid w:type="lines" w:linePitch="312" w:charSpace="0"/>
        </w:sectPr>
      </w:pPr>
    </w:p>
    <w:p w14:paraId="6F8E1E41">
      <w:pPr>
        <w:pStyle w:val="2"/>
        <w:rPr>
          <w:rFonts w:hint="eastAsia"/>
        </w:rPr>
      </w:pPr>
      <w:r>
        <w:rPr>
          <w:rFonts w:hint="eastAsia"/>
        </w:rPr>
        <w:t>风电场多构网源持续构网能力评估及时序协同构网策略研究项目指南</w:t>
      </w:r>
    </w:p>
    <w:p w14:paraId="3A2B8E50">
      <w:pPr>
        <w:ind w:firstLine="640"/>
        <w:rPr>
          <w:rFonts w:hint="eastAsia"/>
        </w:rPr>
      </w:pPr>
    </w:p>
    <w:p w14:paraId="33FF5FB7">
      <w:pPr>
        <w:pStyle w:val="3"/>
        <w:ind w:firstLine="640"/>
        <w:jc w:val="both"/>
        <w:rPr>
          <w:rFonts w:hint="eastAsia"/>
        </w:rPr>
      </w:pPr>
      <w:r>
        <w:rPr>
          <w:rFonts w:hint="eastAsia"/>
        </w:rPr>
        <w:t>一、项目基本信息</w:t>
      </w:r>
    </w:p>
    <w:p w14:paraId="6707C259">
      <w:pPr>
        <w:ind w:firstLine="640"/>
        <w:jc w:val="both"/>
        <w:rPr>
          <w:rFonts w:hint="eastAsia"/>
        </w:rPr>
      </w:pPr>
      <w:r>
        <w:rPr>
          <w:rFonts w:hint="eastAsia"/>
        </w:rPr>
        <w:t>项目类型：技术提升项目（技术指标提升）</w:t>
      </w:r>
    </w:p>
    <w:p w14:paraId="2FB7CC7D">
      <w:pPr>
        <w:ind w:firstLine="640"/>
        <w:jc w:val="both"/>
        <w:rPr>
          <w:rFonts w:hint="eastAsia"/>
        </w:rPr>
      </w:pPr>
      <w:r>
        <w:rPr>
          <w:rFonts w:hint="eastAsia"/>
        </w:rPr>
        <w:t>技术成熟度：项目完成后，预计技术成熟度达到6级</w:t>
      </w:r>
    </w:p>
    <w:p w14:paraId="392CB06D">
      <w:pPr>
        <w:ind w:firstLine="640"/>
        <w:jc w:val="both"/>
        <w:rPr>
          <w:rFonts w:hint="eastAsia"/>
        </w:rPr>
      </w:pPr>
      <w:r>
        <w:rPr>
          <w:rFonts w:hint="eastAsia"/>
        </w:rPr>
        <w:t>需求单位及联系人：</w:t>
      </w:r>
    </w:p>
    <w:p w14:paraId="02791759">
      <w:pPr>
        <w:ind w:firstLine="640"/>
        <w:jc w:val="both"/>
        <w:rPr>
          <w:rFonts w:hint="eastAsia"/>
        </w:rPr>
      </w:pPr>
      <w:r>
        <w:rPr>
          <w:rFonts w:hint="eastAsia"/>
        </w:rPr>
        <w:t>东方自控 谭宏涛 13679261064</w:t>
      </w:r>
    </w:p>
    <w:p w14:paraId="7A816B53">
      <w:pPr>
        <w:ind w:firstLine="640"/>
        <w:jc w:val="both"/>
        <w:rPr>
          <w:rFonts w:hint="eastAsia"/>
        </w:rPr>
      </w:pPr>
      <w:r>
        <w:rPr>
          <w:rFonts w:hint="eastAsia"/>
        </w:rPr>
        <w:t>东方风电 吴小田 18628156679</w:t>
      </w:r>
    </w:p>
    <w:p w14:paraId="51FF3F9F">
      <w:pPr>
        <w:pStyle w:val="3"/>
        <w:ind w:firstLine="640"/>
        <w:jc w:val="both"/>
        <w:rPr>
          <w:rFonts w:hint="eastAsia"/>
        </w:rPr>
      </w:pPr>
      <w:r>
        <w:rPr>
          <w:rFonts w:hint="eastAsia"/>
        </w:rPr>
        <w:t>二、研究背景</w:t>
      </w:r>
    </w:p>
    <w:p w14:paraId="483899E4">
      <w:pPr>
        <w:ind w:firstLine="640"/>
        <w:jc w:val="both"/>
        <w:rPr>
          <w:rFonts w:hint="eastAsia"/>
        </w:rPr>
      </w:pPr>
      <w:r>
        <w:rPr>
          <w:rFonts w:hint="eastAsia"/>
        </w:rPr>
        <w:t>风电是实现“双碳”目标的重要手段，风电装机容量不断上升导致弱网特征明显，面临功率振荡、谐振失稳风险。构网型控制可提供类似同步发电机的频率、电压支撑，改善系统阻抗特性和动态稳定性，是提升弱网稳定的关键举措。</w:t>
      </w:r>
    </w:p>
    <w:p w14:paraId="3E74A595">
      <w:pPr>
        <w:ind w:firstLine="640"/>
        <w:jc w:val="both"/>
        <w:rPr>
          <w:rFonts w:hint="eastAsia"/>
        </w:rPr>
      </w:pPr>
      <w:r>
        <w:rPr>
          <w:rFonts w:hint="eastAsia"/>
        </w:rPr>
        <w:t>当前国内外相关研究多聚焦于单机构网控制器优化设计，且基于静态调配比例给出构网型机组的配置方法。目前已有部分风电场配套投运构网型设备，但场内风电、储能、SVG等多类构网电源运行特性动态差异显著，如机组持续能力强但受风速波动、储能支撑稳定但支撑时间有限、SVG更注重暂态无功支撑，上述差异导致目前风场在需要构网机组支撑时难以做出“由哪类设备承担构网主力、各设备如何配合构网” 的量化决策依据，如操作不当随意投切构网设备往往加速系统振荡失稳。上述问题关键难点在于：缺乏可以直接从可持续支撑能力、稳定性贡献能力及构网风险等多个维度量化评估多机构网能力，从而为风场构网决策提供可支撑依据。</w:t>
      </w:r>
    </w:p>
    <w:p w14:paraId="1C01123C">
      <w:pPr>
        <w:ind w:firstLine="640"/>
        <w:jc w:val="both"/>
        <w:rPr>
          <w:rFonts w:hint="eastAsia"/>
        </w:rPr>
      </w:pPr>
      <w:r>
        <w:rPr>
          <w:rFonts w:hint="eastAsia"/>
        </w:rPr>
        <w:t>综上，本项目旨在建立多维度下构网能力综合评估体系，并构建多构网源时序协同策略，通过该评估体系可在电网需要构网支撑时快速筛选最优构网主体、分配各设备构网出力，填补现有工程缺少多源协同构网量化决策工具的空白，能够精准提升弱电网场站并网稳定水平与动态支撑能力，有效降低振荡、机组脱网、新能源限发等运行损失，为大型风电基地安全高效开发提供落地性技术支撑。</w:t>
      </w:r>
    </w:p>
    <w:p w14:paraId="702537C0">
      <w:pPr>
        <w:pStyle w:val="3"/>
        <w:ind w:firstLine="640"/>
        <w:jc w:val="both"/>
        <w:rPr>
          <w:rFonts w:hint="eastAsia"/>
        </w:rPr>
      </w:pPr>
      <w:r>
        <w:rPr>
          <w:rFonts w:hint="eastAsia"/>
        </w:rPr>
        <w:t>三、研究内容</w:t>
      </w:r>
    </w:p>
    <w:p w14:paraId="5ED8A42E">
      <w:pPr>
        <w:ind w:firstLine="640"/>
        <w:jc w:val="both"/>
        <w:rPr>
          <w:rFonts w:hint="eastAsia"/>
        </w:rPr>
      </w:pPr>
      <w:r>
        <w:rPr>
          <w:rFonts w:hint="eastAsia"/>
        </w:rPr>
        <w:t>1.风电场含储能、SVG的跟网、构网混合控制建模。构建包含风电机组、储能、SVG等设备的风电场详细电磁暂态模型，其中构网控制模型依据相关国家标准进行建模。并建立跟/构网型风电机组的阻抗模型并扫描验证，对比分析跟/构网型风电机组在强/弱电网下稳定裕度和谐振风险，提出相应的阻抗重塑策略以及跟/构网平滑切换方法，提升风电机组在宽运行工况下的并网稳定性。（相关国标参考依据为：构网型变流器通用技术规范、构网型风电并网技术规范）</w:t>
      </w:r>
    </w:p>
    <w:p w14:paraId="381F540D">
      <w:pPr>
        <w:ind w:firstLine="640"/>
        <w:jc w:val="both"/>
        <w:rPr>
          <w:rFonts w:hint="eastAsia"/>
        </w:rPr>
      </w:pPr>
      <w:r>
        <w:rPr>
          <w:rFonts w:hint="eastAsia"/>
        </w:rPr>
        <w:t>2.风电场多构网源的构网能力评估。建立涵盖持续构网能力、切换风险、稳定性贡献的多维度评估指标体系，并基于风场信息和需求，提出构网型风机配置分析方法，对配置前后等效短路比、稳定裕度等指标进行对比评估，避免功率振荡等潜在运行风险。</w:t>
      </w:r>
    </w:p>
    <w:p w14:paraId="24E83A4F">
      <w:pPr>
        <w:ind w:firstLine="640"/>
        <w:jc w:val="both"/>
        <w:rPr>
          <w:rFonts w:hint="eastAsia"/>
        </w:rPr>
      </w:pPr>
      <w:r>
        <w:rPr>
          <w:rFonts w:hint="eastAsia"/>
        </w:rPr>
        <w:t>3.多构网源时序协同构网控制。建立涵盖风速变化、SOC状态、电网强度等多运行场景的跟/构网型风电机组的时序优化框架和协同控制方法，统筹跟/构网型风电机组的功率分配、跟/构网运行模式，在保障系统稳定的前提下形成可用于风电场运行决策的协同控制方案。</w:t>
      </w:r>
    </w:p>
    <w:p w14:paraId="7C11BC64">
      <w:pPr>
        <w:pStyle w:val="3"/>
        <w:ind w:firstLine="640"/>
        <w:jc w:val="both"/>
        <w:rPr>
          <w:rFonts w:hint="eastAsia"/>
        </w:rPr>
      </w:pPr>
      <w:r>
        <w:rPr>
          <w:rFonts w:hint="eastAsia"/>
        </w:rPr>
        <w:t>四、交付成果及指标</w:t>
      </w:r>
    </w:p>
    <w:p w14:paraId="4F754469">
      <w:pPr>
        <w:ind w:firstLine="640"/>
        <w:jc w:val="both"/>
        <w:rPr>
          <w:rFonts w:hint="eastAsia"/>
        </w:rPr>
      </w:pPr>
      <w:r>
        <w:rPr>
          <w:rFonts w:hint="eastAsia"/>
        </w:rPr>
        <w:t>1.多源跟/构网混合风场系统模型</w:t>
      </w:r>
    </w:p>
    <w:p w14:paraId="60CE4230">
      <w:pPr>
        <w:ind w:firstLine="640"/>
        <w:jc w:val="both"/>
        <w:rPr>
          <w:rFonts w:hint="eastAsia"/>
        </w:rPr>
      </w:pPr>
      <w:r>
        <w:rPr>
          <w:rFonts w:hint="eastAsia"/>
        </w:rPr>
        <w:t>形成风电场含储能、SVG的跟网、构网混合控制模型1套。技术指标：至少包括3类(包含全功率风电机组、储能变流器等，以东方自控变流器产品为依据开展建模)构网/支撑设备建模，覆盖不少于5类典型运行场景（包括风速/无功变化、高低穿无功支撑、弱网振荡等），提交建模及测试验证报告。</w:t>
      </w:r>
    </w:p>
    <w:p w14:paraId="63CE27AB">
      <w:pPr>
        <w:ind w:firstLine="640"/>
        <w:jc w:val="both"/>
        <w:rPr>
          <w:rFonts w:hint="eastAsia"/>
        </w:rPr>
      </w:pPr>
      <w:r>
        <w:rPr>
          <w:rFonts w:hint="eastAsia"/>
        </w:rPr>
        <w:t>2.阻抗扫描及振荡风险分析评估软件</w:t>
      </w:r>
    </w:p>
    <w:p w14:paraId="76D4AB1A">
      <w:pPr>
        <w:ind w:firstLine="640"/>
        <w:jc w:val="both"/>
        <w:rPr>
          <w:rFonts w:hint="eastAsia"/>
        </w:rPr>
      </w:pPr>
      <w:r>
        <w:rPr>
          <w:rFonts w:hint="eastAsia"/>
        </w:rPr>
        <w:t>开发风电机组阻抗分析与稳定性评估软件1套。技术指标：风电机组阻抗分析与稳定性评估软件，阻抗建模幅频曲线与阻抗扫描偏差≤5%；评估软件能够根据风电机组运行工况、控制参数等输入信息识别稳定性薄弱频段或谐振风险区域，并给出主要影响参数及其敏感性分析结果，估计谐振频率偏差低频段≤5Hz、高频段≤50Hz；同时提交相关技术研发报告与测试验证报告。</w:t>
      </w:r>
    </w:p>
    <w:p w14:paraId="57B4F86F">
      <w:pPr>
        <w:ind w:firstLine="640"/>
        <w:jc w:val="both"/>
        <w:rPr>
          <w:rFonts w:hint="eastAsia"/>
        </w:rPr>
      </w:pPr>
      <w:r>
        <w:rPr>
          <w:rFonts w:hint="eastAsia"/>
        </w:rPr>
        <w:t>3.风电场构网机组优化配置解决方案</w:t>
      </w:r>
    </w:p>
    <w:p w14:paraId="54AB9B0E">
      <w:pPr>
        <w:ind w:firstLine="640"/>
        <w:jc w:val="both"/>
        <w:rPr>
          <w:rFonts w:hint="eastAsia"/>
        </w:rPr>
      </w:pPr>
      <w:r>
        <w:rPr>
          <w:rFonts w:hint="eastAsia"/>
        </w:rPr>
        <w:t>形成风电场多构网源构网能力评估方法及配置分析方案1套，技术指标：建立涵盖持续构网能力、切换风险、稳定性贡献的多维度指标体系，能够根据风场业主提供的风场参数、机组参数等设备信息与电网需求，自动生成构网变流器的配置方法，对构网型变流器配置前后的等效短路比、稳定裕度等指标进行量化对比，配置后风电场相位裕度提升≥10°。同时需要提交风电场多构网源构网能力评估方法及配置分析方案研发技术报告以及验证报告。</w:t>
      </w:r>
    </w:p>
    <w:p w14:paraId="56685508">
      <w:pPr>
        <w:ind w:firstLine="640"/>
        <w:jc w:val="both"/>
        <w:rPr>
          <w:rFonts w:hint="eastAsia"/>
        </w:rPr>
      </w:pPr>
      <w:r>
        <w:rPr>
          <w:rFonts w:hint="eastAsia"/>
        </w:rPr>
        <w:t>4.风电场跟/构网协同控制算法</w:t>
      </w:r>
    </w:p>
    <w:p w14:paraId="7B92F1CA">
      <w:pPr>
        <w:ind w:firstLine="640"/>
        <w:jc w:val="both"/>
        <w:rPr>
          <w:rFonts w:hint="eastAsia"/>
        </w:rPr>
      </w:pPr>
      <w:r>
        <w:rPr>
          <w:rFonts w:hint="eastAsia"/>
        </w:rPr>
        <w:t>形成风电场场站级多构网源时序协同构网控制算法1套，技术指标：能够根据电网阻抗变化、适应风速变化、储能SOC变化、等场景实时生成功率分配、运行模式切换的协同控制策略，控制算法应用后电网阻抗识别精度≥90%，跟网/构网切换电流波动≤15%，场级功率控制偏差≤2.5%，跟/构网机组配比切换控制的单机切换时间≤5s、60s内完成所有机组切换（以100MW风场为例），系统不出现谐振、振荡等失稳问题，同时提交多构网源时序协同构网控制方案研发技术报告和验证报告。</w:t>
      </w:r>
    </w:p>
    <w:p w14:paraId="4F52C313">
      <w:pPr>
        <w:ind w:firstLine="640"/>
        <w:jc w:val="both"/>
        <w:rPr>
          <w:rFonts w:hint="eastAsia"/>
        </w:rPr>
      </w:pPr>
      <w:r>
        <w:rPr>
          <w:rFonts w:hint="eastAsia"/>
        </w:rPr>
        <w:t>现有行业关键指标状况：单机建模方面已有厂家对标国标《构网型变流器通用技术规范》技术指标并取得了电科院测试认证，因此本项目建模方面指标严格按照上述标准执行，为后续电科院测试认证奠定基础；同时在场群构网控制方面目前未有相关技术公开，本项目从单机建模最终出发立足场群构网协同控制策略，旨在通过构网型变流器配置提升等效短路比（相位裕度提升≥10°），并且能够根据电网阻抗实时识别（识别精度≥90%）结果决策出构网型变流器的切换、功率出力（切换电流波动≤15%，功率偏差≤2.5%），从而避免系统谐振、振荡等失稳事故，从根源上提升系统稳定性。</w:t>
      </w:r>
    </w:p>
    <w:p w14:paraId="351290EF">
      <w:pPr>
        <w:pStyle w:val="3"/>
        <w:ind w:firstLine="640"/>
        <w:jc w:val="both"/>
        <w:rPr>
          <w:rFonts w:hint="eastAsia"/>
        </w:rPr>
      </w:pPr>
      <w:r>
        <w:rPr>
          <w:rFonts w:hint="eastAsia"/>
        </w:rPr>
        <w:t>五、项目执行周期</w:t>
      </w:r>
    </w:p>
    <w:p w14:paraId="244F0348">
      <w:pPr>
        <w:ind w:firstLine="640"/>
        <w:jc w:val="both"/>
        <w:rPr>
          <w:rFonts w:hint="eastAsia"/>
        </w:rPr>
      </w:pPr>
      <w:r>
        <w:rPr>
          <w:rFonts w:hint="eastAsia"/>
        </w:rPr>
        <w:t>本项目执行周期为24个月。</w:t>
      </w:r>
    </w:p>
    <w:p w14:paraId="063DAE90">
      <w:pPr>
        <w:pStyle w:val="3"/>
        <w:ind w:firstLine="640"/>
        <w:jc w:val="both"/>
        <w:rPr>
          <w:rFonts w:hint="eastAsia"/>
        </w:rPr>
      </w:pPr>
      <w:r>
        <w:rPr>
          <w:rFonts w:hint="eastAsia"/>
        </w:rPr>
        <w:t>六、经费概算</w:t>
      </w:r>
    </w:p>
    <w:p w14:paraId="075E6FC8">
      <w:pPr>
        <w:spacing w:after="160"/>
        <w:ind w:firstLine="640"/>
        <w:jc w:val="both"/>
        <w:rPr>
          <w:rFonts w:hint="eastAsia"/>
        </w:rPr>
        <w:sectPr>
          <w:pgSz w:w="11906" w:h="16838"/>
          <w:pgMar w:top="1600" w:right="1440" w:bottom="860" w:left="1800" w:header="0" w:footer="674" w:gutter="0"/>
          <w:cols w:space="720" w:num="1"/>
        </w:sectPr>
      </w:pPr>
      <w:r>
        <w:rPr>
          <w:rFonts w:hint="eastAsia"/>
        </w:rPr>
        <w:t>本项目总预算为101万元。</w:t>
      </w:r>
    </w:p>
    <w:p w14:paraId="4CF2F83D">
      <w:pPr>
        <w:pStyle w:val="2"/>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锂/钠</w:t>
      </w:r>
      <w:r>
        <w:rPr>
          <w:color w:val="000000" w:themeColor="text1"/>
          <w14:textFill>
            <w14:solidFill>
              <w14:schemeClr w14:val="tx1"/>
            </w14:solidFill>
          </w14:textFill>
        </w:rPr>
        <w:t>混合储能系统相变直冷式热管理关键技术研究</w:t>
      </w:r>
      <w:r>
        <w:rPr>
          <w:rFonts w:hint="eastAsia"/>
          <w:color w:val="000000" w:themeColor="text1"/>
          <w14:textFill>
            <w14:solidFill>
              <w14:schemeClr w14:val="tx1"/>
            </w14:solidFill>
          </w14:textFill>
        </w:rPr>
        <w:t>项目指南</w:t>
      </w:r>
    </w:p>
    <w:p w14:paraId="202A18EC">
      <w:pPr>
        <w:ind w:firstLine="640"/>
        <w:rPr>
          <w:rFonts w:hint="eastAsia"/>
        </w:rPr>
      </w:pPr>
    </w:p>
    <w:p w14:paraId="0A0AEAA2">
      <w:pPr>
        <w:pStyle w:val="3"/>
        <w:ind w:firstLine="64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一、项目基本信息</w:t>
      </w:r>
    </w:p>
    <w:p w14:paraId="5FD7F49C">
      <w:pPr>
        <w:ind w:firstLine="640"/>
        <w:jc w:val="both"/>
        <w:rPr>
          <w:rFonts w:hint="eastAsia"/>
        </w:rPr>
      </w:pPr>
      <w:r>
        <w:rPr>
          <w:rFonts w:hint="eastAsia"/>
        </w:rPr>
        <w:t>项目类型:新型产业项目、技术提升项目</w:t>
      </w:r>
    </w:p>
    <w:p w14:paraId="7ACFE181">
      <w:pPr>
        <w:ind w:firstLine="640"/>
        <w:jc w:val="both"/>
        <w:rPr>
          <w:rFonts w:hint="eastAsia"/>
        </w:rPr>
      </w:pPr>
      <w:r>
        <w:rPr>
          <w:rFonts w:hint="eastAsia"/>
        </w:rPr>
        <w:t>技术成熟度：项目完成后，预计技术成熟度达到5级</w:t>
      </w:r>
    </w:p>
    <w:p w14:paraId="140B1417">
      <w:pPr>
        <w:ind w:firstLine="640"/>
        <w:jc w:val="both"/>
        <w:rPr>
          <w:rFonts w:hint="eastAsia"/>
        </w:rPr>
      </w:pPr>
      <w:r>
        <w:rPr>
          <w:rFonts w:hint="eastAsia"/>
        </w:rPr>
        <w:t>需求单位及联系人：</w:t>
      </w:r>
    </w:p>
    <w:p w14:paraId="080E8482">
      <w:pPr>
        <w:ind w:firstLine="640"/>
        <w:jc w:val="both"/>
        <w:rPr>
          <w:rFonts w:hint="eastAsia"/>
        </w:rPr>
      </w:pPr>
      <w:r>
        <w:rPr>
          <w:rFonts w:hint="eastAsia"/>
        </w:rPr>
        <w:t>东方自控 朱睿 18349277096</w:t>
      </w:r>
    </w:p>
    <w:p w14:paraId="2FFE3403">
      <w:pPr>
        <w:pStyle w:val="3"/>
        <w:ind w:firstLine="64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二、研究背景</w:t>
      </w:r>
    </w:p>
    <w:p w14:paraId="461E2730">
      <w:pPr>
        <w:ind w:firstLine="640"/>
        <w:jc w:val="both"/>
        <w:rPr>
          <w:rFonts w:hint="eastAsia"/>
        </w:rPr>
      </w:pPr>
      <w:r>
        <w:rPr>
          <w:rFonts w:hint="eastAsia"/>
        </w:rPr>
        <w:t>在“双碳”目标推动下，新型储能装机量迎来爆发式增长。锂/钠混合储能系统凭借钠离子电池的低成本、高安全性与锂离子电池的高能量密度实现优势互补，成为长时与短时储能融合发展的关键方向。预计到2030年，我国新型储能累计装机将超100GW，锂/钠混合储能细分市场规模有望突破数百亿元。然而，两类电池在热特性、产热速率及温区敏感性上差异显著，传统基于风冷/液冷技术的均一化热管理架构可能导致温控需求错配、冷量分配不均，进而引发系统能效下降、运行不一致以及潜在的电池寿命缩短或热失控风险。如果采用两套不同的热管理系统，会导致整个产品的成本会增加（单台直流舱成本增加约2万余元）同时能量密度下降导致系统占地及施工量增加，不具备竞争力。本项目锂/钠混合储能系统采用锂电池、钠离子电池共用一套热管理系统的集成化设计方案，相较于锂、钠电池独立配置两套温控系统，具备显著的技术、经济及运维优势。一套热管理通过统一冷源主机、循环管路、电控及感知单元，大幅精简了热管理BOP设备数量，有效降低设备成本同时减少设备占用空间，提升储能舱容量利用率。在运行层面，单套系统可根据锂电池、钠离子电池不同的发热特性与温度需求，通过支路流量动态分配策略实现分区精准温控，兼顾两类电芯的最佳工作温区要求，全面提升混合储能系统的集成度、经济性与运行稳定性。</w:t>
      </w:r>
    </w:p>
    <w:p w14:paraId="0DD23CF3">
      <w:pPr>
        <w:ind w:firstLine="640"/>
        <w:jc w:val="both"/>
        <w:rPr>
          <w:rFonts w:hint="eastAsia"/>
        </w:rPr>
      </w:pPr>
      <w:r>
        <w:rPr>
          <w:rFonts w:hint="eastAsia"/>
        </w:rPr>
        <w:t>锂/钠混合储能系统采用功率型钠离子电池+能量型锂离子电池互补架构，依托两种电池的性能优势精准分工：锂电主打长时能量存储、调峰、削峰填谷电量套利；钠电主打毫秒级大功率调频调节、瞬时峰值缓冲、低温稳定输出，可完美适配电网、新能源、火电调频、算力中心等多场景功率调节+长时储能+宽温域运行的复合需求。</w:t>
      </w:r>
    </w:p>
    <w:p w14:paraId="5578E7F4">
      <w:pPr>
        <w:pStyle w:val="3"/>
        <w:ind w:firstLine="64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三、研究内容</w:t>
      </w:r>
    </w:p>
    <w:p w14:paraId="1A6765E4">
      <w:pPr>
        <w:ind w:firstLine="640"/>
        <w:jc w:val="both"/>
        <w:rPr>
          <w:rFonts w:hint="eastAsia"/>
        </w:rPr>
      </w:pPr>
      <w:r>
        <w:rPr>
          <w:rFonts w:hint="eastAsia"/>
        </w:rPr>
        <w:t>项目主要围绕“锂/钠电池产热及热失控机理建模”、“多源差异化热边界匹配”与“相变直冷关键技术”展开，拟采取从“理论建模-仿真分析-可视化实验验证-架构集成与控制优化”的闭环路径，从解析微观产热/换热机理出发，支撑宏观系统架构设计，最终形成一套可应用于锂/钠簇间不同比列混合储能系统的相变直冷热管理系统设计方法，可以根据不同的应用场景及实际功率或容量需求进行不同比列的混合（主要是1:1、1:2、1:5三种方式混合），项目完成后在东方自控自主生产的样机上进行示范应用，实现相关的技术指标，东方自控负责储能样机系统的集成设计及生产。</w:t>
      </w:r>
    </w:p>
    <w:p w14:paraId="0BBCA509">
      <w:pPr>
        <w:ind w:firstLine="640"/>
        <w:jc w:val="both"/>
        <w:rPr>
          <w:rFonts w:hint="eastAsia"/>
        </w:rPr>
      </w:pPr>
      <w:r>
        <w:rPr>
          <w:rFonts w:hint="eastAsia"/>
        </w:rPr>
        <w:t>具体研究内容如下：</w:t>
      </w:r>
    </w:p>
    <w:p w14:paraId="5F140F80">
      <w:pPr>
        <w:ind w:firstLine="640"/>
        <w:jc w:val="both"/>
        <w:rPr>
          <w:rFonts w:hint="eastAsia"/>
        </w:rPr>
      </w:pPr>
      <w:r>
        <w:rPr>
          <w:rFonts w:hint="eastAsia"/>
        </w:rPr>
        <w:t>1.锂/钠电池产热特性分析与机理建模：开展宽温域、全工况下的锂/钠电池产热特性测试分析与机理建模，确定两类电池的差异化目标温区、允许温差及动态冷量需求。</w:t>
      </w:r>
    </w:p>
    <w:p w14:paraId="1FA39B69">
      <w:pPr>
        <w:ind w:firstLine="640"/>
        <w:jc w:val="both"/>
        <w:rPr>
          <w:rFonts w:hint="eastAsia"/>
        </w:rPr>
      </w:pPr>
      <w:r>
        <w:rPr>
          <w:rFonts w:hint="eastAsia"/>
        </w:rPr>
        <w:t>2.锂/钠电池热失控建模与机理研究：开展锂/钠单体电池热失控机理模型构建方法研究，探明过充、过热条件下的热失控机理与演变规律，为整体系统设计提供边界条件。</w:t>
      </w:r>
    </w:p>
    <w:p w14:paraId="628DD2ED">
      <w:pPr>
        <w:ind w:firstLine="640"/>
        <w:jc w:val="both"/>
        <w:rPr>
          <w:rFonts w:hint="eastAsia"/>
        </w:rPr>
      </w:pPr>
      <w:r>
        <w:rPr>
          <w:rFonts w:hint="eastAsia"/>
        </w:rPr>
        <w:t>3.锂/钠混合储能系统热管理架构研究：针对包内锂/钠混合（1:1）、簇间两种锂/钠混合方式（1:1），设计多支路并联直冷热管理系统架构，分析和比较不同架构的系统性能与效果。</w:t>
      </w:r>
    </w:p>
    <w:p w14:paraId="75E1A862">
      <w:pPr>
        <w:ind w:firstLine="640"/>
        <w:jc w:val="both"/>
        <w:rPr>
          <w:rFonts w:hint="eastAsia"/>
        </w:rPr>
      </w:pPr>
      <w:r>
        <w:rPr>
          <w:rFonts w:hint="eastAsia"/>
        </w:rPr>
        <w:t>4.直冷可视化实验与机理研究：设计并搭建直冷板/分液器可视化实验平台，观测分液及直冷板内部的传热传质过程，优化流道与分液结构，研究入口干度、质量流量、热负荷差异、重力高度差、分液结构及支路阻力对多支路冷媒分配的影响，掌握流动沸腾换热机理。</w:t>
      </w:r>
    </w:p>
    <w:p w14:paraId="6D05B315">
      <w:pPr>
        <w:ind w:firstLine="640"/>
        <w:jc w:val="both"/>
        <w:rPr>
          <w:rFonts w:hint="eastAsia"/>
        </w:rPr>
      </w:pPr>
      <w:r>
        <w:rPr>
          <w:rFonts w:hint="eastAsia"/>
        </w:rPr>
        <w:t>5.结构优化设计与控制策略研究：研究冷媒在复杂流道与多支路系统中的流动与沸腾换热特性，揭示气液两相分布与流量分配规律，面向直冷热管理系统开展部件结构优化与控制研究。</w:t>
      </w:r>
    </w:p>
    <w:p w14:paraId="0EB413A9">
      <w:pPr>
        <w:pStyle w:val="3"/>
        <w:ind w:firstLine="640"/>
        <w:rPr>
          <w:rFonts w:hint="eastAsia"/>
        </w:rPr>
      </w:pPr>
      <w:r>
        <w:rPr>
          <w:rFonts w:hint="eastAsia"/>
        </w:rPr>
        <w:t>四、交付成果及指标</w:t>
      </w:r>
    </w:p>
    <w:tbl>
      <w:tblPr>
        <w:tblStyle w:val="7"/>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4"/>
        <w:gridCol w:w="4962"/>
      </w:tblGrid>
      <w:tr w14:paraId="6CC8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2D62E495">
            <w:pPr>
              <w:autoSpaceDE w:val="0"/>
              <w:autoSpaceDN w:val="0"/>
              <w:spacing w:line="400" w:lineRule="exact"/>
              <w:ind w:firstLine="0" w:firstLineChars="0"/>
              <w:jc w:val="center"/>
              <w:rPr>
                <w:rFonts w:hint="eastAsia"/>
                <w:sz w:val="28"/>
                <w:szCs w:val="28"/>
              </w:rPr>
            </w:pPr>
            <w:r>
              <w:rPr>
                <w:sz w:val="28"/>
                <w:szCs w:val="28"/>
              </w:rPr>
              <w:t>交付成果</w:t>
            </w:r>
          </w:p>
        </w:tc>
        <w:tc>
          <w:tcPr>
            <w:tcW w:w="4962" w:type="dxa"/>
            <w:tcBorders>
              <w:bottom w:val="single" w:color="000000" w:sz="4" w:space="0"/>
            </w:tcBorders>
          </w:tcPr>
          <w:p w14:paraId="45E7E5B8">
            <w:pPr>
              <w:autoSpaceDE w:val="0"/>
              <w:autoSpaceDN w:val="0"/>
              <w:spacing w:line="400" w:lineRule="exact"/>
              <w:ind w:firstLine="0" w:firstLineChars="0"/>
              <w:jc w:val="center"/>
              <w:rPr>
                <w:rFonts w:hint="eastAsia"/>
                <w:sz w:val="28"/>
                <w:szCs w:val="28"/>
              </w:rPr>
            </w:pPr>
            <w:r>
              <w:rPr>
                <w:sz w:val="28"/>
                <w:szCs w:val="28"/>
              </w:rPr>
              <w:t>技术指标</w:t>
            </w:r>
          </w:p>
        </w:tc>
      </w:tr>
      <w:tr w14:paraId="53A4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5944E900">
            <w:pPr>
              <w:autoSpaceDE w:val="0"/>
              <w:autoSpaceDN w:val="0"/>
              <w:spacing w:line="400" w:lineRule="exact"/>
              <w:ind w:firstLine="0" w:firstLineChars="0"/>
              <w:jc w:val="both"/>
              <w:rPr>
                <w:rFonts w:hint="eastAsia"/>
                <w:sz w:val="28"/>
                <w:szCs w:val="28"/>
              </w:rPr>
            </w:pPr>
            <w:r>
              <w:rPr>
                <w:sz w:val="28"/>
                <w:szCs w:val="28"/>
              </w:rPr>
              <w:t>1.针对所选指定锂电池、钠电池，构建产热机理模型（算例）各1件，提交锂/钠电池产热特性分析报告1份</w:t>
            </w:r>
          </w:p>
        </w:tc>
        <w:tc>
          <w:tcPr>
            <w:tcW w:w="4962" w:type="dxa"/>
            <w:tcBorders>
              <w:bottom w:val="single" w:color="000000" w:sz="4" w:space="0"/>
            </w:tcBorders>
          </w:tcPr>
          <w:p w14:paraId="43AB8821">
            <w:pPr>
              <w:autoSpaceDE w:val="0"/>
              <w:autoSpaceDN w:val="0"/>
              <w:spacing w:line="400" w:lineRule="exact"/>
              <w:ind w:firstLine="0" w:firstLineChars="0"/>
              <w:jc w:val="both"/>
              <w:rPr>
                <w:rFonts w:hint="eastAsia"/>
                <w:sz w:val="28"/>
                <w:szCs w:val="28"/>
              </w:rPr>
            </w:pPr>
            <w:r>
              <w:rPr>
                <w:sz w:val="28"/>
                <w:szCs w:val="28"/>
              </w:rPr>
              <w:t>与实测数据相比，全新构建的产热机理模型，可实现典型工况充放电全过程中，温度误差&lt;5%；</w:t>
            </w:r>
          </w:p>
        </w:tc>
      </w:tr>
      <w:tr w14:paraId="7661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5BCA86F1">
            <w:pPr>
              <w:autoSpaceDE w:val="0"/>
              <w:autoSpaceDN w:val="0"/>
              <w:spacing w:line="400" w:lineRule="exact"/>
              <w:ind w:firstLine="0" w:firstLineChars="0"/>
              <w:jc w:val="both"/>
              <w:rPr>
                <w:rFonts w:hint="eastAsia"/>
                <w:sz w:val="28"/>
                <w:szCs w:val="28"/>
              </w:rPr>
            </w:pPr>
            <w:r>
              <w:rPr>
                <w:sz w:val="28"/>
                <w:szCs w:val="28"/>
              </w:rPr>
              <w:t>2.构建指定锂/钠单体电池热失控仿真模型（算例）各1件，提交建模方法操作指南1份，阐明建模操作过程</w:t>
            </w:r>
          </w:p>
        </w:tc>
        <w:tc>
          <w:tcPr>
            <w:tcW w:w="4962" w:type="dxa"/>
            <w:tcBorders>
              <w:bottom w:val="single" w:color="000000" w:sz="4" w:space="0"/>
            </w:tcBorders>
          </w:tcPr>
          <w:p w14:paraId="03A7AEFC">
            <w:pPr>
              <w:autoSpaceDE w:val="0"/>
              <w:autoSpaceDN w:val="0"/>
              <w:spacing w:line="400" w:lineRule="exact"/>
              <w:ind w:firstLine="0" w:firstLineChars="0"/>
              <w:jc w:val="both"/>
              <w:rPr>
                <w:rFonts w:hint="eastAsia"/>
                <w:sz w:val="28"/>
                <w:szCs w:val="28"/>
              </w:rPr>
            </w:pPr>
            <w:r>
              <w:rPr>
                <w:sz w:val="28"/>
                <w:szCs w:val="28"/>
              </w:rPr>
              <w:t>在过充与过热条件下，指定锂/钠单体电池热失控仿真模型的各个特征温度，包括电池自产热温度（T1）、热失控起始温度（T2）、电池表面最高温度（T3）与实测数据相比误差&lt;5%。</w:t>
            </w:r>
          </w:p>
        </w:tc>
      </w:tr>
      <w:tr w14:paraId="64E7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093DB083">
            <w:pPr>
              <w:autoSpaceDE w:val="0"/>
              <w:autoSpaceDN w:val="0"/>
              <w:spacing w:line="400" w:lineRule="exact"/>
              <w:ind w:firstLine="0" w:firstLineChars="0"/>
              <w:jc w:val="both"/>
              <w:rPr>
                <w:rFonts w:hint="eastAsia"/>
                <w:sz w:val="28"/>
                <w:szCs w:val="28"/>
              </w:rPr>
            </w:pPr>
            <w:r>
              <w:rPr>
                <w:sz w:val="28"/>
                <w:szCs w:val="28"/>
              </w:rPr>
              <w:t>3.创新设计并搭建可测试大尺度直冷板的冷媒相变直冷可视化实验</w:t>
            </w:r>
            <w:r>
              <w:rPr>
                <w:rFonts w:hint="eastAsia"/>
                <w:sz w:val="28"/>
                <w:szCs w:val="28"/>
              </w:rPr>
              <w:t>平台</w:t>
            </w:r>
            <w:r>
              <w:rPr>
                <w:sz w:val="28"/>
                <w:szCs w:val="28"/>
              </w:rPr>
              <w:t>1套</w:t>
            </w:r>
          </w:p>
        </w:tc>
        <w:tc>
          <w:tcPr>
            <w:tcW w:w="4962" w:type="dxa"/>
            <w:tcBorders>
              <w:bottom w:val="single" w:color="000000" w:sz="4" w:space="0"/>
            </w:tcBorders>
          </w:tcPr>
          <w:p w14:paraId="1EA94092">
            <w:pPr>
              <w:autoSpaceDE w:val="0"/>
              <w:autoSpaceDN w:val="0"/>
              <w:spacing w:line="400" w:lineRule="exact"/>
              <w:ind w:firstLine="0" w:firstLineChars="0"/>
              <w:jc w:val="both"/>
              <w:rPr>
                <w:rFonts w:hint="eastAsia"/>
                <w:sz w:val="28"/>
                <w:szCs w:val="28"/>
              </w:rPr>
            </w:pPr>
            <w:r>
              <w:rPr>
                <w:sz w:val="28"/>
                <w:szCs w:val="28"/>
              </w:rPr>
              <w:t>可开展不少于8支路并联分液试验；支持流量、压力、温度和热负荷同步测量；</w:t>
            </w:r>
          </w:p>
        </w:tc>
      </w:tr>
      <w:tr w14:paraId="4770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209110C5">
            <w:pPr>
              <w:autoSpaceDE w:val="0"/>
              <w:autoSpaceDN w:val="0"/>
              <w:spacing w:line="400" w:lineRule="exact"/>
              <w:ind w:firstLine="0" w:firstLineChars="0"/>
              <w:jc w:val="both"/>
              <w:rPr>
                <w:rFonts w:hint="eastAsia"/>
                <w:sz w:val="28"/>
                <w:szCs w:val="28"/>
              </w:rPr>
            </w:pPr>
            <w:r>
              <w:rPr>
                <w:sz w:val="28"/>
                <w:szCs w:val="28"/>
              </w:rPr>
              <w:t>4.提交面向直冷系统的两相流仿真分析模型1套</w:t>
            </w:r>
          </w:p>
        </w:tc>
        <w:tc>
          <w:tcPr>
            <w:tcW w:w="4962" w:type="dxa"/>
            <w:tcBorders>
              <w:bottom w:val="single" w:color="000000" w:sz="4" w:space="0"/>
            </w:tcBorders>
          </w:tcPr>
          <w:p w14:paraId="783D0E6F">
            <w:pPr>
              <w:autoSpaceDE w:val="0"/>
              <w:autoSpaceDN w:val="0"/>
              <w:spacing w:line="400" w:lineRule="exact"/>
              <w:ind w:firstLine="0" w:firstLineChars="0"/>
              <w:jc w:val="both"/>
              <w:rPr>
                <w:rFonts w:hint="eastAsia"/>
                <w:sz w:val="28"/>
                <w:szCs w:val="28"/>
              </w:rPr>
            </w:pPr>
            <w:r>
              <w:rPr>
                <w:sz w:val="28"/>
                <w:szCs w:val="28"/>
              </w:rPr>
              <w:t>支路液相质量流量仿真预测误差≤10%、单支路压降预测仿真误差≤15%；</w:t>
            </w:r>
          </w:p>
        </w:tc>
      </w:tr>
      <w:tr w14:paraId="22F0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43FC4F28">
            <w:pPr>
              <w:autoSpaceDE w:val="0"/>
              <w:autoSpaceDN w:val="0"/>
              <w:spacing w:line="400" w:lineRule="exact"/>
              <w:ind w:firstLine="0" w:firstLineChars="0"/>
              <w:jc w:val="both"/>
              <w:rPr>
                <w:rFonts w:hint="eastAsia"/>
                <w:sz w:val="28"/>
                <w:szCs w:val="28"/>
              </w:rPr>
            </w:pPr>
            <w:r>
              <w:rPr>
                <w:sz w:val="28"/>
                <w:szCs w:val="28"/>
              </w:rPr>
              <w:t>5.提交高效多支路直冷板</w:t>
            </w:r>
            <w:r>
              <w:rPr>
                <w:rFonts w:hint="eastAsia"/>
                <w:sz w:val="28"/>
                <w:szCs w:val="28"/>
              </w:rPr>
              <w:t>、</w:t>
            </w:r>
            <w:r>
              <w:rPr>
                <w:sz w:val="28"/>
                <w:szCs w:val="28"/>
              </w:rPr>
              <w:t>分液器三维数模设计方案各1套，直冷板与分液器样件各1套</w:t>
            </w:r>
          </w:p>
        </w:tc>
        <w:tc>
          <w:tcPr>
            <w:tcW w:w="4962" w:type="dxa"/>
            <w:tcBorders>
              <w:bottom w:val="single" w:color="000000" w:sz="4" w:space="0"/>
            </w:tcBorders>
          </w:tcPr>
          <w:p w14:paraId="41758407">
            <w:pPr>
              <w:autoSpaceDE w:val="0"/>
              <w:autoSpaceDN w:val="0"/>
              <w:spacing w:line="400" w:lineRule="exact"/>
              <w:ind w:firstLine="0" w:firstLineChars="0"/>
              <w:jc w:val="both"/>
              <w:rPr>
                <w:rFonts w:hint="eastAsia"/>
                <w:sz w:val="28"/>
                <w:szCs w:val="28"/>
              </w:rPr>
            </w:pPr>
            <w:r>
              <w:rPr>
                <w:sz w:val="28"/>
                <w:szCs w:val="28"/>
              </w:rPr>
              <w:t>直冷板多支路并联系统间相变冷媒的液相流量分配不均匀度&lt;5%（分液器及配套管路）</w:t>
            </w:r>
          </w:p>
        </w:tc>
      </w:tr>
      <w:tr w14:paraId="0FF4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02717897">
            <w:pPr>
              <w:autoSpaceDE w:val="0"/>
              <w:autoSpaceDN w:val="0"/>
              <w:spacing w:line="400" w:lineRule="exact"/>
              <w:ind w:firstLine="0" w:firstLineChars="0"/>
              <w:jc w:val="both"/>
              <w:rPr>
                <w:rFonts w:hint="eastAsia"/>
                <w:sz w:val="28"/>
                <w:szCs w:val="28"/>
              </w:rPr>
            </w:pPr>
            <w:r>
              <w:rPr>
                <w:sz w:val="28"/>
                <w:szCs w:val="28"/>
              </w:rPr>
              <w:t>6.提交锂/钠包内混合以及簇间混合两种混合方式的分析报告</w:t>
            </w:r>
          </w:p>
        </w:tc>
        <w:tc>
          <w:tcPr>
            <w:tcW w:w="4962" w:type="dxa"/>
            <w:tcBorders>
              <w:bottom w:val="single" w:color="000000" w:sz="4" w:space="0"/>
            </w:tcBorders>
          </w:tcPr>
          <w:p w14:paraId="562BDE18">
            <w:pPr>
              <w:autoSpaceDE w:val="0"/>
              <w:autoSpaceDN w:val="0"/>
              <w:spacing w:line="400" w:lineRule="exact"/>
              <w:ind w:firstLine="0" w:firstLineChars="0"/>
              <w:jc w:val="both"/>
              <w:rPr>
                <w:rFonts w:hint="eastAsia"/>
                <w:sz w:val="28"/>
                <w:szCs w:val="28"/>
              </w:rPr>
            </w:pPr>
            <w:r>
              <w:rPr>
                <w:sz w:val="28"/>
                <w:szCs w:val="28"/>
              </w:rPr>
              <w:t>在不同工况下分析两种混合方式的能耗，均温性，温度控制等各维度的仿真结果</w:t>
            </w:r>
          </w:p>
        </w:tc>
      </w:tr>
      <w:tr w14:paraId="6A5F7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2C89332F">
            <w:pPr>
              <w:autoSpaceDE w:val="0"/>
              <w:autoSpaceDN w:val="0"/>
              <w:spacing w:line="400" w:lineRule="exact"/>
              <w:ind w:firstLine="0" w:firstLineChars="0"/>
              <w:jc w:val="both"/>
              <w:rPr>
                <w:rFonts w:hint="eastAsia"/>
                <w:sz w:val="28"/>
                <w:szCs w:val="28"/>
              </w:rPr>
            </w:pPr>
            <w:r>
              <w:rPr>
                <w:sz w:val="28"/>
                <w:szCs w:val="28"/>
              </w:rPr>
              <w:t>7.提交可应用于锂/钠簇间不同比列混合储能系统的相变直冷热管理系统设计方法1套</w:t>
            </w:r>
          </w:p>
        </w:tc>
        <w:tc>
          <w:tcPr>
            <w:tcW w:w="4962" w:type="dxa"/>
            <w:tcBorders>
              <w:bottom w:val="single" w:color="000000" w:sz="4" w:space="0"/>
            </w:tcBorders>
          </w:tcPr>
          <w:p w14:paraId="267D5729">
            <w:pPr>
              <w:autoSpaceDE w:val="0"/>
              <w:autoSpaceDN w:val="0"/>
              <w:spacing w:line="400" w:lineRule="exact"/>
              <w:ind w:firstLine="0" w:firstLineChars="0"/>
              <w:jc w:val="both"/>
              <w:rPr>
                <w:rFonts w:hint="eastAsia"/>
                <w:sz w:val="28"/>
                <w:szCs w:val="28"/>
              </w:rPr>
            </w:pPr>
            <w:r>
              <w:rPr>
                <w:sz w:val="28"/>
                <w:szCs w:val="28"/>
              </w:rPr>
              <w:t>研究锂/钠簇间混合在不同比列（1:5、1:2、1:1、2:1、5:1）5种混合比列下，相变直冷热管理系统的设计方法。使得同簇内电池单体间最大温差小于3.5℃系统综合热管理能效（COP）提升15%以上，有效规避热失控引发的系统损毁。</w:t>
            </w:r>
          </w:p>
        </w:tc>
      </w:tr>
      <w:tr w14:paraId="30E4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4" w:type="dxa"/>
            <w:tcBorders>
              <w:bottom w:val="single" w:color="000000" w:sz="4" w:space="0"/>
            </w:tcBorders>
          </w:tcPr>
          <w:p w14:paraId="6B3A5F00">
            <w:pPr>
              <w:autoSpaceDE w:val="0"/>
              <w:autoSpaceDN w:val="0"/>
              <w:spacing w:line="400" w:lineRule="exact"/>
              <w:ind w:firstLine="0" w:firstLineChars="0"/>
              <w:jc w:val="both"/>
              <w:rPr>
                <w:rFonts w:hint="eastAsia"/>
                <w:sz w:val="28"/>
                <w:szCs w:val="28"/>
              </w:rPr>
            </w:pPr>
            <w:r>
              <w:rPr>
                <w:sz w:val="28"/>
                <w:szCs w:val="28"/>
              </w:rPr>
              <w:t>8.受理/授权发明专利6项，录用/发表高水平学术论文3篇，参与或主编行业或者国家标准草案1项。</w:t>
            </w:r>
          </w:p>
        </w:tc>
        <w:tc>
          <w:tcPr>
            <w:tcW w:w="4962" w:type="dxa"/>
            <w:tcBorders>
              <w:bottom w:val="single" w:color="000000" w:sz="4" w:space="0"/>
            </w:tcBorders>
          </w:tcPr>
          <w:p w14:paraId="395B8587">
            <w:pPr>
              <w:autoSpaceDE w:val="0"/>
              <w:autoSpaceDN w:val="0"/>
              <w:spacing w:line="400" w:lineRule="exact"/>
              <w:ind w:firstLine="0" w:firstLineChars="0"/>
              <w:jc w:val="both"/>
              <w:rPr>
                <w:rFonts w:hint="eastAsia"/>
                <w:sz w:val="28"/>
                <w:szCs w:val="28"/>
              </w:rPr>
            </w:pPr>
          </w:p>
        </w:tc>
      </w:tr>
    </w:tbl>
    <w:p w14:paraId="4A1DF5AF">
      <w:pPr>
        <w:pStyle w:val="3"/>
        <w:ind w:firstLine="640"/>
        <w:rPr>
          <w:rFonts w:hint="eastAsia"/>
        </w:rPr>
      </w:pPr>
      <w:r>
        <w:rPr>
          <w:rFonts w:hint="eastAsia"/>
        </w:rPr>
        <w:t>五、项目执行周期</w:t>
      </w:r>
    </w:p>
    <w:p w14:paraId="7EAF31EA">
      <w:pPr>
        <w:ind w:firstLine="640"/>
      </w:pPr>
      <w:r>
        <w:rPr>
          <w:rFonts w:hint="eastAsia"/>
        </w:rPr>
        <w:t>本项目执行周期为22个月。</w:t>
      </w:r>
    </w:p>
    <w:p w14:paraId="0433A264">
      <w:pPr>
        <w:pStyle w:val="3"/>
        <w:ind w:firstLine="640"/>
        <w:rPr>
          <w:rFonts w:hint="eastAsia"/>
        </w:rPr>
      </w:pPr>
      <w:r>
        <w:rPr>
          <w:rFonts w:hint="eastAsia"/>
        </w:rPr>
        <w:t>六、经费概算</w:t>
      </w:r>
    </w:p>
    <w:p w14:paraId="4BE99C16">
      <w:pPr>
        <w:ind w:firstLine="640"/>
        <w:rPr>
          <w:rFonts w:hint="eastAsia"/>
        </w:rPr>
      </w:pPr>
      <w:r>
        <w:rPr>
          <w:rFonts w:hint="eastAsia"/>
        </w:rPr>
        <w:t>本项目总经费为274万元。</w:t>
      </w:r>
    </w:p>
    <w:p w14:paraId="5C15D5F3">
      <w:pPr>
        <w:pStyle w:val="2"/>
        <w:rPr>
          <w:rFonts w:hint="eastAsia"/>
        </w:rPr>
        <w:sectPr>
          <w:footerReference r:id="rId17" w:type="default"/>
          <w:footerReference r:id="rId18" w:type="even"/>
          <w:pgSz w:w="11906" w:h="16838"/>
          <w:pgMar w:top="2098" w:right="1474" w:bottom="1984" w:left="1587" w:header="851" w:footer="1417" w:gutter="0"/>
          <w:cols w:space="720" w:num="1"/>
          <w:docGrid w:type="lines" w:linePitch="312" w:charSpace="0"/>
        </w:sectPr>
      </w:pPr>
    </w:p>
    <w:p w14:paraId="4CBDC2F0">
      <w:pPr>
        <w:pStyle w:val="2"/>
        <w:rPr>
          <w:rFonts w:hint="eastAsia"/>
        </w:rPr>
      </w:pPr>
      <w:r>
        <w:rPr>
          <w:rFonts w:hint="eastAsia"/>
        </w:rPr>
        <w:t>弱电网下全功率机组故障穿越控制策略及硬件极限能力评估方法研究项目指南</w:t>
      </w:r>
    </w:p>
    <w:p w14:paraId="26EC4E1A">
      <w:pPr>
        <w:ind w:firstLine="640"/>
        <w:rPr>
          <w:rFonts w:hint="eastAsia"/>
        </w:rPr>
      </w:pPr>
    </w:p>
    <w:p w14:paraId="527CF7E9">
      <w:pPr>
        <w:keepNext/>
        <w:keepLines/>
        <w:ind w:firstLine="640"/>
        <w:outlineLvl w:val="1"/>
        <w:rPr>
          <w:rFonts w:hint="eastAsia" w:ascii="黑体" w:hAnsi="黑体" w:eastAsia="黑体" w:cs="Times New Roman"/>
          <w:sz w:val="24"/>
          <w:szCs w:val="24"/>
        </w:rPr>
      </w:pPr>
      <w:r>
        <w:rPr>
          <w:rFonts w:hint="eastAsia" w:ascii="黑体" w:hAnsi="黑体" w:eastAsia="黑体"/>
        </w:rPr>
        <w:t>一、</w:t>
      </w:r>
      <w:r>
        <w:rPr>
          <w:rFonts w:hint="eastAsia" w:ascii="黑体" w:hAnsi="黑体" w:eastAsia="黑体" w:cs="Times New Roman"/>
        </w:rPr>
        <w:t>项目基本信息</w:t>
      </w:r>
    </w:p>
    <w:p w14:paraId="1F3F95E4">
      <w:pPr>
        <w:ind w:firstLine="640"/>
        <w:rPr>
          <w:rFonts w:hint="eastAsia"/>
        </w:rPr>
      </w:pPr>
      <w:r>
        <w:rPr>
          <w:rFonts w:hint="eastAsia"/>
        </w:rPr>
        <w:t>项目类型：新技术提升项目（技术指标提升）</w:t>
      </w:r>
    </w:p>
    <w:p w14:paraId="6566030C">
      <w:pPr>
        <w:ind w:firstLine="640"/>
        <w:rPr>
          <w:rFonts w:hint="eastAsia"/>
        </w:rPr>
      </w:pPr>
      <w:r>
        <w:rPr>
          <w:rFonts w:hint="eastAsia"/>
        </w:rPr>
        <w:t>技术成熟度：项目完成后，预计技术成熟度达到6级</w:t>
      </w:r>
    </w:p>
    <w:p w14:paraId="158FDE8B">
      <w:pPr>
        <w:ind w:firstLine="640"/>
        <w:rPr>
          <w:rFonts w:hint="eastAsia"/>
        </w:rPr>
      </w:pPr>
      <w:r>
        <w:rPr>
          <w:rFonts w:hint="eastAsia"/>
        </w:rPr>
        <w:t>需求单位及联系人：</w:t>
      </w:r>
    </w:p>
    <w:p w14:paraId="4B5945A6">
      <w:pPr>
        <w:ind w:firstLine="640"/>
        <w:rPr>
          <w:rFonts w:hint="eastAsia"/>
        </w:rPr>
      </w:pPr>
      <w:r>
        <w:rPr>
          <w:rFonts w:hint="eastAsia"/>
        </w:rPr>
        <w:t>东方自控 周定祥 18728813542</w:t>
      </w:r>
    </w:p>
    <w:p w14:paraId="3AD1D243">
      <w:pPr>
        <w:ind w:firstLine="640"/>
        <w:rPr>
          <w:rFonts w:hint="eastAsia"/>
        </w:rPr>
      </w:pPr>
      <w:r>
        <w:rPr>
          <w:rFonts w:hint="eastAsia"/>
        </w:rPr>
        <w:t>东方风电 吴小田 18628156679</w:t>
      </w:r>
    </w:p>
    <w:p w14:paraId="1E7C2FD4">
      <w:pPr>
        <w:keepNext/>
        <w:keepLines/>
        <w:ind w:firstLine="640"/>
        <w:jc w:val="both"/>
        <w:outlineLvl w:val="1"/>
        <w:rPr>
          <w:rFonts w:hint="eastAsia" w:ascii="黑体" w:hAnsi="黑体" w:eastAsia="黑体" w:cs="Times New Roman"/>
          <w:sz w:val="24"/>
          <w:szCs w:val="24"/>
        </w:rPr>
      </w:pPr>
      <w:r>
        <w:rPr>
          <w:rFonts w:hint="eastAsia" w:ascii="黑体" w:hAnsi="黑体" w:eastAsia="黑体"/>
        </w:rPr>
        <w:t>二、</w:t>
      </w:r>
      <w:r>
        <w:rPr>
          <w:rFonts w:hint="eastAsia" w:ascii="黑体" w:hAnsi="黑体" w:eastAsia="黑体" w:cs="Times New Roman"/>
        </w:rPr>
        <w:t>研究背景</w:t>
      </w:r>
    </w:p>
    <w:p w14:paraId="1D43A98A">
      <w:pPr>
        <w:ind w:firstLine="640"/>
        <w:jc w:val="both"/>
        <w:rPr>
          <w:rFonts w:hint="eastAsia"/>
        </w:rPr>
      </w:pPr>
      <w:r>
        <w:rPr>
          <w:rFonts w:hint="eastAsia"/>
        </w:rPr>
        <w:t>随着新能源在电网中渗透率的不断提高，电网强度不断削弱，弱电网下电网阻抗较高，并网点电压易受功率扰动影响，对全功率机组故障穿越控制的快速性和稳定性提出了更高要求。为防止高低电压穿越的频繁误启动，现有控制常采用电压幅值越限计时的方式给出高低穿控制的进入和切除信号，但该方法容易导致机组在进入和退出低穿时有功、无功电流未及时削减，造成严重暂态过流和过压，威胁变流器安全稳定运行。因此，高低穿时机快速检测、暂态过流和过压抑制是亟需解决的难题。</w:t>
      </w:r>
    </w:p>
    <w:p w14:paraId="47CBDE96">
      <w:pPr>
        <w:ind w:firstLine="640"/>
        <w:jc w:val="both"/>
        <w:rPr>
          <w:rFonts w:hint="eastAsia"/>
        </w:rPr>
      </w:pPr>
      <w:r>
        <w:rPr>
          <w:rFonts w:hint="eastAsia"/>
        </w:rPr>
        <w:t>同时，连续高低穿将导致变流器短时间内持续过流、卸荷电阻持续过热，硬件参数或承受能力将限制变流器连续高低穿能力。现有研究缺乏综合考虑功率模组短时过载和卸荷电阻热累积的连续高低穿承受能力评估方法，因此在优化来连续穿越及零电压穿越控制算法的同时亟需研究变流器连续高低穿承受能力评估，确定故障下变流器的安全运行边界，以保障系统的安全稳定运行。</w:t>
      </w:r>
    </w:p>
    <w:p w14:paraId="7326F6F5">
      <w:pPr>
        <w:keepNext/>
        <w:keepLines/>
        <w:ind w:firstLine="640"/>
        <w:jc w:val="both"/>
        <w:outlineLvl w:val="1"/>
        <w:rPr>
          <w:rFonts w:hint="eastAsia" w:ascii="黑体" w:hAnsi="黑体" w:eastAsia="黑体" w:cs="Times New Roman"/>
          <w:sz w:val="24"/>
          <w:szCs w:val="24"/>
        </w:rPr>
      </w:pPr>
      <w:r>
        <w:rPr>
          <w:rFonts w:hint="eastAsia" w:ascii="黑体" w:hAnsi="黑体" w:eastAsia="黑体" w:cs="Times New Roman"/>
        </w:rPr>
        <w:t>三</w:t>
      </w:r>
      <w:r>
        <w:rPr>
          <w:rFonts w:hint="eastAsia" w:ascii="黑体" w:hAnsi="黑体" w:eastAsia="黑体" w:cs="Times New Roman"/>
          <w:sz w:val="24"/>
          <w:szCs w:val="24"/>
        </w:rPr>
        <w:t>、</w:t>
      </w:r>
      <w:r>
        <w:rPr>
          <w:rFonts w:hint="eastAsia" w:ascii="黑体" w:hAnsi="黑体" w:eastAsia="黑体" w:cs="Times New Roman"/>
        </w:rPr>
        <w:t>研究内容</w:t>
      </w:r>
    </w:p>
    <w:p w14:paraId="38DD065F">
      <w:pPr>
        <w:ind w:firstLine="640"/>
        <w:jc w:val="both"/>
        <w:rPr>
          <w:rFonts w:hint="eastAsia"/>
        </w:rPr>
      </w:pPr>
      <w:r>
        <w:rPr>
          <w:rFonts w:hint="eastAsia"/>
        </w:rPr>
        <w:t>1.弱电网下故障穿越稳定性提升策略研究。弱电网（低短路比）下系统在故障期间及故障清除后极易失稳，通过对锁相环（PLL）跟踪性能、无功响应、谐振抑制、暂态过流等失稳机理研究，从工程应用角度提出稳定性提升策略。</w:t>
      </w:r>
    </w:p>
    <w:p w14:paraId="124A3D9C">
      <w:pPr>
        <w:ind w:firstLine="640"/>
        <w:jc w:val="both"/>
        <w:rPr>
          <w:rFonts w:hint="eastAsia"/>
        </w:rPr>
      </w:pPr>
      <w:r>
        <w:rPr>
          <w:rFonts w:hint="eastAsia"/>
        </w:rPr>
        <w:t>2.连续穿越与零电压穿越控制策略研究。建立涵盖连续故障间隔时间、剩余电压深度和电网短路比（SCR）的三维暂态数学模型，重点研究在CFRT（连续）、ZVRT（零压）工况下，有功功率传输受阻导致的直流母线能量累积特性以及多次故障间隔内锁相环（PLL）相位无法完全恢复所导致的累积性同步失稳机制。</w:t>
      </w:r>
    </w:p>
    <w:p w14:paraId="452A4E02">
      <w:pPr>
        <w:ind w:firstLine="640"/>
        <w:jc w:val="both"/>
        <w:rPr>
          <w:rFonts w:hint="eastAsia"/>
        </w:rPr>
      </w:pPr>
      <w:r>
        <w:rPr>
          <w:rFonts w:hint="eastAsia"/>
        </w:rPr>
        <w:t>3.连续穿越工况硬件极限能力评估方法研究。研究功率模组短时过载能力和卸荷电阻热累积效应，确定连续高低穿下变流器安全运行边界，提出连续高低穿承受能力评估方法，对模组及泄放回路选型优化提供技术依据。</w:t>
      </w:r>
    </w:p>
    <w:p w14:paraId="02FF6F62">
      <w:pPr>
        <w:keepNext/>
        <w:keepLines/>
        <w:ind w:firstLine="640"/>
        <w:jc w:val="both"/>
        <w:outlineLvl w:val="1"/>
        <w:rPr>
          <w:rFonts w:hint="eastAsia" w:ascii="黑体" w:hAnsi="黑体" w:eastAsia="黑体" w:cs="Times New Roman"/>
        </w:rPr>
      </w:pPr>
      <w:r>
        <w:rPr>
          <w:rFonts w:hint="eastAsia" w:ascii="黑体" w:hAnsi="黑体" w:eastAsia="黑体"/>
        </w:rPr>
        <w:t>四、</w:t>
      </w:r>
      <w:r>
        <w:rPr>
          <w:rFonts w:hint="eastAsia" w:ascii="黑体" w:hAnsi="黑体" w:eastAsia="黑体" w:cs="Times New Roman"/>
        </w:rPr>
        <w:t>交付成果及指标</w:t>
      </w:r>
    </w:p>
    <w:p w14:paraId="1C60AF1D">
      <w:pPr>
        <w:ind w:firstLine="640"/>
        <w:jc w:val="both"/>
        <w:rPr>
          <w:rFonts w:hint="eastAsia"/>
        </w:rPr>
      </w:pPr>
      <w:r>
        <w:rPr>
          <w:rFonts w:hint="eastAsia"/>
        </w:rPr>
        <w:t>以东方自控6.25MW全功率变流器为例，完成暂态仿真建模和控制算法开发，并进行半实物仿真验证，形成以下交付成果和技术指标：</w:t>
      </w:r>
      <w:bookmarkStart w:id="1" w:name="OLE_LINK4"/>
    </w:p>
    <w:p w14:paraId="442A9AF8">
      <w:pPr>
        <w:ind w:firstLine="640"/>
        <w:jc w:val="both"/>
        <w:rPr>
          <w:rFonts w:hint="eastAsia"/>
        </w:rPr>
      </w:pPr>
      <w:r>
        <w:rPr>
          <w:rFonts w:hint="eastAsia"/>
        </w:rPr>
        <w:t>1.弱电网下故障穿越稳定性提升方法及控制策略。技术指标：电网短路比1.5时，基于自控提供的实际工程项目参数对现有控制策略进行优化，满足任意故障过程谐振收敛时间≤20ms，暂态过电流峰值≤150%In，无功电流响应时间≤30ms，无功电流退出时间≤30ms，有功恢复速率≥100%Pn/s等指标。</w:t>
      </w:r>
    </w:p>
    <w:p w14:paraId="3187E5C0">
      <w:pPr>
        <w:ind w:firstLine="640"/>
        <w:jc w:val="both"/>
        <w:rPr>
          <w:rFonts w:hint="eastAsia"/>
        </w:rPr>
      </w:pPr>
      <w:r>
        <w:rPr>
          <w:rFonts w:hint="eastAsia"/>
        </w:rPr>
        <w:t>2.连续穿越及零电压穿越控制策略。技术指标：连续故障穿越稳定运行、过渡过程平滑，零电压穿越稳定运行时间≥450ms，具备无功控制系数自适应功能；研究持续秒级的零电压穿越的实现方式和对应控制策略。</w:t>
      </w:r>
    </w:p>
    <w:p w14:paraId="4585BF6E">
      <w:pPr>
        <w:ind w:firstLine="640"/>
        <w:jc w:val="both"/>
        <w:rPr>
          <w:rFonts w:hint="eastAsia"/>
        </w:rPr>
      </w:pPr>
      <w:r>
        <w:rPr>
          <w:rFonts w:hint="eastAsia"/>
        </w:rPr>
        <w:t>3.形成连续穿越工况硬件极限能力评估方法。技术指标：能够承受至少3次极端连续故障穿越不脱网，连续穿越间隔时间0.15~1.5s，并具备应对±90°对称/非对称相角跳变的全面支撑能力；研究连续高穿余量测算方法，可基于部件当前状态计算部件不损坏情况下实时最大连续穿越支撑能力，并可在变流器软件实现。</w:t>
      </w:r>
    </w:p>
    <w:p w14:paraId="370DC025">
      <w:pPr>
        <w:ind w:firstLine="640"/>
        <w:jc w:val="both"/>
        <w:rPr>
          <w:rFonts w:hint="eastAsia"/>
        </w:rPr>
      </w:pPr>
      <w:r>
        <w:rPr>
          <w:rFonts w:hint="eastAsia"/>
        </w:rPr>
        <w:t>4.故障穿越控制策略半实物测试报告。故障穿越稳定性控制策略及连续穿越、零电压穿越控制策略算法需通过东方自控RT-LAB/远宽半实物仿真平台验证。</w:t>
      </w:r>
    </w:p>
    <w:p w14:paraId="25911579">
      <w:pPr>
        <w:ind w:firstLine="640"/>
        <w:jc w:val="both"/>
        <w:rPr>
          <w:rFonts w:ascii="Arial" w:hAnsi="Arial" w:cs="Arial"/>
        </w:rPr>
      </w:pPr>
      <w:r>
        <w:rPr>
          <w:rFonts w:hint="eastAsia"/>
        </w:rPr>
        <w:t>5.《弱电网下全功率机组故障穿越控制策略及硬件极限能力评估方法研究》技术报告一份。</w:t>
      </w:r>
    </w:p>
    <w:bookmarkEnd w:id="1"/>
    <w:p w14:paraId="49F1881E">
      <w:pPr>
        <w:keepNext/>
        <w:keepLines/>
        <w:ind w:firstLine="640"/>
        <w:jc w:val="both"/>
        <w:outlineLvl w:val="1"/>
        <w:rPr>
          <w:rFonts w:hint="eastAsia" w:ascii="黑体" w:hAnsi="黑体" w:eastAsia="黑体" w:cs="Times New Roman"/>
          <w:sz w:val="24"/>
          <w:szCs w:val="24"/>
        </w:rPr>
      </w:pPr>
      <w:r>
        <w:rPr>
          <w:rFonts w:hint="eastAsia" w:ascii="黑体" w:hAnsi="黑体" w:eastAsia="黑体" w:cs="Times New Roman"/>
        </w:rPr>
        <w:t>五、项目执行周期</w:t>
      </w:r>
    </w:p>
    <w:p w14:paraId="51FFB379">
      <w:pPr>
        <w:ind w:firstLine="640"/>
        <w:jc w:val="both"/>
        <w:rPr>
          <w:rFonts w:hint="eastAsia"/>
        </w:rPr>
      </w:pPr>
      <w:r>
        <w:rPr>
          <w:rFonts w:hint="eastAsia"/>
        </w:rPr>
        <w:t>本项目执行周期为18个月。</w:t>
      </w:r>
    </w:p>
    <w:p w14:paraId="59951B39">
      <w:pPr>
        <w:keepNext/>
        <w:keepLines/>
        <w:ind w:firstLine="640"/>
        <w:jc w:val="both"/>
        <w:outlineLvl w:val="1"/>
        <w:rPr>
          <w:rFonts w:hint="eastAsia" w:ascii="黑体" w:hAnsi="黑体" w:eastAsia="黑体" w:cs="Times New Roman"/>
        </w:rPr>
      </w:pPr>
      <w:r>
        <w:rPr>
          <w:rFonts w:hint="eastAsia" w:ascii="黑体" w:hAnsi="黑体" w:eastAsia="黑体"/>
        </w:rPr>
        <w:t>六、</w:t>
      </w:r>
      <w:r>
        <w:rPr>
          <w:rFonts w:hint="eastAsia" w:ascii="黑体" w:hAnsi="黑体" w:eastAsia="黑体" w:cs="Times New Roman"/>
        </w:rPr>
        <w:t>经费概算</w:t>
      </w:r>
    </w:p>
    <w:p w14:paraId="4842339F">
      <w:pPr>
        <w:ind w:firstLine="640"/>
        <w:jc w:val="both"/>
        <w:rPr>
          <w:rFonts w:ascii="Times New Roman" w:hAnsi="Times New Roman" w:eastAsia="宋体" w:cs="Times New Roman"/>
          <w:sz w:val="24"/>
          <w:szCs w:val="24"/>
          <w:lang w:bidi="ar"/>
        </w:rPr>
      </w:pPr>
      <w:r>
        <w:rPr>
          <w:rFonts w:hint="eastAsia"/>
        </w:rPr>
        <w:t>本项目总预算为80万元。</w:t>
      </w:r>
    </w:p>
    <w:p w14:paraId="2EC33367">
      <w:pPr>
        <w:ind w:firstLine="640"/>
        <w:jc w:val="both"/>
        <w:rPr>
          <w:rFonts w:hint="eastAsia"/>
        </w:rPr>
        <w:sectPr>
          <w:pgSz w:w="11906" w:h="16838"/>
          <w:pgMar w:top="2098" w:right="1474" w:bottom="1984" w:left="1587" w:header="851" w:footer="1417" w:gutter="0"/>
          <w:cols w:space="720" w:num="1"/>
          <w:docGrid w:type="lines" w:linePitch="312" w:charSpace="0"/>
        </w:sectPr>
      </w:pPr>
    </w:p>
    <w:p w14:paraId="1197CBB1">
      <w:pPr>
        <w:pStyle w:val="2"/>
        <w:rPr>
          <w:rFonts w:hint="eastAsia"/>
        </w:rPr>
      </w:pPr>
      <w:r>
        <w:rPr>
          <w:rFonts w:hint="eastAsia"/>
        </w:rPr>
        <w:t>高端装备用高性能电机无感重载启动与极端工况自适应控制技术研究项目指南</w:t>
      </w:r>
    </w:p>
    <w:p w14:paraId="076DED8B">
      <w:pPr>
        <w:widowControl/>
        <w:spacing w:line="240" w:lineRule="auto"/>
        <w:ind w:firstLine="0" w:firstLineChars="0"/>
        <w:rPr>
          <w:rFonts w:ascii="Times New Roman" w:hAnsi="Times New Roman" w:eastAsia="Times New Roman" w:cs="Times New Roman"/>
          <w:kern w:val="0"/>
        </w:rPr>
      </w:pPr>
    </w:p>
    <w:p w14:paraId="1F3E8F5E">
      <w:pPr>
        <w:keepNext/>
        <w:keepLines/>
        <w:ind w:firstLine="640"/>
        <w:jc w:val="both"/>
        <w:outlineLvl w:val="1"/>
        <w:rPr>
          <w:rFonts w:hint="eastAsia" w:ascii="黑体" w:hAnsi="黑体" w:eastAsia="黑体" w:cs="Times New Roman"/>
        </w:rPr>
      </w:pPr>
      <w:r>
        <w:rPr>
          <w:rFonts w:hint="eastAsia" w:ascii="黑体" w:hAnsi="黑体" w:eastAsia="黑体"/>
        </w:rPr>
        <w:t>一、</w:t>
      </w:r>
      <w:r>
        <w:rPr>
          <w:rFonts w:hint="eastAsia" w:ascii="黑体" w:hAnsi="黑体" w:eastAsia="黑体" w:cs="Times New Roman"/>
        </w:rPr>
        <w:t>项目基本信息</w:t>
      </w:r>
    </w:p>
    <w:p w14:paraId="3E0EC085">
      <w:pPr>
        <w:ind w:firstLine="640"/>
        <w:jc w:val="both"/>
        <w:rPr>
          <w:rFonts w:hint="eastAsia"/>
        </w:rPr>
      </w:pPr>
      <w:r>
        <w:rPr>
          <w:rFonts w:hint="eastAsia"/>
        </w:rPr>
        <w:t>项目类型：技术提升项目（质量提升/成本降低/技术指标提升）</w:t>
      </w:r>
    </w:p>
    <w:p w14:paraId="56FC9112">
      <w:pPr>
        <w:ind w:firstLine="640"/>
        <w:jc w:val="both"/>
        <w:rPr>
          <w:rFonts w:hint="eastAsia"/>
        </w:rPr>
      </w:pPr>
      <w:r>
        <w:rPr>
          <w:rFonts w:hint="eastAsia"/>
        </w:rPr>
        <w:t>技术成熟度：项目完成后，预计技术成熟度达到7级</w:t>
      </w:r>
    </w:p>
    <w:p w14:paraId="325648D1">
      <w:pPr>
        <w:ind w:firstLine="640"/>
        <w:jc w:val="both"/>
        <w:rPr>
          <w:rFonts w:hint="eastAsia"/>
        </w:rPr>
      </w:pPr>
      <w:r>
        <w:rPr>
          <w:rFonts w:hint="eastAsia"/>
        </w:rPr>
        <w:t>需求单位及联系人：</w:t>
      </w:r>
    </w:p>
    <w:p w14:paraId="33343545">
      <w:pPr>
        <w:ind w:firstLine="640"/>
        <w:jc w:val="both"/>
        <w:rPr>
          <w:rFonts w:hint="eastAsia"/>
        </w:rPr>
      </w:pPr>
      <w:r>
        <w:rPr>
          <w:rFonts w:hint="eastAsia"/>
        </w:rPr>
        <w:t>东方自控 彭伟 18280208165</w:t>
      </w:r>
    </w:p>
    <w:p w14:paraId="74EC6C82">
      <w:pPr>
        <w:keepNext/>
        <w:keepLines/>
        <w:ind w:firstLine="640"/>
        <w:jc w:val="both"/>
        <w:outlineLvl w:val="1"/>
        <w:rPr>
          <w:rFonts w:hint="eastAsia" w:ascii="黑体" w:hAnsi="黑体" w:eastAsia="黑体" w:cs="Times New Roman"/>
        </w:rPr>
      </w:pPr>
      <w:r>
        <w:rPr>
          <w:rFonts w:hint="eastAsia" w:ascii="黑体" w:hAnsi="黑体" w:eastAsia="黑体"/>
        </w:rPr>
        <w:t>二、</w:t>
      </w:r>
      <w:r>
        <w:rPr>
          <w:rFonts w:hint="eastAsia" w:ascii="黑体" w:hAnsi="黑体" w:eastAsia="黑体" w:cs="Times New Roman"/>
        </w:rPr>
        <w:t>研究背景</w:t>
      </w:r>
    </w:p>
    <w:p w14:paraId="2D0BAC44">
      <w:pPr>
        <w:ind w:firstLine="640"/>
        <w:jc w:val="both"/>
        <w:rPr>
          <w:rFonts w:hint="eastAsia"/>
        </w:rPr>
      </w:pPr>
      <w:r>
        <w:rPr>
          <w:rFonts w:hint="eastAsia"/>
        </w:rPr>
        <w:t>高端装备用大功率电机无位置传感器控制是重大技术装备核心驱动的关键细分方向，直接关系工业连续生产过程和能源电力系统的安全、稳定、高效运行，是高低压变频器、高端传动装备国产化、高端化升级的核心关键技术，对赋能电机、风电、工控全产业链迭代升级具有重要战略意义，同时具备存量设备改造、新产品配套的规模化落地市场基础，产业应用价值突出。</w:t>
      </w:r>
    </w:p>
    <w:p w14:paraId="33DC7C0E">
      <w:pPr>
        <w:ind w:firstLine="640"/>
        <w:jc w:val="both"/>
        <w:rPr>
          <w:rFonts w:hint="eastAsia"/>
        </w:rPr>
      </w:pPr>
      <w:r>
        <w:rPr>
          <w:rFonts w:hint="eastAsia"/>
        </w:rPr>
        <w:t>从行业技术成熟度来看，目前国内外该领域技术发展呈现明显梯度差异。国际层面，西门子、ABB等头部跨国企业技术积淀深厚，在大功率电机零速/低速重载启动、高精度模型参数在线辨识、极端工况稳定控制等核心技术领域长期保持行业领先优势，相关控制算法经过多场景、长周期工程迭代优化，技术成熟度达到7-8级（ISO TRL9评价评定体系），已大规模落地于各类重要负载、高端重大装备场景，占据全球高端市场主导地位。国内层面，以汇川技术为代表的一线工控企业，已逐步完成低速重载控制、高适应性矢量控制等关键技术积累，常规工况下无位置传感器控制技术日趋成熟，技术成熟度整体达到7级左右，基本实现通用工业场景国产化替代，但在极端复杂工况下的高精度、高鲁棒性控制能力，与国际顶尖水平仍存在一定差距。</w:t>
      </w:r>
    </w:p>
    <w:p w14:paraId="2C8FE646">
      <w:pPr>
        <w:ind w:firstLine="640"/>
        <w:jc w:val="both"/>
        <w:rPr>
          <w:rFonts w:hint="eastAsia"/>
        </w:rPr>
      </w:pPr>
      <w:r>
        <w:rPr>
          <w:rFonts w:hint="eastAsia"/>
        </w:rPr>
        <w:t>东方自控公司目前在该领域已形成基础技术储备，成功完成异步电机、永磁/电励磁同步电机矢量控制关键技术的研制与落地，技术成熟度处于6级。但现有技术方案多应用于风机、水泵等对低速转矩、重载启动性能要求较低的常规工况，适配场景较为单一，同时存在电机参数适配便捷性不足、低电压穿越功能不完善、极端工况控制稳定性差等突出问题，尚未攻克大功率极端工况下的无位置传感器控制核心难题。</w:t>
      </w:r>
    </w:p>
    <w:p w14:paraId="2781E652">
      <w:pPr>
        <w:ind w:firstLine="640"/>
        <w:jc w:val="both"/>
        <w:rPr>
          <w:rFonts w:hint="eastAsia"/>
        </w:rPr>
      </w:pPr>
      <w:r>
        <w:rPr>
          <w:rFonts w:hint="eastAsia"/>
        </w:rPr>
        <w:t>当前该技术在异步电机、永磁/电励磁同步电机极端工况应用中，集中存在三大行业共性技术痛点：一是无感重载启动阶段，传统V/F控制及部分矢量控制策略在零速、低速工况下无法输出稳定大转矩，极易引发转矩脉动、启动失步问题，严重时会造成电机本体损坏；二是转子初始位置辨识精度不足，存在±180°辨识误差，直接导致电机启动反转、设备机械冲击、系统过流保护、飞车等故障；三是电网短时电压跌落、设备堕转重投工况下，电机反电动势与变频器输出参数不匹配，会产生剧烈大电流冲击，威胁设备和系统运行安全。</w:t>
      </w:r>
    </w:p>
    <w:p w14:paraId="3D6D97EE">
      <w:pPr>
        <w:ind w:firstLine="640"/>
        <w:jc w:val="both"/>
        <w:rPr>
          <w:rFonts w:hint="eastAsia"/>
        </w:rPr>
      </w:pPr>
      <w:r>
        <w:rPr>
          <w:rFonts w:hint="eastAsia"/>
        </w:rPr>
        <w:t>随着集团产业升级及非电领域高端装备应用需求持续攀升，行业对大功率电机无位置传感器控制的重载启动、故障穿越、稳定运行能力提出了更高、更严苛的要求，公司现有技术已无法满足高端高低压变频器产品的迭代升级需求，</w:t>
      </w:r>
      <w:bookmarkStart w:id="2" w:name="OLE_LINK17"/>
      <w:r>
        <w:rPr>
          <w:rFonts w:hint="eastAsia"/>
        </w:rPr>
        <w:t>了解集团内其他单位相关研究，如</w:t>
      </w:r>
      <w:r>
        <w:t>“风电叶片断裂损伤预警与防倒塔技术研究”项目</w:t>
      </w:r>
      <w:r>
        <w:rPr>
          <w:rFonts w:hint="eastAsia"/>
        </w:rPr>
        <w:t>虽</w:t>
      </w:r>
      <w:r>
        <w:t>涉及电机技术</w:t>
      </w:r>
      <w:r>
        <w:rPr>
          <w:rFonts w:hint="eastAsia"/>
        </w:rPr>
        <w:t>研究，但主要是变桨上层的控制研究，与本项目针对电机本体的控制技术方向不同</w:t>
      </w:r>
      <w:bookmarkEnd w:id="2"/>
      <w:r>
        <w:rPr>
          <w:rFonts w:hint="eastAsia"/>
        </w:rPr>
        <w:t>，因此亟需开展专项技术攻关与突破。本项目聚焦行业核心痛点，重点提升无感重载启动、高精度参数辨识、故障穿越与飞车启动的工程化精度、鲁棒性与工况适配范围，对标国际领先企业核心技术能力，补齐公司技术短板。通过项目研究，可有效降低设备非计划停车、驱动器及电机损坏、安全事故等风险，全面提升高端装备运行可靠性、生产效率及全生命周期经济效益，助力公司工控、风电、电机产业高端化、规模化升级。</w:t>
      </w:r>
    </w:p>
    <w:p w14:paraId="306A4B85">
      <w:pPr>
        <w:keepNext/>
        <w:keepLines/>
        <w:ind w:firstLine="640"/>
        <w:jc w:val="both"/>
        <w:outlineLvl w:val="1"/>
        <w:rPr>
          <w:rFonts w:hint="eastAsia" w:ascii="黑体" w:hAnsi="黑体" w:eastAsia="黑体"/>
        </w:rPr>
      </w:pPr>
      <w:r>
        <w:rPr>
          <w:rFonts w:hint="eastAsia" w:ascii="黑体" w:hAnsi="黑体" w:eastAsia="黑体"/>
        </w:rPr>
        <w:t>三、研究内容</w:t>
      </w:r>
    </w:p>
    <w:p w14:paraId="78E000C9">
      <w:pPr>
        <w:ind w:firstLine="640"/>
        <w:jc w:val="both"/>
        <w:rPr>
          <w:rFonts w:hint="eastAsia"/>
        </w:rPr>
      </w:pPr>
      <w:bookmarkStart w:id="3" w:name="OLE_LINK2"/>
      <w:r>
        <w:rPr>
          <w:rFonts w:hint="eastAsia"/>
        </w:rPr>
        <w:t>1.无感重载启动</w:t>
      </w:r>
      <w:bookmarkEnd w:id="3"/>
    </w:p>
    <w:p w14:paraId="448B0632">
      <w:pPr>
        <w:ind w:firstLine="640"/>
        <w:jc w:val="both"/>
        <w:rPr>
          <w:rFonts w:hint="eastAsia"/>
        </w:rPr>
      </w:pPr>
      <w:bookmarkStart w:id="4" w:name="OLE_LINK15"/>
      <w:r>
        <w:rPr>
          <w:rFonts w:hint="eastAsia"/>
        </w:rPr>
        <w:t>（1）采用高频电压脉冲注入法或磁饱和特性等位置追踪技术，开发新型静止/低速转子位置观测器，解决异步电机重载启动时转矩脉动与失步问题。</w:t>
      </w:r>
    </w:p>
    <w:p w14:paraId="24798AA7">
      <w:pPr>
        <w:ind w:firstLine="640"/>
        <w:jc w:val="both"/>
        <w:rPr>
          <w:rFonts w:hint="eastAsia"/>
        </w:rPr>
      </w:pPr>
      <w:r>
        <w:rPr>
          <w:rFonts w:hint="eastAsia"/>
        </w:rPr>
        <w:t>（2）研究新型全阶磁链观测器和自适应控制算法，配合抗饱和电流补偿算法，实现永磁/电励磁同步电机稳定启动。</w:t>
      </w:r>
    </w:p>
    <w:p w14:paraId="65C8DE04">
      <w:pPr>
        <w:ind w:firstLine="640"/>
        <w:jc w:val="both"/>
        <w:rPr>
          <w:rFonts w:hint="eastAsia"/>
        </w:rPr>
      </w:pPr>
      <w:bookmarkStart w:id="5" w:name="OLE_LINK3"/>
      <w:r>
        <w:rPr>
          <w:rFonts w:hint="eastAsia"/>
        </w:rPr>
        <w:t>2.电机参数与位置辨识</w:t>
      </w:r>
      <w:bookmarkEnd w:id="5"/>
    </w:p>
    <w:p w14:paraId="65FA25E1">
      <w:pPr>
        <w:ind w:firstLine="640"/>
        <w:jc w:val="both"/>
        <w:rPr>
          <w:rFonts w:hint="eastAsia"/>
        </w:rPr>
      </w:pPr>
      <w:r>
        <w:rPr>
          <w:rFonts w:hint="eastAsia"/>
        </w:rPr>
        <w:t>（1）开展电机初始位置高精度检测技术研究，优化初始位置检测逻辑与判定机制，有效消除永磁、电励磁同步电机初始位置角度检测存在的不确定性偏差。</w:t>
      </w:r>
    </w:p>
    <w:p w14:paraId="488C0E31">
      <w:pPr>
        <w:ind w:firstLine="640"/>
        <w:jc w:val="both"/>
        <w:rPr>
          <w:rFonts w:hint="eastAsia"/>
        </w:rPr>
      </w:pPr>
      <w:r>
        <w:rPr>
          <w:rFonts w:hint="eastAsia"/>
        </w:rPr>
        <w:t>（2）研究适配多工况的电机动态参数在线辨识技术，构建具备角度自适应补偿、参数动态修正能力的辨识模型与算法体系，可根据电机运行工况、负载状态的实时变化动态校正电机关键参数，全程保障异步电机、永磁及电励磁同步电机在全运行工况下的数学模型精度与控制适配性。</w:t>
      </w:r>
    </w:p>
    <w:p w14:paraId="40094564">
      <w:pPr>
        <w:ind w:firstLine="640"/>
        <w:jc w:val="both"/>
        <w:rPr>
          <w:rFonts w:hint="eastAsia"/>
        </w:rPr>
      </w:pPr>
      <w:r>
        <w:rPr>
          <w:rFonts w:hint="eastAsia"/>
        </w:rPr>
        <w:t>3.故障穿越与飞车启动</w:t>
      </w:r>
    </w:p>
    <w:p w14:paraId="3EB7F421">
      <w:pPr>
        <w:ind w:firstLine="640"/>
        <w:jc w:val="both"/>
        <w:rPr>
          <w:rFonts w:hint="eastAsia"/>
        </w:rPr>
      </w:pPr>
      <w:r>
        <w:rPr>
          <w:rFonts w:hint="eastAsia"/>
        </w:rPr>
        <w:t>（1）建立异步电机和永磁/电励磁同步电机不同电网电压跌落深度下的故障穿越最优控制策略。</w:t>
      </w:r>
    </w:p>
    <w:p w14:paraId="321D77EC">
      <w:pPr>
        <w:ind w:firstLine="640"/>
        <w:jc w:val="both"/>
        <w:rPr>
          <w:rFonts w:hint="eastAsia"/>
        </w:rPr>
      </w:pPr>
      <w:r>
        <w:rPr>
          <w:rFonts w:hint="eastAsia"/>
        </w:rPr>
        <w:t>（2）开发反电动势快速检测算法，实现速度与相位的快速追踪，进一步实现异步电机和永磁/电励磁同步电机在飞车状态下的无冲击快速重投。</w:t>
      </w:r>
    </w:p>
    <w:bookmarkEnd w:id="4"/>
    <w:p w14:paraId="2F8E5BB9">
      <w:pPr>
        <w:pStyle w:val="3"/>
        <w:ind w:firstLine="640"/>
        <w:jc w:val="both"/>
        <w:rPr>
          <w:rFonts w:hint="eastAsia"/>
        </w:rPr>
      </w:pPr>
      <w:r>
        <w:rPr>
          <w:rFonts w:hint="eastAsia"/>
        </w:rPr>
        <w:t>四、交付成果及指标</w:t>
      </w:r>
    </w:p>
    <w:p w14:paraId="03618A86">
      <w:pPr>
        <w:ind w:firstLine="640"/>
        <w:jc w:val="both"/>
        <w:rPr>
          <w:rFonts w:hint="eastAsia"/>
        </w:rPr>
      </w:pPr>
      <w:r>
        <w:rPr>
          <w:rFonts w:hint="eastAsia"/>
        </w:rPr>
        <w:t>1.核心指标</w:t>
      </w:r>
    </w:p>
    <w:p w14:paraId="500BE0A4">
      <w:pPr>
        <w:ind w:firstLine="640"/>
        <w:jc w:val="both"/>
        <w:rPr>
          <w:rFonts w:hint="eastAsia"/>
        </w:rPr>
      </w:pPr>
      <w:bookmarkStart w:id="6" w:name="OLE_LINK12"/>
      <w:bookmarkStart w:id="7" w:name="OLE_LINK5"/>
      <w:r>
        <w:rPr>
          <w:rFonts w:hint="eastAsia"/>
        </w:rPr>
        <w:t>（1）额定工况下，</w:t>
      </w:r>
      <w:bookmarkStart w:id="8" w:name="OLE_LINK11"/>
      <w:r>
        <w:rPr>
          <w:rFonts w:hint="eastAsia"/>
        </w:rPr>
        <w:t>转速观测误差≤0.5%，角度观测误差≤0.05rad</w:t>
      </w:r>
      <w:bookmarkEnd w:id="8"/>
      <w:r>
        <w:rPr>
          <w:rFonts w:hint="eastAsia"/>
        </w:rPr>
        <w:t>；转速控制精度≤1%、转矩控制精度≤5%</w:t>
      </w:r>
      <w:bookmarkEnd w:id="6"/>
      <w:r>
        <w:rPr>
          <w:rFonts w:hint="eastAsia"/>
        </w:rPr>
        <w:t>；</w:t>
      </w:r>
      <w:bookmarkEnd w:id="7"/>
      <w:bookmarkStart w:id="9" w:name="OLE_LINK10"/>
      <w:bookmarkStart w:id="10" w:name="OLE_LINK9"/>
      <w:r>
        <w:rPr>
          <w:rFonts w:hint="eastAsia"/>
        </w:rPr>
        <w:t>(转速观测误差与角度观测误差，行业普遍做到0.5%；但转子角度观测大多在0.07rad，</w:t>
      </w:r>
      <w:bookmarkStart w:id="11" w:name="OLE_LINK13"/>
      <w:r>
        <w:rPr>
          <w:rFonts w:hint="eastAsia"/>
        </w:rPr>
        <w:t>属于行业领先水平</w:t>
      </w:r>
      <w:bookmarkEnd w:id="11"/>
      <w:r>
        <w:rPr>
          <w:rFonts w:hint="eastAsia"/>
        </w:rPr>
        <w:t>;无速度转速控制精度行业宣传在0.2%-1%，属于行业平均水平;转矩控制精度普遍在3-10%，属于行业平均水平；国际科研级与高校论文水平：实验室条件下，改进滑模观测器、全阶龙贝格观测器可做到：角度误差≤0.02rad，转速观测误差＜0.2%，转矩精度2</w:t>
      </w:r>
      <w:r>
        <w:rPr>
          <w:rFonts w:hint="eastAsia"/>
        </w:rPr>
        <w:noBreakHyphen/>
      </w:r>
      <w:r>
        <w:rPr>
          <w:rFonts w:hint="eastAsia"/>
        </w:rPr>
        <w:t>3%，但大多只在小功率样机实现，兆瓦级高压产品量产落地极少。转速和转矩控制精度不是本项目重点研究内容，未按领先水平要求)</w:t>
      </w:r>
      <w:bookmarkEnd w:id="9"/>
      <w:bookmarkEnd w:id="10"/>
    </w:p>
    <w:p w14:paraId="72B5C2A0">
      <w:pPr>
        <w:ind w:firstLine="640"/>
        <w:jc w:val="both"/>
        <w:rPr>
          <w:rFonts w:hint="eastAsia"/>
        </w:rPr>
      </w:pPr>
      <w:bookmarkStart w:id="12" w:name="OLE_LINK6"/>
      <w:r>
        <w:rPr>
          <w:rFonts w:hint="eastAsia"/>
        </w:rPr>
        <w:t>（2）异步电机0-150%额定转矩范围内的无位置传感器平滑重载启动，永磁/电励磁同步电机0-200%额定转矩范围内的无位置传感器平滑重载启动；（行业量产高压变频器无速度传感器启动普遍仅可实现0</w:t>
      </w:r>
      <w:r>
        <w:rPr>
          <w:rFonts w:hint="eastAsia"/>
        </w:rPr>
        <w:noBreakHyphen/>
      </w:r>
      <w:r>
        <w:rPr>
          <w:rFonts w:hint="eastAsia"/>
        </w:rPr>
        <w:t>100%额定转矩可靠启动；部分国产高端产品异步电机可实现120%额定转矩启动，同步电机重载启动大多上限150%额定转矩；本项目异步电机实现150%额定转矩启动、永磁/电励磁同步电机实现200%额定转矩重载平稳启动，属于行业领先水平）</w:t>
      </w:r>
    </w:p>
    <w:p w14:paraId="41F8662B">
      <w:pPr>
        <w:ind w:firstLine="640"/>
        <w:jc w:val="both"/>
        <w:rPr>
          <w:rFonts w:hint="eastAsia"/>
        </w:rPr>
      </w:pPr>
      <w:r>
        <w:rPr>
          <w:rFonts w:hint="eastAsia"/>
        </w:rPr>
        <w:t>（3）异步电机定子电阻、转子电阻、漏感和互感的参数辨识精度≥95%，永磁/电励磁同步电机电阻、电感、磁链的参数辨识精度≥95%；（行业量产高压变频器无速度传感器启动普遍仅可实现0</w:t>
      </w:r>
      <w:r>
        <w:rPr>
          <w:rFonts w:hint="eastAsia"/>
        </w:rPr>
        <w:noBreakHyphen/>
      </w:r>
      <w:r>
        <w:rPr>
          <w:rFonts w:hint="eastAsia"/>
        </w:rPr>
        <w:t>100%额定转矩可靠启动；部分国产高端产品异步电机可实现 120% 额定转矩启动，同步电机重载启动大多上限150%额定转矩；本项目异步电机实现150%额定转矩启动、永磁/电励磁同步电机实现200%额定转矩重载平稳启动，属于行业领先水平）</w:t>
      </w:r>
    </w:p>
    <w:p w14:paraId="717444C7">
      <w:pPr>
        <w:ind w:firstLine="640"/>
        <w:jc w:val="both"/>
        <w:rPr>
          <w:rFonts w:hint="eastAsia"/>
        </w:rPr>
      </w:pPr>
      <w:r>
        <w:rPr>
          <w:rFonts w:hint="eastAsia"/>
        </w:rPr>
        <w:t>（4）电网电压跌落后，采取合适的策略尽量减小异步电机和永磁/电励磁同步电机转速的下降，电网电压跌落恢复后，带电重投时反电动势检测响应时间≤50ms，转矩恢复时间≤100ms；</w:t>
      </w:r>
      <w:bookmarkStart w:id="13" w:name="OLE_LINK14"/>
      <w:r>
        <w:rPr>
          <w:rFonts w:hint="eastAsia"/>
        </w:rPr>
        <w:t>（此指标行业宣传较少，未见公开报道。从应用实际判断，该指标完全够用）</w:t>
      </w:r>
      <w:bookmarkEnd w:id="13"/>
    </w:p>
    <w:p w14:paraId="147F793C">
      <w:pPr>
        <w:ind w:firstLine="640"/>
        <w:jc w:val="both"/>
        <w:rPr>
          <w:rFonts w:hint="eastAsia"/>
        </w:rPr>
      </w:pPr>
      <w:r>
        <w:rPr>
          <w:rFonts w:hint="eastAsia"/>
        </w:rPr>
        <w:t>（5）异步电机和永磁/电励磁同步电机在堕转状态下0-1.1倍额定转速范围内无冲击重投，重投电流小于电机额定电流，重投时间≤2s。（行业普遍1-5s,此指标处于行业平均水平，该指标完全够用）</w:t>
      </w:r>
    </w:p>
    <w:bookmarkEnd w:id="12"/>
    <w:p w14:paraId="795ABED9">
      <w:pPr>
        <w:ind w:firstLine="640"/>
        <w:jc w:val="both"/>
        <w:rPr>
          <w:rFonts w:hint="eastAsia"/>
        </w:rPr>
      </w:pPr>
      <w:r>
        <w:rPr>
          <w:rFonts w:hint="eastAsia"/>
        </w:rPr>
        <w:t>2.验收方式</w:t>
      </w:r>
    </w:p>
    <w:p w14:paraId="295872AF">
      <w:pPr>
        <w:ind w:firstLine="640"/>
        <w:jc w:val="both"/>
        <w:rPr>
          <w:rFonts w:hint="eastAsia"/>
        </w:rPr>
      </w:pPr>
      <w:r>
        <w:rPr>
          <w:rFonts w:hint="eastAsia"/>
        </w:rPr>
        <w:t>上述指标中（2）、（4）、（5）通过小功率样机实验进行验收，（1）和（3）通过半实物仿真进行验收。</w:t>
      </w:r>
      <w:bookmarkStart w:id="14" w:name="OLE_LINK25"/>
      <w:bookmarkStart w:id="15" w:name="OLE_LINK24"/>
      <w:r>
        <w:rPr>
          <w:rFonts w:hint="eastAsia"/>
        </w:rPr>
        <w:t>配合我方完成算法移植、工程样机厂内调试和现场场景验证(绞车、皮带机及压缩机驱动等运行场景)，并配合解决算法验证中相关问题</w:t>
      </w:r>
      <w:bookmarkEnd w:id="14"/>
      <w:r>
        <w:rPr>
          <w:rFonts w:hint="eastAsia"/>
        </w:rPr>
        <w:t>。</w:t>
      </w:r>
      <w:bookmarkEnd w:id="15"/>
    </w:p>
    <w:p w14:paraId="4134741F">
      <w:pPr>
        <w:ind w:firstLine="640"/>
        <w:jc w:val="both"/>
        <w:rPr>
          <w:rFonts w:hint="eastAsia"/>
        </w:rPr>
      </w:pPr>
      <w:bookmarkStart w:id="16" w:name="OLE_LINK23"/>
      <w:r>
        <w:rPr>
          <w:rFonts w:hint="eastAsia"/>
        </w:rPr>
        <w:t>3.交付物成果列表</w:t>
      </w:r>
    </w:p>
    <w:bookmarkEnd w:id="16"/>
    <w:p w14:paraId="1457AD38">
      <w:pPr>
        <w:ind w:firstLine="640"/>
        <w:jc w:val="both"/>
        <w:rPr>
          <w:rFonts w:hint="eastAsia"/>
        </w:rPr>
      </w:pPr>
      <w:bookmarkStart w:id="17" w:name="OLE_LINK8"/>
      <w:r>
        <w:rPr>
          <w:rFonts w:hint="eastAsia"/>
        </w:rPr>
        <w:t>（1）研究报告</w:t>
      </w:r>
    </w:p>
    <w:p w14:paraId="029CFCAA">
      <w:pPr>
        <w:ind w:firstLine="640"/>
        <w:jc w:val="both"/>
        <w:rPr>
          <w:rFonts w:hint="eastAsia"/>
        </w:rPr>
      </w:pPr>
      <w:r>
        <w:rPr>
          <w:rFonts w:hint="eastAsia"/>
        </w:rPr>
        <w:t>①异步电机无感重载启动技术研究报告；</w:t>
      </w:r>
    </w:p>
    <w:p w14:paraId="5B95A587">
      <w:pPr>
        <w:ind w:firstLine="640"/>
        <w:jc w:val="both"/>
        <w:rPr>
          <w:rFonts w:hint="eastAsia"/>
        </w:rPr>
      </w:pPr>
      <w:r>
        <w:rPr>
          <w:rFonts w:hint="eastAsia"/>
        </w:rPr>
        <w:t>②永磁/电励磁同步电机无感重载启动技术研究报告；</w:t>
      </w:r>
    </w:p>
    <w:p w14:paraId="16FC067D">
      <w:pPr>
        <w:ind w:firstLine="640"/>
        <w:jc w:val="both"/>
        <w:rPr>
          <w:rFonts w:hint="eastAsia"/>
        </w:rPr>
      </w:pPr>
      <w:r>
        <w:rPr>
          <w:rFonts w:hint="eastAsia"/>
        </w:rPr>
        <w:t>③永磁/电励磁同步电机初始位置检测技术研究报告；</w:t>
      </w:r>
    </w:p>
    <w:p w14:paraId="5D9196BE">
      <w:pPr>
        <w:ind w:firstLine="640"/>
        <w:jc w:val="both"/>
        <w:rPr>
          <w:rFonts w:hint="eastAsia"/>
        </w:rPr>
      </w:pPr>
      <w:r>
        <w:rPr>
          <w:rFonts w:hint="eastAsia"/>
        </w:rPr>
        <w:t>④异步电机参数辨识技术研究报告；</w:t>
      </w:r>
    </w:p>
    <w:p w14:paraId="3550CCBE">
      <w:pPr>
        <w:ind w:firstLine="640"/>
        <w:jc w:val="both"/>
        <w:rPr>
          <w:rFonts w:hint="eastAsia"/>
        </w:rPr>
      </w:pPr>
      <w:r>
        <w:rPr>
          <w:rFonts w:hint="eastAsia"/>
        </w:rPr>
        <w:t>⑤永磁/电励磁同步电机参数辨识技术研究报告；</w:t>
      </w:r>
    </w:p>
    <w:p w14:paraId="77CB6711">
      <w:pPr>
        <w:ind w:firstLine="640"/>
        <w:jc w:val="both"/>
        <w:rPr>
          <w:rFonts w:hint="eastAsia"/>
        </w:rPr>
      </w:pPr>
      <w:r>
        <w:rPr>
          <w:rFonts w:hint="eastAsia"/>
        </w:rPr>
        <w:t>⑥异步电机电网电压跌落故障穿越最优控制技术研究报告；</w:t>
      </w:r>
    </w:p>
    <w:p w14:paraId="513DF368">
      <w:pPr>
        <w:ind w:firstLine="640"/>
        <w:jc w:val="both"/>
        <w:rPr>
          <w:rFonts w:hint="eastAsia"/>
        </w:rPr>
      </w:pPr>
      <w:r>
        <w:rPr>
          <w:rFonts w:hint="eastAsia"/>
        </w:rPr>
        <w:t>⑦永磁/电励磁同步电机电网电压跌落故障穿越最优控制技术研究报告；</w:t>
      </w:r>
    </w:p>
    <w:p w14:paraId="50AFBCEA">
      <w:pPr>
        <w:ind w:firstLine="640"/>
        <w:jc w:val="both"/>
        <w:rPr>
          <w:rFonts w:hint="eastAsia"/>
        </w:rPr>
      </w:pPr>
      <w:r>
        <w:rPr>
          <w:rFonts w:hint="eastAsia"/>
        </w:rPr>
        <w:t>⑧异步电机反电动势快速检测与飞车启动技术研究报告；</w:t>
      </w:r>
    </w:p>
    <w:p w14:paraId="00EF3893">
      <w:pPr>
        <w:ind w:firstLine="640"/>
        <w:jc w:val="both"/>
        <w:rPr>
          <w:rFonts w:hint="eastAsia"/>
        </w:rPr>
      </w:pPr>
      <w:r>
        <w:rPr>
          <w:rFonts w:hint="eastAsia"/>
        </w:rPr>
        <w:t>⑨永磁/电励磁同步电机反电动势快速检测与飞车启动技术研究报告。</w:t>
      </w:r>
    </w:p>
    <w:p w14:paraId="745A1187">
      <w:pPr>
        <w:ind w:firstLine="640"/>
        <w:jc w:val="both"/>
        <w:rPr>
          <w:rFonts w:hint="eastAsia"/>
        </w:rPr>
      </w:pPr>
      <w:r>
        <w:rPr>
          <w:rFonts w:hint="eastAsia"/>
        </w:rPr>
        <w:t>（2）控制算法、仿真模型及小功率样机</w:t>
      </w:r>
    </w:p>
    <w:p w14:paraId="3E5F55BD">
      <w:pPr>
        <w:ind w:firstLine="640"/>
        <w:jc w:val="both"/>
        <w:rPr>
          <w:rFonts w:hint="eastAsia"/>
        </w:rPr>
      </w:pPr>
      <w:r>
        <w:rPr>
          <w:rFonts w:hint="eastAsia"/>
        </w:rPr>
        <w:t>（3）发表SCI/EI论文2篇，申请发明专利4项。</w:t>
      </w:r>
    </w:p>
    <w:bookmarkEnd w:id="17"/>
    <w:p w14:paraId="6A69160A">
      <w:pPr>
        <w:keepNext/>
        <w:keepLines/>
        <w:ind w:firstLine="640"/>
        <w:jc w:val="both"/>
        <w:outlineLvl w:val="1"/>
        <w:rPr>
          <w:rFonts w:hint="eastAsia" w:ascii="黑体" w:hAnsi="黑体" w:eastAsia="黑体" w:cs="Times New Roman"/>
        </w:rPr>
      </w:pPr>
      <w:r>
        <w:rPr>
          <w:rFonts w:hint="eastAsia" w:ascii="黑体" w:hAnsi="黑体" w:eastAsia="黑体" w:cs="Times New Roman"/>
        </w:rPr>
        <w:t>五、项目执行周期</w:t>
      </w:r>
    </w:p>
    <w:p w14:paraId="5C7F6A6D">
      <w:pPr>
        <w:ind w:firstLine="640"/>
        <w:jc w:val="both"/>
        <w:rPr>
          <w:rFonts w:hint="eastAsia"/>
        </w:rPr>
      </w:pPr>
      <w:r>
        <w:rPr>
          <w:rFonts w:hint="eastAsia"/>
        </w:rPr>
        <w:t>本项目执行周期为20个月。</w:t>
      </w:r>
    </w:p>
    <w:p w14:paraId="1F22CDE9">
      <w:pPr>
        <w:keepNext/>
        <w:keepLines/>
        <w:ind w:firstLine="640"/>
        <w:jc w:val="both"/>
        <w:outlineLvl w:val="1"/>
        <w:rPr>
          <w:rFonts w:hint="eastAsia" w:ascii="黑体" w:hAnsi="黑体" w:eastAsia="黑体" w:cs="Times New Roman"/>
        </w:rPr>
      </w:pPr>
      <w:r>
        <w:rPr>
          <w:rFonts w:hint="eastAsia" w:ascii="黑体" w:hAnsi="黑体" w:eastAsia="黑体"/>
        </w:rPr>
        <w:t>六、</w:t>
      </w:r>
      <w:r>
        <w:rPr>
          <w:rFonts w:hint="eastAsia" w:ascii="黑体" w:hAnsi="黑体" w:eastAsia="黑体" w:cs="Times New Roman"/>
        </w:rPr>
        <w:t>经费概算</w:t>
      </w:r>
    </w:p>
    <w:p w14:paraId="15423638">
      <w:pPr>
        <w:ind w:firstLine="640"/>
        <w:jc w:val="both"/>
        <w:rPr>
          <w:rFonts w:hint="eastAsia"/>
        </w:rPr>
      </w:pPr>
      <w:r>
        <w:rPr>
          <w:rFonts w:hint="eastAsia"/>
        </w:rPr>
        <w:t>本项目总预算为200万元。</w:t>
      </w:r>
    </w:p>
    <w:p w14:paraId="2826BC44">
      <w:pPr>
        <w:ind w:firstLine="640"/>
        <w:jc w:val="both"/>
        <w:rPr>
          <w:rFonts w:hint="eastAsia"/>
        </w:rPr>
      </w:pPr>
    </w:p>
    <w:p w14:paraId="71113FD6">
      <w:pPr>
        <w:pStyle w:val="2"/>
        <w:jc w:val="both"/>
        <w:rPr>
          <w:rFonts w:hint="eastAsia"/>
        </w:rPr>
        <w:sectPr>
          <w:footerReference r:id="rId19" w:type="default"/>
          <w:footerReference r:id="rId20" w:type="even"/>
          <w:pgSz w:w="11906" w:h="16838"/>
          <w:pgMar w:top="2098" w:right="1474" w:bottom="1984" w:left="1587" w:header="851" w:footer="1417" w:gutter="0"/>
          <w:cols w:space="720" w:num="1"/>
          <w:docGrid w:type="lines" w:linePitch="312" w:charSpace="0"/>
        </w:sectPr>
      </w:pPr>
    </w:p>
    <w:p w14:paraId="3DCAEB5B">
      <w:pPr>
        <w:pStyle w:val="2"/>
        <w:rPr>
          <w:rFonts w:hint="eastAsia"/>
        </w:rPr>
      </w:pPr>
      <w:r>
        <w:t>大功率海上风电机组支撑结构一体化设计优化技术研究项目指南</w:t>
      </w:r>
    </w:p>
    <w:p w14:paraId="2CB3CA37">
      <w:pPr>
        <w:ind w:firstLine="640"/>
        <w:jc w:val="both"/>
        <w:rPr>
          <w:rFonts w:hint="eastAsia"/>
        </w:rPr>
      </w:pPr>
    </w:p>
    <w:p w14:paraId="086176C0">
      <w:pPr>
        <w:keepNext/>
        <w:keepLines/>
        <w:ind w:firstLine="640"/>
        <w:jc w:val="both"/>
        <w:outlineLvl w:val="1"/>
        <w:rPr>
          <w:rFonts w:hint="eastAsia" w:ascii="黑体" w:hAnsi="黑体" w:eastAsia="黑体"/>
        </w:rPr>
      </w:pPr>
      <w:r>
        <w:rPr>
          <w:rFonts w:ascii="黑体" w:hAnsi="黑体" w:eastAsia="黑体"/>
        </w:rPr>
        <w:t>一、项目基本信息</w:t>
      </w:r>
    </w:p>
    <w:p w14:paraId="1E156444">
      <w:pPr>
        <w:ind w:firstLine="640"/>
        <w:rPr>
          <w:rFonts w:hint="eastAsia"/>
        </w:rPr>
      </w:pPr>
      <w:r>
        <w:t>项目类型：技术提升项目</w:t>
      </w:r>
    </w:p>
    <w:p w14:paraId="35B4473E">
      <w:pPr>
        <w:ind w:firstLine="640"/>
        <w:rPr>
          <w:rFonts w:hint="eastAsia"/>
        </w:rPr>
      </w:pPr>
      <w:r>
        <w:t>技术成熟度：项目完成后，预计技术成熟度达到7级</w:t>
      </w:r>
    </w:p>
    <w:p w14:paraId="601DD463">
      <w:pPr>
        <w:ind w:firstLine="640"/>
        <w:rPr>
          <w:rFonts w:hint="eastAsia"/>
        </w:rPr>
      </w:pPr>
      <w:r>
        <w:t>需求单位及联系人：</w:t>
      </w:r>
    </w:p>
    <w:p w14:paraId="7369C303">
      <w:pPr>
        <w:ind w:firstLine="640"/>
        <w:rPr>
          <w:rFonts w:hint="eastAsia"/>
        </w:rPr>
      </w:pPr>
      <w:r>
        <w:t>东方风电 曾庆忠 18683862713</w:t>
      </w:r>
    </w:p>
    <w:p w14:paraId="3B6B3D41">
      <w:pPr>
        <w:keepNext/>
        <w:keepLines/>
        <w:ind w:firstLine="640"/>
        <w:jc w:val="both"/>
        <w:outlineLvl w:val="1"/>
        <w:rPr>
          <w:rFonts w:hint="eastAsia" w:ascii="黑体" w:hAnsi="黑体" w:eastAsia="黑体"/>
        </w:rPr>
      </w:pPr>
      <w:r>
        <w:rPr>
          <w:rFonts w:ascii="黑体" w:hAnsi="黑体" w:eastAsia="黑体"/>
        </w:rPr>
        <w:t>二、研究背景</w:t>
      </w:r>
    </w:p>
    <w:p w14:paraId="1C19C780">
      <w:pPr>
        <w:ind w:firstLine="640"/>
        <w:jc w:val="both"/>
        <w:rPr>
          <w:rFonts w:hint="eastAsia"/>
        </w:rPr>
      </w:pPr>
      <w:r>
        <w:t>随着我国海上风电产业逐步向深远海拓展并实现规模化开发，实际工程中如何在复杂海洋环境下兼顾结构安全与经济成本，已成为亟待攻克的核心难题。现阶段，海上风电机组、单桩、导管架支撑结构与风、浪、海流、地震等外部荷载存在复杂的动态耦合效应，行业尚未形成成熟的整机全系统一体化建模与协同优化技术体系。这使得现有结构设计方案普遍趋于保守，工程建造造价居高不下，同时难以对极端荷载工况下的结构安全性能开展精细化定量评估。</w:t>
      </w:r>
    </w:p>
    <w:p w14:paraId="240727A8">
      <w:pPr>
        <w:ind w:firstLine="640"/>
        <w:jc w:val="both"/>
        <w:rPr>
          <w:rFonts w:hint="eastAsia"/>
        </w:rPr>
      </w:pPr>
      <w:r>
        <w:t>面对复杂的地质条件、严苛的行业规范及迫切的成本控制需求，亟需突破多物理场耦合仿真、整机-支撑结构一体化设计与优化等关键技术。建立一体化动力学模型，形成覆盖全生命周期的一体化分析方法与支撑结构优化体系，在确保极端与疲劳工况下结构安全的同时，降低工程综合成，为我国深远海风电的高质量发展提供核心技术支撑。</w:t>
      </w:r>
    </w:p>
    <w:p w14:paraId="41892DAD">
      <w:pPr>
        <w:keepNext/>
        <w:keepLines/>
        <w:ind w:firstLine="640"/>
        <w:jc w:val="both"/>
        <w:outlineLvl w:val="1"/>
        <w:rPr>
          <w:rFonts w:hint="eastAsia" w:ascii="黑体" w:hAnsi="黑体" w:eastAsia="黑体"/>
        </w:rPr>
      </w:pPr>
      <w:r>
        <w:rPr>
          <w:rFonts w:ascii="黑体" w:hAnsi="黑体" w:eastAsia="黑体"/>
        </w:rPr>
        <w:t>三、研究内容</w:t>
      </w:r>
    </w:p>
    <w:p w14:paraId="46AA10ED">
      <w:pPr>
        <w:ind w:firstLine="640"/>
        <w:jc w:val="both"/>
        <w:rPr>
          <w:rFonts w:hint="eastAsia"/>
        </w:rPr>
      </w:pPr>
      <w:r>
        <w:t>1.海上风电整机一体化设计分析方法</w:t>
      </w:r>
    </w:p>
    <w:p w14:paraId="05582E17">
      <w:pPr>
        <w:ind w:firstLine="640"/>
        <w:jc w:val="both"/>
        <w:rPr>
          <w:rFonts w:hint="eastAsia"/>
        </w:rPr>
      </w:pPr>
      <w:r>
        <w:t>基于海上复杂环境，建立大功率海上机组气动-水动等多物理场动力学模型，研究耦合频率、动态响应特性以及风、浪、流、地震等外部条件对海上支撑结构的影响规律。开展时域数值模拟、结构校核及优化，形成大功率海上风电机组支撑结构一体化设计技术。</w:t>
      </w:r>
    </w:p>
    <w:p w14:paraId="22ECE19A">
      <w:pPr>
        <w:ind w:firstLine="640"/>
        <w:jc w:val="both"/>
        <w:rPr>
          <w:rFonts w:hint="eastAsia"/>
        </w:rPr>
      </w:pPr>
      <w:r>
        <w:t>2.大直径单桩一体化优化设计方法</w:t>
      </w:r>
    </w:p>
    <w:p w14:paraId="7497A217">
      <w:pPr>
        <w:ind w:firstLine="640"/>
        <w:jc w:val="both"/>
        <w:rPr>
          <w:rFonts w:hint="eastAsia"/>
        </w:rPr>
      </w:pPr>
      <w:r>
        <w:t>建立一种高效的大直径单桩优化设计方法。基于DNV、IEC等设计规范，归纳大直径单桩设计方法。基于虚功原理，推导泥面转角、结构强度、固有频率及关键截面疲劳损伤等设计约束关于设计变量的解析函数表达式。大幅简化全系统时域动力学迭代优化流程，在提升计算效率的同时完成单桩基础精细化结构设计。</w:t>
      </w:r>
    </w:p>
    <w:p w14:paraId="783241B1">
      <w:pPr>
        <w:ind w:firstLine="640"/>
        <w:jc w:val="both"/>
        <w:rPr>
          <w:rFonts w:hint="eastAsia"/>
        </w:rPr>
      </w:pPr>
      <w:r>
        <w:t>3.深水导管架一体化优化设计方法</w:t>
      </w:r>
    </w:p>
    <w:p w14:paraId="3B0F0E86">
      <w:pPr>
        <w:ind w:firstLine="640"/>
        <w:jc w:val="both"/>
        <w:rPr>
          <w:rFonts w:hint="eastAsia"/>
        </w:rPr>
      </w:pPr>
      <w:r>
        <w:t>建立一种高效的深水导管架优化设计方法。基于DNV、IEC等设计规范，归纳深水导管架设计方法。基于虚功原理，推导平台转角、结构强度、固有频率及节点疲劳损伤等关键约束关于设计变量的解析函数表达式，实现深水导管架结构尺寸的高精度、快速一体化优化设计。</w:t>
      </w:r>
    </w:p>
    <w:p w14:paraId="4BAD01D2">
      <w:pPr>
        <w:keepNext/>
        <w:keepLines/>
        <w:ind w:firstLine="640"/>
        <w:jc w:val="both"/>
        <w:outlineLvl w:val="1"/>
        <w:rPr>
          <w:rFonts w:hint="eastAsia" w:ascii="黑体" w:hAnsi="黑体" w:eastAsia="黑体"/>
        </w:rPr>
      </w:pPr>
      <w:r>
        <w:rPr>
          <w:rFonts w:ascii="黑体" w:hAnsi="黑体" w:eastAsia="黑体"/>
        </w:rPr>
        <w:t>四、交付成果及指标</w:t>
      </w:r>
    </w:p>
    <w:p w14:paraId="472BB8A5">
      <w:pPr>
        <w:ind w:firstLine="640"/>
        <w:jc w:val="both"/>
        <w:rPr>
          <w:rFonts w:hint="eastAsia"/>
        </w:rPr>
      </w:pPr>
      <w:r>
        <w:t>1.大直径单桩支撑结构一体化优化设计方案与方法</w:t>
      </w:r>
    </w:p>
    <w:p w14:paraId="7357663C">
      <w:pPr>
        <w:ind w:firstLine="640"/>
        <w:jc w:val="both"/>
        <w:rPr>
          <w:rFonts w:hint="eastAsia"/>
        </w:rPr>
      </w:pPr>
      <w:r>
        <w:t>一套基于虚功原理的大直径单桩数值优化算法，包含完整的优化设计方案。相比传统经验试算方法，单桩结构的整体优化计算效率具有显著提升。在满足规范约束（泥面转角、强度、频率、疲劳寿命）的前提下，对标连江项目18MW单桩设计，总用钢量降幅不低于8%。</w:t>
      </w:r>
    </w:p>
    <w:p w14:paraId="7AF9F2E5">
      <w:pPr>
        <w:ind w:firstLine="640"/>
        <w:jc w:val="both"/>
        <w:rPr>
          <w:rFonts w:hint="eastAsia"/>
        </w:rPr>
      </w:pPr>
      <w:r>
        <w:t>2.深水导管架支撑结构一体化优化设计方案与方法</w:t>
      </w:r>
    </w:p>
    <w:p w14:paraId="61E838FF">
      <w:pPr>
        <w:ind w:firstLine="640"/>
        <w:jc w:val="both"/>
        <w:rPr>
          <w:rFonts w:hint="eastAsia"/>
        </w:rPr>
      </w:pPr>
      <w:r>
        <w:t>一套基于虚功原理的适用于深水环境的导管架结构快速优化设计方法，包含针对水深超过40米场景的导管架优化设计方案。相比传统经验试算方法，导管架结构的整体优化计算效率具有显著提升。在满足规范约束（平台转角、强度、频率、疲劳寿命）的前提下，对标连江项目18MW导管架设计，导管架结构总用钢量降幅不低于8%。</w:t>
      </w:r>
    </w:p>
    <w:p w14:paraId="24DF6794">
      <w:pPr>
        <w:ind w:firstLine="640"/>
        <w:jc w:val="both"/>
        <w:rPr>
          <w:rFonts w:hint="eastAsia"/>
        </w:rPr>
      </w:pPr>
      <w:r>
        <w:t>3.商业软件接口</w:t>
      </w:r>
    </w:p>
    <w:p w14:paraId="2995638C">
      <w:pPr>
        <w:ind w:firstLine="640"/>
        <w:jc w:val="both"/>
        <w:rPr>
          <w:rFonts w:hint="eastAsia"/>
        </w:rPr>
      </w:pPr>
      <w:r>
        <w:t>标准化的 Bladed 数据交互接口，支持双向数据传输，既可从Bladed 软件读取结构模型、环境荷载与结构响应数据，也能将壁厚、直径等经优化后的设计变量反馈至原模型并完成修改。</w:t>
      </w:r>
    </w:p>
    <w:p w14:paraId="6318AFF9">
      <w:pPr>
        <w:keepNext/>
        <w:keepLines/>
        <w:ind w:firstLine="640"/>
        <w:jc w:val="both"/>
        <w:outlineLvl w:val="1"/>
        <w:rPr>
          <w:rFonts w:hint="eastAsia" w:ascii="黑体" w:hAnsi="黑体" w:eastAsia="黑体"/>
        </w:rPr>
      </w:pPr>
      <w:r>
        <w:rPr>
          <w:rFonts w:hint="eastAsia" w:ascii="黑体" w:hAnsi="黑体" w:eastAsia="黑体"/>
        </w:rPr>
        <w:t>五、</w:t>
      </w:r>
      <w:r>
        <w:rPr>
          <w:rFonts w:ascii="黑体" w:hAnsi="黑体" w:eastAsia="黑体"/>
        </w:rPr>
        <w:t>项目执行周期</w:t>
      </w:r>
    </w:p>
    <w:p w14:paraId="4523D38D">
      <w:pPr>
        <w:ind w:firstLine="640"/>
        <w:jc w:val="both"/>
        <w:rPr>
          <w:rFonts w:hint="eastAsia"/>
        </w:rPr>
      </w:pPr>
      <w:r>
        <w:t>本项目执行周期为18个月。</w:t>
      </w:r>
    </w:p>
    <w:p w14:paraId="0A7797E0">
      <w:pPr>
        <w:keepNext/>
        <w:keepLines/>
        <w:ind w:firstLine="640"/>
        <w:jc w:val="both"/>
        <w:outlineLvl w:val="1"/>
        <w:rPr>
          <w:rFonts w:hint="eastAsia" w:ascii="黑体" w:hAnsi="黑体" w:eastAsia="黑体"/>
        </w:rPr>
      </w:pPr>
      <w:r>
        <w:rPr>
          <w:rFonts w:ascii="黑体" w:hAnsi="黑体" w:eastAsia="黑体"/>
        </w:rPr>
        <w:t>六、经费概算</w:t>
      </w:r>
    </w:p>
    <w:p w14:paraId="290A2313">
      <w:pPr>
        <w:ind w:firstLine="640"/>
        <w:jc w:val="both"/>
        <w:rPr>
          <w:rFonts w:hint="eastAsia"/>
        </w:rPr>
        <w:sectPr>
          <w:headerReference r:id="rId21" w:type="default"/>
          <w:footerReference r:id="rId22" w:type="default"/>
          <w:pgSz w:w="11906" w:h="16838"/>
          <w:pgMar w:top="2098" w:right="1474" w:bottom="1984" w:left="1587" w:header="851" w:footer="1417" w:gutter="0"/>
          <w:cols w:space="720" w:num="1"/>
          <w:docGrid w:type="lines" w:linePitch="312" w:charSpace="0"/>
        </w:sectPr>
      </w:pPr>
      <w:r>
        <w:t>本项目总预算为128万元。</w:t>
      </w:r>
    </w:p>
    <w:p w14:paraId="04F05A4F">
      <w:pPr>
        <w:pStyle w:val="2"/>
        <w:rPr>
          <w:rFonts w:hint="eastAsia"/>
        </w:rPr>
      </w:pPr>
      <w:r>
        <w:t>基于磁性纤维的高灵敏风电叶片应变监测关键技术研究项目指南</w:t>
      </w:r>
    </w:p>
    <w:p w14:paraId="13C54A57">
      <w:pPr>
        <w:ind w:firstLine="0" w:firstLineChars="0"/>
        <w:jc w:val="both"/>
        <w:rPr>
          <w:rFonts w:hint="eastAsia"/>
        </w:rPr>
      </w:pPr>
    </w:p>
    <w:p w14:paraId="12C1A394">
      <w:pPr>
        <w:pStyle w:val="3"/>
        <w:ind w:firstLine="640"/>
        <w:jc w:val="both"/>
        <w:rPr>
          <w:rFonts w:hint="eastAsia"/>
        </w:rPr>
      </w:pPr>
      <w:r>
        <w:t>一、项目基本信息</w:t>
      </w:r>
    </w:p>
    <w:p w14:paraId="29AD328B">
      <w:pPr>
        <w:ind w:firstLine="640"/>
        <w:jc w:val="both"/>
        <w:rPr>
          <w:rFonts w:hint="eastAsia"/>
        </w:rPr>
      </w:pPr>
      <w:r>
        <w:t>项目类型：颠覆技术项目</w:t>
      </w:r>
    </w:p>
    <w:p w14:paraId="7478C6CD">
      <w:pPr>
        <w:ind w:firstLine="640"/>
        <w:jc w:val="both"/>
        <w:rPr>
          <w:rFonts w:hint="eastAsia"/>
        </w:rPr>
      </w:pPr>
      <w:r>
        <w:t>技术成熟度：项目完成后，预计技术成熟度达到5级</w:t>
      </w:r>
    </w:p>
    <w:p w14:paraId="586F8B2D">
      <w:pPr>
        <w:ind w:firstLine="640"/>
        <w:jc w:val="both"/>
        <w:rPr>
          <w:rFonts w:hint="eastAsia"/>
        </w:rPr>
      </w:pPr>
      <w:r>
        <w:t>需求单位及联系人：</w:t>
      </w:r>
    </w:p>
    <w:p w14:paraId="4A3B1BFB">
      <w:pPr>
        <w:ind w:firstLine="640"/>
        <w:jc w:val="both"/>
        <w:rPr>
          <w:rFonts w:hint="eastAsia"/>
        </w:rPr>
      </w:pPr>
      <w:r>
        <w:t>东方风电 杨忠 13820536702；</w:t>
      </w:r>
    </w:p>
    <w:p w14:paraId="58AD55D5">
      <w:pPr>
        <w:ind w:firstLine="640"/>
        <w:jc w:val="both"/>
        <w:rPr>
          <w:rFonts w:hint="eastAsia"/>
        </w:rPr>
      </w:pPr>
      <w:r>
        <w:t>东</w:t>
      </w:r>
      <w:r>
        <w:rPr>
          <w:rFonts w:hint="eastAsia"/>
        </w:rPr>
        <w:t>长研究院</w:t>
      </w:r>
      <w:r>
        <w:t xml:space="preserve"> 王立闻 18011491098</w:t>
      </w:r>
    </w:p>
    <w:p w14:paraId="0CC2AA91">
      <w:pPr>
        <w:pStyle w:val="3"/>
        <w:ind w:firstLine="640"/>
        <w:jc w:val="both"/>
        <w:rPr>
          <w:rFonts w:hint="eastAsia"/>
        </w:rPr>
      </w:pPr>
      <w:r>
        <w:t>二、研究背景</w:t>
      </w:r>
    </w:p>
    <w:p w14:paraId="23163C84">
      <w:pPr>
        <w:ind w:firstLine="640"/>
        <w:jc w:val="both"/>
        <w:rPr>
          <w:rFonts w:hint="eastAsia"/>
        </w:rPr>
      </w:pPr>
      <w:r>
        <w:t>风电叶片长期承受复杂交变载荷及恶劣环境作用，易发生疲劳损伤、分层和裂纹等结构缺陷，实现关键区域应变状态长期且精准监测是保障机组安全运行、提升可靠性和降低运维成本的重要技术支撑。目前叶片应变监测主要采用电阻应变片和光纤光栅等技术，存在监测范围有限、部署复杂、成本较高等问题，并且随着装备智能化和预测性维护需求不断提升，发展低成本、高可靠应变监测技术具有广阔的工程应用前景。</w:t>
      </w:r>
    </w:p>
    <w:p w14:paraId="271C6481">
      <w:pPr>
        <w:ind w:firstLine="640"/>
        <w:jc w:val="both"/>
        <w:rPr>
          <w:rFonts w:hint="eastAsia"/>
        </w:rPr>
      </w:pPr>
      <w:r>
        <w:t>磁性纤维是一种基于应力阻抗效应的新型智能传感材料，兼具高灵敏度、宽量程、快速响应、柔性可弯曲、易于与复合材料结构集成及成本低等优势，可兼顾监测性能与工程应用成本，在大型复合材料结构长期健康监测领域具有良好的应用潜力。依托磁性纤维构建应变监测技术，有望突破传统传感器部署复杂、监测成本高等瓶颈，为风电叶片提供高灵敏、低成本、易部署的应变监测新技术，支撑风电装备状态监测、寿命评估及预测性维护。</w:t>
      </w:r>
    </w:p>
    <w:p w14:paraId="07486675">
      <w:pPr>
        <w:pStyle w:val="3"/>
        <w:ind w:firstLine="640"/>
        <w:jc w:val="both"/>
        <w:rPr>
          <w:rFonts w:hint="eastAsia"/>
        </w:rPr>
      </w:pPr>
      <w:r>
        <w:t>三、研究内容</w:t>
      </w:r>
    </w:p>
    <w:p w14:paraId="7F8F55D1">
      <w:pPr>
        <w:ind w:firstLine="640"/>
        <w:jc w:val="both"/>
        <w:rPr>
          <w:rFonts w:hint="eastAsia"/>
        </w:rPr>
      </w:pPr>
      <w:r>
        <w:rPr>
          <w:rFonts w:hint="eastAsia"/>
        </w:rPr>
        <w:t>1.</w:t>
      </w:r>
      <w:r>
        <w:t>磁性纤维与复合材料集成特性研究：围绕磁性纤维在复合材料中的集成应用，研究内埋式与外贴式两种集成方式下纤维/基体界面形成及协同作用机制，揭示不同集成工艺对应变传递效率、界面结合特性及磁阻抗响应的影响规律；分析集成过程对复合材料成型质量及传感性能的作用机制，建立磁性纤维集成特性评价方法，为复合材料结构传感器集成设计提供理论依据。</w:t>
      </w:r>
    </w:p>
    <w:p w14:paraId="38DC1F6C">
      <w:pPr>
        <w:ind w:firstLine="640"/>
        <w:jc w:val="both"/>
        <w:rPr>
          <w:rFonts w:hint="eastAsia"/>
        </w:rPr>
      </w:pPr>
      <w:r>
        <w:rPr>
          <w:rFonts w:hint="eastAsia"/>
        </w:rPr>
        <w:t>2.</w:t>
      </w:r>
      <w:r>
        <w:t>磁性纤维应变监测功能研究：基于复合材料平板试件，构建内埋式和外贴式磁性纤维传感结构，研究两种集成方式下磁阻抗响应特性及应变感知规律，揭示阻抗信号与结构应变之间的关联机制；建立应变反演与监测评价方法，对比分析不同集成方式的监测灵敏度、测量精度及长期稳定性，形成磁性纤维应变监测技术。</w:t>
      </w:r>
    </w:p>
    <w:p w14:paraId="6FAE4CAC">
      <w:pPr>
        <w:ind w:firstLine="640"/>
        <w:jc w:val="both"/>
        <w:rPr>
          <w:rFonts w:hint="eastAsia"/>
        </w:rPr>
      </w:pPr>
      <w:r>
        <w:rPr>
          <w:rFonts w:hint="eastAsia"/>
        </w:rPr>
        <w:t>3.</w:t>
      </w:r>
      <w:r>
        <w:t>风电叶片典型结构试件功能验证：构建风电叶片典型结构试件，开展磁性纤维内埋式与外贴式集成验证，研究复杂结构及典型载荷作用下磁阻抗响应特性与监测性能演化规律；分析不同集成方式在复杂工况下的可靠性及环境适应性，建立功能验证与性能评价方法，验证磁性纤维在风电叶片结构健康监测中的工程应用可行性。</w:t>
      </w:r>
    </w:p>
    <w:p w14:paraId="6214D155">
      <w:pPr>
        <w:keepNext/>
        <w:keepLines/>
        <w:ind w:firstLine="640"/>
        <w:jc w:val="both"/>
        <w:outlineLvl w:val="1"/>
        <w:rPr>
          <w:rFonts w:hint="eastAsia" w:ascii="黑体" w:hAnsi="黑体" w:eastAsia="黑体"/>
        </w:rPr>
      </w:pPr>
      <w:r>
        <w:rPr>
          <w:rFonts w:ascii="黑体" w:hAnsi="黑体" w:eastAsia="黑体"/>
        </w:rPr>
        <w:t>四、交付成果及指标</w:t>
      </w:r>
    </w:p>
    <w:p w14:paraId="53AF9DF1">
      <w:pPr>
        <w:ind w:firstLine="640"/>
        <w:jc w:val="both"/>
        <w:rPr>
          <w:rFonts w:hint="eastAsia"/>
        </w:rPr>
      </w:pPr>
      <w:r>
        <w:rPr>
          <w:rFonts w:hint="eastAsia"/>
        </w:rPr>
        <w:t>1.</w:t>
      </w:r>
      <w:r>
        <w:t>交付成果</w:t>
      </w:r>
    </w:p>
    <w:p w14:paraId="134B0E41">
      <w:pPr>
        <w:ind w:firstLine="640"/>
        <w:jc w:val="both"/>
        <w:rPr>
          <w:rFonts w:hint="eastAsia"/>
        </w:rPr>
      </w:pPr>
      <w:r>
        <w:t>（1）形成磁性纤维风电叶片应变监测技术解决方案1套，包括磁性纤维选型、集成结构、集成工艺、信号采集及数据处理等内容。</w:t>
      </w:r>
    </w:p>
    <w:p w14:paraId="416E9613">
      <w:pPr>
        <w:ind w:firstLine="640"/>
        <w:jc w:val="both"/>
        <w:rPr>
          <w:rFonts w:hint="eastAsia"/>
        </w:rPr>
      </w:pPr>
      <w:r>
        <w:t>（2）建立磁性纤维应变感知理论模型1套，实现阻抗响应与表面应变之间的定量表征。</w:t>
      </w:r>
    </w:p>
    <w:p w14:paraId="4A803529">
      <w:pPr>
        <w:ind w:firstLine="640"/>
        <w:jc w:val="both"/>
        <w:rPr>
          <w:rFonts w:hint="eastAsia"/>
        </w:rPr>
      </w:pPr>
      <w:r>
        <w:t>（3）完成风电叶片典型结构试件或缩比样件功能验证1项，形成测试评价报告及相关技术文档。</w:t>
      </w:r>
    </w:p>
    <w:p w14:paraId="33845311">
      <w:pPr>
        <w:ind w:firstLine="640"/>
        <w:jc w:val="both"/>
        <w:rPr>
          <w:rFonts w:hint="eastAsia"/>
        </w:rPr>
      </w:pPr>
      <w:r>
        <w:rPr>
          <w:rFonts w:hint="eastAsia"/>
        </w:rPr>
        <w:t>2.</w:t>
      </w:r>
      <w:r>
        <w:t>关键技术指标</w:t>
      </w:r>
    </w:p>
    <w:p w14:paraId="76737F9A">
      <w:pPr>
        <w:ind w:firstLine="640"/>
        <w:jc w:val="both"/>
        <w:rPr>
          <w:rFonts w:hint="eastAsia"/>
        </w:rPr>
      </w:pPr>
      <w:r>
        <w:t>（1）建立外贴式和内埋式磁性纤维应变感知模型；</w:t>
      </w:r>
    </w:p>
    <w:p w14:paraId="47F31B46">
      <w:pPr>
        <w:ind w:firstLine="640"/>
        <w:jc w:val="both"/>
        <w:rPr>
          <w:rFonts w:hint="eastAsia"/>
        </w:rPr>
      </w:pPr>
      <w:r>
        <w:t>（2）磁性纤维应变传感器应变系数（Gauge Factor）≥100；</w:t>
      </w:r>
    </w:p>
    <w:p w14:paraId="546A2EA9">
      <w:pPr>
        <w:ind w:firstLine="640"/>
        <w:jc w:val="both"/>
        <w:rPr>
          <w:rFonts w:hint="eastAsia"/>
        </w:rPr>
      </w:pPr>
      <w:r>
        <w:t>（3）最大有效监测应变可达7000με；</w:t>
      </w:r>
    </w:p>
    <w:p w14:paraId="088CE842">
      <w:pPr>
        <w:ind w:firstLine="640"/>
        <w:jc w:val="both"/>
        <w:rPr>
          <w:rFonts w:hint="eastAsia"/>
        </w:rPr>
      </w:pPr>
      <w:r>
        <w:t>（4）传感器响应时间≤100 ms。</w:t>
      </w:r>
    </w:p>
    <w:p w14:paraId="20B6DDCE">
      <w:pPr>
        <w:keepNext/>
        <w:keepLines/>
        <w:ind w:firstLine="640"/>
        <w:jc w:val="both"/>
        <w:outlineLvl w:val="1"/>
        <w:rPr>
          <w:rFonts w:hint="eastAsia" w:ascii="黑体" w:hAnsi="黑体" w:eastAsia="黑体"/>
        </w:rPr>
      </w:pPr>
      <w:r>
        <w:rPr>
          <w:rFonts w:ascii="黑体" w:hAnsi="黑体" w:eastAsia="黑体"/>
        </w:rPr>
        <w:t>五、项目执行周期</w:t>
      </w:r>
    </w:p>
    <w:p w14:paraId="2267F9A9">
      <w:pPr>
        <w:ind w:firstLine="640"/>
        <w:jc w:val="both"/>
        <w:rPr>
          <w:rFonts w:hint="eastAsia"/>
        </w:rPr>
      </w:pPr>
      <w:r>
        <w:t>本项目执行周期为12个月。</w:t>
      </w:r>
    </w:p>
    <w:p w14:paraId="2C5F5468">
      <w:pPr>
        <w:keepNext/>
        <w:keepLines/>
        <w:ind w:firstLine="640"/>
        <w:jc w:val="both"/>
        <w:outlineLvl w:val="1"/>
        <w:rPr>
          <w:rFonts w:hint="eastAsia"/>
        </w:rPr>
      </w:pPr>
      <w:r>
        <w:rPr>
          <w:rFonts w:ascii="黑体" w:hAnsi="黑体" w:eastAsia="黑体"/>
        </w:rPr>
        <w:t>六、经费概算</w:t>
      </w:r>
    </w:p>
    <w:p w14:paraId="6035E648">
      <w:pPr>
        <w:ind w:firstLine="640"/>
        <w:jc w:val="both"/>
        <w:rPr>
          <w:rFonts w:hint="eastAsia"/>
        </w:rPr>
      </w:pPr>
      <w:r>
        <w:t>本项目总预算为50万元。</w:t>
      </w:r>
    </w:p>
    <w:p w14:paraId="0ED04375">
      <w:pPr>
        <w:pStyle w:val="3"/>
        <w:ind w:firstLine="640"/>
        <w:jc w:val="both"/>
        <w:rPr>
          <w:rFonts w:hint="eastAsia"/>
        </w:rPr>
      </w:pPr>
      <w:r>
        <w:rPr>
          <w:rFonts w:hint="eastAsia"/>
        </w:rPr>
        <w:t>七、备注</w:t>
      </w:r>
    </w:p>
    <w:p w14:paraId="66B8972C">
      <w:pPr>
        <w:ind w:firstLine="640"/>
        <w:jc w:val="both"/>
        <w:rPr>
          <w:rFonts w:hint="eastAsia"/>
          <w:color w:val="FF0000"/>
        </w:rPr>
      </w:pPr>
      <w:r>
        <w:rPr>
          <w:rFonts w:hint="eastAsia"/>
        </w:rPr>
        <w:t>为更好推动本项目成果工程应用，本项目由</w:t>
      </w:r>
      <w:r>
        <w:t>东方电气长三角（杭州）创新研究院</w:t>
      </w:r>
      <w:r>
        <w:rPr>
          <w:rFonts w:hint="eastAsia"/>
        </w:rPr>
        <w:t>（以下简称东长院）作为甲方委托给浙江大学相应团队进行研究。</w:t>
      </w:r>
    </w:p>
    <w:p w14:paraId="528C719D">
      <w:pPr>
        <w:spacing w:line="240" w:lineRule="auto"/>
        <w:ind w:firstLine="0" w:firstLineChars="0"/>
        <w:jc w:val="both"/>
        <w:rPr>
          <w:rFonts w:hint="eastAsia"/>
        </w:rPr>
      </w:pPr>
    </w:p>
    <w:p w14:paraId="70EF6CD3">
      <w:pPr>
        <w:pStyle w:val="2"/>
        <w:jc w:val="both"/>
        <w:rPr>
          <w:rFonts w:hint="eastAsia"/>
        </w:rPr>
        <w:sectPr>
          <w:headerReference r:id="rId25" w:type="first"/>
          <w:footerReference r:id="rId28" w:type="first"/>
          <w:headerReference r:id="rId23" w:type="default"/>
          <w:footerReference r:id="rId26" w:type="default"/>
          <w:headerReference r:id="rId24" w:type="even"/>
          <w:footerReference r:id="rId27" w:type="even"/>
          <w:pgSz w:w="11906" w:h="16838"/>
          <w:pgMar w:top="2098" w:right="1474" w:bottom="1984" w:left="1587" w:header="851" w:footer="1417" w:gutter="0"/>
          <w:cols w:space="720" w:num="1"/>
          <w:docGrid w:type="lines" w:linePitch="312" w:charSpace="0"/>
        </w:sectPr>
      </w:pPr>
    </w:p>
    <w:p w14:paraId="2C2EBDDC">
      <w:pPr>
        <w:pStyle w:val="2"/>
        <w:rPr>
          <w:rFonts w:hint="eastAsia"/>
        </w:rPr>
      </w:pPr>
      <w:r>
        <w:t>基于多源信息融合的叶片缺陷识别与定位技术项目指南</w:t>
      </w:r>
    </w:p>
    <w:p w14:paraId="18366748">
      <w:pPr>
        <w:ind w:firstLine="640"/>
        <w:jc w:val="both"/>
        <w:rPr>
          <w:rFonts w:hint="eastAsia"/>
        </w:rPr>
      </w:pPr>
    </w:p>
    <w:p w14:paraId="7A24FE22">
      <w:pPr>
        <w:keepNext/>
        <w:keepLines/>
        <w:ind w:firstLine="640"/>
        <w:jc w:val="both"/>
        <w:outlineLvl w:val="1"/>
        <w:rPr>
          <w:rFonts w:hint="eastAsia" w:ascii="黑体" w:hAnsi="黑体" w:eastAsia="黑体"/>
        </w:rPr>
      </w:pPr>
      <w:r>
        <w:rPr>
          <w:rFonts w:ascii="黑体" w:hAnsi="黑体" w:eastAsia="黑体"/>
        </w:rPr>
        <w:t>一、项目基本信息</w:t>
      </w:r>
    </w:p>
    <w:p w14:paraId="78365B67">
      <w:pPr>
        <w:ind w:firstLine="640"/>
        <w:jc w:val="both"/>
        <w:rPr>
          <w:rFonts w:hint="eastAsia"/>
        </w:rPr>
      </w:pPr>
      <w:r>
        <w:t>项目类型：技术提升项目</w:t>
      </w:r>
    </w:p>
    <w:p w14:paraId="585D84C3">
      <w:pPr>
        <w:ind w:firstLine="640"/>
        <w:jc w:val="both"/>
        <w:rPr>
          <w:rFonts w:hint="eastAsia"/>
        </w:rPr>
      </w:pPr>
      <w:r>
        <w:t>技术成熟度：完成模型与软件模块在甲方指定服务器及典型巡检环境中的原型验证，预计技术成熟度达到7级。</w:t>
      </w:r>
    </w:p>
    <w:p w14:paraId="16BB20E8">
      <w:pPr>
        <w:ind w:firstLine="640"/>
        <w:jc w:val="both"/>
        <w:rPr>
          <w:rFonts w:hint="eastAsia"/>
        </w:rPr>
      </w:pPr>
      <w:r>
        <w:t>需求单位及联系人：</w:t>
      </w:r>
    </w:p>
    <w:p w14:paraId="23EA259F">
      <w:pPr>
        <w:ind w:firstLine="640"/>
        <w:jc w:val="both"/>
        <w:rPr>
          <w:rFonts w:hint="eastAsia"/>
        </w:rPr>
      </w:pPr>
      <w:r>
        <w:t>东方</w:t>
      </w:r>
      <w:r>
        <w:rPr>
          <w:rFonts w:hint="eastAsia"/>
        </w:rPr>
        <w:t xml:space="preserve">风电 </w:t>
      </w:r>
      <w:r>
        <w:t>张世杰</w:t>
      </w:r>
      <w:r>
        <w:rPr>
          <w:rFonts w:hint="eastAsia"/>
        </w:rPr>
        <w:t xml:space="preserve"> </w:t>
      </w:r>
      <w:r>
        <w:t>15008356157</w:t>
      </w:r>
    </w:p>
    <w:p w14:paraId="68B20739">
      <w:pPr>
        <w:ind w:firstLine="640"/>
        <w:jc w:val="both"/>
        <w:rPr>
          <w:rFonts w:hint="eastAsia"/>
        </w:rPr>
      </w:pPr>
      <w:r>
        <w:t>东长研究院 王立闻 18011491098</w:t>
      </w:r>
    </w:p>
    <w:p w14:paraId="10CBF3F8">
      <w:pPr>
        <w:keepNext/>
        <w:keepLines/>
        <w:ind w:firstLine="640"/>
        <w:jc w:val="both"/>
        <w:outlineLvl w:val="1"/>
        <w:rPr>
          <w:rFonts w:hint="eastAsia" w:ascii="黑体" w:hAnsi="黑体" w:eastAsia="黑体"/>
        </w:rPr>
      </w:pPr>
      <w:r>
        <w:rPr>
          <w:rFonts w:ascii="黑体" w:hAnsi="黑体" w:eastAsia="黑体"/>
        </w:rPr>
        <w:t>二、研究背景</w:t>
      </w:r>
    </w:p>
    <w:p w14:paraId="7B5B37E6">
      <w:pPr>
        <w:ind w:firstLine="640"/>
        <w:jc w:val="both"/>
        <w:rPr>
          <w:rFonts w:hint="eastAsia"/>
        </w:rPr>
      </w:pPr>
      <w:r>
        <w:t>截至2025年底，我国风电累计装机6.4亿千瓦，同比增长22.9%；全球2024年新增风电装机117GW。庞大的装备存量正推动运维体系由故障后处置向数据驱动的智能诊断转型。叶片作为决定机组气动效率与结构安全的核心部件，其健康状态直接影响机组可利用率和全生命周期收益。公开综述数据显示，叶片相关问题约占机组停机时间的18%、维护成本的20%，已成为制约风电装备安全高效运行的重要因素。</w:t>
      </w:r>
    </w:p>
    <w:p w14:paraId="757C6558">
      <w:pPr>
        <w:ind w:firstLine="640"/>
        <w:jc w:val="both"/>
        <w:rPr>
          <w:rFonts w:hint="eastAsia"/>
        </w:rPr>
      </w:pPr>
      <w:r>
        <w:t>目前，风机叶片巡检已形成图像、视频和文本记录，但采集设备、视角、光照和工况差异导致数据质量不一。现有算法多面向单一图像和固定类别，在小目标缺陷、复杂背景、跨设备数据和长视频场景下性能波动；通用多模态模型又缺少叶片缺陷机理和运维规范知识，直接部署还受到模型体量、推理时延和资源占用限制。</w:t>
      </w:r>
    </w:p>
    <w:p w14:paraId="4048C54C">
      <w:pPr>
        <w:ind w:firstLine="640"/>
        <w:jc w:val="both"/>
        <w:rPr>
          <w:rFonts w:hint="eastAsia"/>
        </w:rPr>
      </w:pPr>
      <w:r>
        <w:t>本项目致力于建设面向叶片缺陷认知的多模态垂域基座模型，聚焦典型缺陷的图像识别与定位、诊断文本生成、巡检视频缺陷片段定位和甲方服务器部署，形成统一评测标准及可部署的软件模块，为智能复核和后续系统集成提供依据。</w:t>
      </w:r>
    </w:p>
    <w:p w14:paraId="42C5D6D7">
      <w:pPr>
        <w:keepNext/>
        <w:keepLines/>
        <w:ind w:firstLine="640"/>
        <w:jc w:val="both"/>
        <w:outlineLvl w:val="1"/>
        <w:rPr>
          <w:rFonts w:hint="eastAsia" w:ascii="黑体" w:hAnsi="黑体" w:eastAsia="黑体"/>
        </w:rPr>
      </w:pPr>
      <w:r>
        <w:rPr>
          <w:rFonts w:ascii="黑体" w:hAnsi="黑体" w:eastAsia="黑体"/>
        </w:rPr>
        <w:t>三、研究内容</w:t>
      </w:r>
    </w:p>
    <w:p w14:paraId="3ACFD4F7">
      <w:pPr>
        <w:ind w:firstLine="640"/>
        <w:jc w:val="both"/>
        <w:rPr>
          <w:rFonts w:hint="eastAsia"/>
        </w:rPr>
      </w:pPr>
      <w:r>
        <w:t>本项目围绕多源信息融合、智能认知与工程部署，开展四方面研究：</w:t>
      </w:r>
    </w:p>
    <w:p w14:paraId="5229DFEC">
      <w:pPr>
        <w:ind w:firstLine="640"/>
        <w:jc w:val="both"/>
        <w:rPr>
          <w:rFonts w:hint="eastAsia"/>
        </w:rPr>
      </w:pPr>
      <w:r>
        <w:rPr>
          <w:rFonts w:hint="eastAsia"/>
        </w:rPr>
        <w:t>1.</w:t>
      </w:r>
      <w:r>
        <w:t>多模态识别诊断。融合图像、视频、专业文本及维修知识，研发叶片缺陷分类、定位和诊断模型，提升复杂场景下的识别与可信诊断能力。</w:t>
      </w:r>
    </w:p>
    <w:p w14:paraId="2B80328F">
      <w:pPr>
        <w:ind w:firstLine="640"/>
        <w:jc w:val="both"/>
        <w:rPr>
          <w:rFonts w:hint="eastAsia"/>
        </w:rPr>
      </w:pPr>
      <w:r>
        <w:rPr>
          <w:rFonts w:hint="eastAsia"/>
        </w:rPr>
        <w:t>2.</w:t>
      </w:r>
      <w:r>
        <w:t>长视频理解定位。研究视频切片、关键帧筛选、缺陷时段定位、跨帧关联及结果合并，实现有效片段提取和缺陷变化分析。</w:t>
      </w:r>
    </w:p>
    <w:p w14:paraId="702058E9">
      <w:pPr>
        <w:ind w:firstLine="640"/>
        <w:jc w:val="both"/>
        <w:rPr>
          <w:rFonts w:hint="eastAsia"/>
        </w:rPr>
      </w:pPr>
      <w:r>
        <w:rPr>
          <w:rFonts w:hint="eastAsia"/>
        </w:rPr>
        <w:t>3.</w:t>
      </w:r>
      <w:r>
        <w:t>评测标准构建。构建叶片缺陷多模态模型测评体系，形成统一的测评指标、测试方法和评价流程，支撑模型性能验证、对比选型和持续迭代。</w:t>
      </w:r>
    </w:p>
    <w:p w14:paraId="23FFCEFE">
      <w:pPr>
        <w:ind w:firstLine="640"/>
        <w:jc w:val="both"/>
        <w:rPr>
          <w:rFonts w:hint="eastAsia"/>
        </w:rPr>
      </w:pPr>
      <w:r>
        <w:rPr>
          <w:rFonts w:hint="eastAsia"/>
        </w:rPr>
        <w:t>4.</w:t>
      </w:r>
      <w:r>
        <w:t>轻量化部署。通过量化、剪枝、蒸馏等技术降低资源占用和推理时延，完成接口封装、版本管理、稳定性测试及服务器部署包制作。</w:t>
      </w:r>
    </w:p>
    <w:p w14:paraId="27B4B2ED">
      <w:pPr>
        <w:keepNext/>
        <w:keepLines/>
        <w:ind w:firstLine="640"/>
        <w:jc w:val="both"/>
        <w:outlineLvl w:val="1"/>
        <w:rPr>
          <w:rFonts w:hint="eastAsia" w:ascii="黑体" w:hAnsi="黑体" w:eastAsia="黑体"/>
        </w:rPr>
      </w:pPr>
      <w:r>
        <w:rPr>
          <w:rFonts w:ascii="黑体" w:hAnsi="黑体" w:eastAsia="黑体"/>
        </w:rPr>
        <w:t>四、交付成果及验收指标</w:t>
      </w:r>
    </w:p>
    <w:p w14:paraId="5A4100F8">
      <w:pPr>
        <w:ind w:firstLine="640"/>
        <w:jc w:val="both"/>
        <w:rPr>
          <w:rFonts w:hint="eastAsia"/>
        </w:rPr>
      </w:pPr>
      <w:r>
        <w:t>交付成果如下：</w:t>
      </w:r>
    </w:p>
    <w:tbl>
      <w:tblPr>
        <w:tblStyle w:val="7"/>
        <w:tblW w:w="8725" w:type="dxa"/>
        <w:tblInd w:w="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2002"/>
        <w:gridCol w:w="1300"/>
        <w:gridCol w:w="4025"/>
      </w:tblGrid>
      <w:tr w14:paraId="355E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8" w:type="dxa"/>
            <w:tcMar>
              <w:top w:w="100" w:type="dxa"/>
              <w:left w:w="100" w:type="dxa"/>
              <w:bottom w:w="100" w:type="dxa"/>
              <w:right w:w="100" w:type="dxa"/>
            </w:tcMar>
            <w:vAlign w:val="center"/>
          </w:tcPr>
          <w:p w14:paraId="0ACEFFE4">
            <w:pPr>
              <w:spacing w:line="400" w:lineRule="exact"/>
              <w:ind w:firstLine="0" w:firstLineChars="0"/>
              <w:jc w:val="both"/>
              <w:rPr>
                <w:rFonts w:hint="eastAsia"/>
                <w:sz w:val="28"/>
                <w:szCs w:val="28"/>
              </w:rPr>
            </w:pPr>
            <w:r>
              <w:rPr>
                <w:sz w:val="28"/>
                <w:szCs w:val="28"/>
              </w:rPr>
              <w:t>类别</w:t>
            </w:r>
          </w:p>
        </w:tc>
        <w:tc>
          <w:tcPr>
            <w:tcW w:w="2002" w:type="dxa"/>
            <w:tcMar>
              <w:top w:w="100" w:type="dxa"/>
              <w:left w:w="100" w:type="dxa"/>
              <w:bottom w:w="100" w:type="dxa"/>
              <w:right w:w="100" w:type="dxa"/>
            </w:tcMar>
            <w:vAlign w:val="center"/>
          </w:tcPr>
          <w:p w14:paraId="423B807B">
            <w:pPr>
              <w:spacing w:line="400" w:lineRule="exact"/>
              <w:ind w:firstLine="0" w:firstLineChars="0"/>
              <w:jc w:val="both"/>
              <w:rPr>
                <w:rFonts w:hint="eastAsia"/>
                <w:sz w:val="28"/>
                <w:szCs w:val="28"/>
              </w:rPr>
            </w:pPr>
            <w:r>
              <w:rPr>
                <w:sz w:val="28"/>
                <w:szCs w:val="28"/>
              </w:rPr>
              <w:t>交付物</w:t>
            </w:r>
          </w:p>
        </w:tc>
        <w:tc>
          <w:tcPr>
            <w:tcW w:w="1300" w:type="dxa"/>
            <w:tcMar>
              <w:top w:w="100" w:type="dxa"/>
              <w:left w:w="100" w:type="dxa"/>
              <w:bottom w:w="100" w:type="dxa"/>
              <w:right w:w="100" w:type="dxa"/>
            </w:tcMar>
            <w:vAlign w:val="center"/>
          </w:tcPr>
          <w:p w14:paraId="7FBCC06D">
            <w:pPr>
              <w:spacing w:line="400" w:lineRule="exact"/>
              <w:ind w:firstLine="0" w:firstLineChars="0"/>
              <w:jc w:val="both"/>
              <w:rPr>
                <w:rFonts w:hint="eastAsia"/>
                <w:sz w:val="28"/>
                <w:szCs w:val="28"/>
              </w:rPr>
            </w:pPr>
            <w:r>
              <w:rPr>
                <w:sz w:val="28"/>
                <w:szCs w:val="28"/>
              </w:rPr>
              <w:t>数量</w:t>
            </w:r>
          </w:p>
        </w:tc>
        <w:tc>
          <w:tcPr>
            <w:tcW w:w="4025" w:type="dxa"/>
            <w:tcMar>
              <w:top w:w="100" w:type="dxa"/>
              <w:left w:w="100" w:type="dxa"/>
              <w:bottom w:w="100" w:type="dxa"/>
              <w:right w:w="100" w:type="dxa"/>
            </w:tcMar>
            <w:vAlign w:val="center"/>
          </w:tcPr>
          <w:p w14:paraId="072F1C53">
            <w:pPr>
              <w:spacing w:line="400" w:lineRule="exact"/>
              <w:ind w:firstLine="0" w:firstLineChars="0"/>
              <w:jc w:val="both"/>
              <w:rPr>
                <w:rFonts w:hint="eastAsia"/>
                <w:sz w:val="28"/>
                <w:szCs w:val="28"/>
              </w:rPr>
            </w:pPr>
            <w:r>
              <w:rPr>
                <w:sz w:val="28"/>
                <w:szCs w:val="28"/>
              </w:rPr>
              <w:t>具体内容</w:t>
            </w:r>
          </w:p>
        </w:tc>
      </w:tr>
      <w:tr w14:paraId="23C3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8" w:type="dxa"/>
            <w:tcMar>
              <w:top w:w="100" w:type="dxa"/>
              <w:left w:w="100" w:type="dxa"/>
              <w:bottom w:w="100" w:type="dxa"/>
              <w:right w:w="100" w:type="dxa"/>
            </w:tcMar>
            <w:vAlign w:val="center"/>
          </w:tcPr>
          <w:p w14:paraId="7BCBC00E">
            <w:pPr>
              <w:spacing w:line="400" w:lineRule="exact"/>
              <w:ind w:firstLine="0" w:firstLineChars="0"/>
              <w:jc w:val="both"/>
              <w:rPr>
                <w:rFonts w:hint="eastAsia"/>
                <w:sz w:val="28"/>
                <w:szCs w:val="28"/>
              </w:rPr>
            </w:pPr>
            <w:r>
              <w:rPr>
                <w:sz w:val="28"/>
                <w:szCs w:val="28"/>
              </w:rPr>
              <w:t>模型/算法</w:t>
            </w:r>
          </w:p>
        </w:tc>
        <w:tc>
          <w:tcPr>
            <w:tcW w:w="2002" w:type="dxa"/>
            <w:tcMar>
              <w:top w:w="100" w:type="dxa"/>
              <w:left w:w="100" w:type="dxa"/>
              <w:bottom w:w="100" w:type="dxa"/>
              <w:right w:w="100" w:type="dxa"/>
            </w:tcMar>
            <w:vAlign w:val="center"/>
          </w:tcPr>
          <w:p w14:paraId="5293E606">
            <w:pPr>
              <w:spacing w:line="400" w:lineRule="exact"/>
              <w:ind w:firstLine="0" w:firstLineChars="0"/>
              <w:jc w:val="both"/>
              <w:rPr>
                <w:rFonts w:hint="eastAsia"/>
                <w:sz w:val="28"/>
                <w:szCs w:val="28"/>
              </w:rPr>
            </w:pPr>
            <w:r>
              <w:rPr>
                <w:sz w:val="28"/>
                <w:szCs w:val="28"/>
              </w:rPr>
              <w:t>面向叶片缺陷认知的多模态垂域基座模型</w:t>
            </w:r>
          </w:p>
        </w:tc>
        <w:tc>
          <w:tcPr>
            <w:tcW w:w="1300" w:type="dxa"/>
            <w:tcMar>
              <w:top w:w="100" w:type="dxa"/>
              <w:left w:w="100" w:type="dxa"/>
              <w:bottom w:w="100" w:type="dxa"/>
              <w:right w:w="100" w:type="dxa"/>
            </w:tcMar>
            <w:vAlign w:val="center"/>
          </w:tcPr>
          <w:p w14:paraId="0EEC67A6">
            <w:pPr>
              <w:spacing w:line="400" w:lineRule="exact"/>
              <w:ind w:firstLine="0" w:firstLineChars="0"/>
              <w:jc w:val="both"/>
              <w:rPr>
                <w:rFonts w:hint="eastAsia"/>
                <w:sz w:val="28"/>
                <w:szCs w:val="28"/>
              </w:rPr>
            </w:pPr>
            <w:r>
              <w:rPr>
                <w:sz w:val="28"/>
                <w:szCs w:val="28"/>
              </w:rPr>
              <w:t>1套</w:t>
            </w:r>
          </w:p>
        </w:tc>
        <w:tc>
          <w:tcPr>
            <w:tcW w:w="4025" w:type="dxa"/>
            <w:tcMar>
              <w:top w:w="100" w:type="dxa"/>
              <w:left w:w="100" w:type="dxa"/>
              <w:bottom w:w="100" w:type="dxa"/>
              <w:right w:w="100" w:type="dxa"/>
            </w:tcMar>
            <w:vAlign w:val="center"/>
          </w:tcPr>
          <w:p w14:paraId="1E50FB43">
            <w:pPr>
              <w:spacing w:line="400" w:lineRule="exact"/>
              <w:ind w:firstLine="0" w:firstLineChars="0"/>
              <w:jc w:val="both"/>
              <w:rPr>
                <w:rFonts w:hint="eastAsia"/>
                <w:sz w:val="28"/>
                <w:szCs w:val="28"/>
              </w:rPr>
            </w:pPr>
            <w:r>
              <w:rPr>
                <w:sz w:val="28"/>
                <w:szCs w:val="28"/>
              </w:rPr>
              <w:t>含模型权重或适配参数、推理服务、配置文件、模型卡、接口文档和详细描述训练方法和过程的技术报告，模型可与甲方指定服务器集成。</w:t>
            </w:r>
          </w:p>
        </w:tc>
      </w:tr>
      <w:tr w14:paraId="15D7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8" w:type="dxa"/>
            <w:tcMar>
              <w:top w:w="100" w:type="dxa"/>
              <w:left w:w="100" w:type="dxa"/>
              <w:bottom w:w="100" w:type="dxa"/>
              <w:right w:w="100" w:type="dxa"/>
            </w:tcMar>
            <w:vAlign w:val="center"/>
          </w:tcPr>
          <w:p w14:paraId="2FD0CF0C">
            <w:pPr>
              <w:spacing w:line="400" w:lineRule="exact"/>
              <w:ind w:firstLine="0" w:firstLineChars="0"/>
              <w:jc w:val="both"/>
              <w:rPr>
                <w:rFonts w:hint="eastAsia"/>
                <w:sz w:val="28"/>
                <w:szCs w:val="28"/>
              </w:rPr>
            </w:pPr>
            <w:r>
              <w:rPr>
                <w:sz w:val="28"/>
                <w:szCs w:val="28"/>
              </w:rPr>
              <w:t>软件</w:t>
            </w:r>
          </w:p>
        </w:tc>
        <w:tc>
          <w:tcPr>
            <w:tcW w:w="2002" w:type="dxa"/>
            <w:tcMar>
              <w:top w:w="100" w:type="dxa"/>
              <w:left w:w="100" w:type="dxa"/>
              <w:bottom w:w="100" w:type="dxa"/>
              <w:right w:w="100" w:type="dxa"/>
            </w:tcMar>
            <w:vAlign w:val="center"/>
          </w:tcPr>
          <w:p w14:paraId="78A3BBF9">
            <w:pPr>
              <w:spacing w:line="400" w:lineRule="exact"/>
              <w:ind w:firstLine="0" w:firstLineChars="0"/>
              <w:jc w:val="both"/>
              <w:rPr>
                <w:rFonts w:hint="eastAsia"/>
                <w:sz w:val="28"/>
                <w:szCs w:val="28"/>
              </w:rPr>
            </w:pPr>
            <w:r>
              <w:rPr>
                <w:sz w:val="28"/>
                <w:szCs w:val="28"/>
              </w:rPr>
              <w:t>巡检视频长时序理解与缺陷时空定位模块</w:t>
            </w:r>
          </w:p>
        </w:tc>
        <w:tc>
          <w:tcPr>
            <w:tcW w:w="1300" w:type="dxa"/>
            <w:tcMar>
              <w:top w:w="100" w:type="dxa"/>
              <w:left w:w="100" w:type="dxa"/>
              <w:bottom w:w="100" w:type="dxa"/>
              <w:right w:w="100" w:type="dxa"/>
            </w:tcMar>
            <w:vAlign w:val="center"/>
          </w:tcPr>
          <w:p w14:paraId="3C6F3DA3">
            <w:pPr>
              <w:spacing w:line="400" w:lineRule="exact"/>
              <w:ind w:firstLine="0" w:firstLineChars="0"/>
              <w:jc w:val="both"/>
              <w:rPr>
                <w:rFonts w:hint="eastAsia"/>
                <w:sz w:val="28"/>
                <w:szCs w:val="28"/>
              </w:rPr>
            </w:pPr>
            <w:r>
              <w:rPr>
                <w:sz w:val="28"/>
                <w:szCs w:val="28"/>
              </w:rPr>
              <w:t>1套</w:t>
            </w:r>
          </w:p>
        </w:tc>
        <w:tc>
          <w:tcPr>
            <w:tcW w:w="4025" w:type="dxa"/>
            <w:tcMar>
              <w:top w:w="100" w:type="dxa"/>
              <w:left w:w="100" w:type="dxa"/>
              <w:bottom w:w="100" w:type="dxa"/>
              <w:right w:w="100" w:type="dxa"/>
            </w:tcMar>
            <w:vAlign w:val="center"/>
          </w:tcPr>
          <w:p w14:paraId="129C6B90">
            <w:pPr>
              <w:spacing w:line="400" w:lineRule="exact"/>
              <w:ind w:firstLine="0" w:firstLineChars="0"/>
              <w:jc w:val="both"/>
              <w:rPr>
                <w:rFonts w:hint="eastAsia"/>
                <w:sz w:val="28"/>
                <w:szCs w:val="28"/>
              </w:rPr>
            </w:pPr>
            <w:r>
              <w:rPr>
                <w:sz w:val="28"/>
                <w:szCs w:val="28"/>
              </w:rPr>
              <w:t>具备视频切片、关键帧筛选、缺陷片段定位、证据导出和结果查询接口，可运行于甲方提供平台。</w:t>
            </w:r>
          </w:p>
        </w:tc>
      </w:tr>
      <w:tr w14:paraId="1E8E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8" w:type="dxa"/>
            <w:tcMar>
              <w:top w:w="100" w:type="dxa"/>
              <w:left w:w="100" w:type="dxa"/>
              <w:bottom w:w="100" w:type="dxa"/>
              <w:right w:w="100" w:type="dxa"/>
            </w:tcMar>
            <w:vAlign w:val="center"/>
          </w:tcPr>
          <w:p w14:paraId="79540C6C">
            <w:pPr>
              <w:spacing w:line="400" w:lineRule="exact"/>
              <w:ind w:firstLine="0" w:firstLineChars="0"/>
              <w:jc w:val="both"/>
              <w:rPr>
                <w:rFonts w:hint="eastAsia"/>
                <w:sz w:val="28"/>
                <w:szCs w:val="28"/>
              </w:rPr>
            </w:pPr>
            <w:r>
              <w:rPr>
                <w:sz w:val="28"/>
                <w:szCs w:val="28"/>
              </w:rPr>
              <w:t>方法/标准</w:t>
            </w:r>
          </w:p>
        </w:tc>
        <w:tc>
          <w:tcPr>
            <w:tcW w:w="2002" w:type="dxa"/>
            <w:tcMar>
              <w:top w:w="100" w:type="dxa"/>
              <w:left w:w="100" w:type="dxa"/>
              <w:bottom w:w="100" w:type="dxa"/>
              <w:right w:w="100" w:type="dxa"/>
            </w:tcMar>
            <w:vAlign w:val="center"/>
          </w:tcPr>
          <w:p w14:paraId="286D8FB6">
            <w:pPr>
              <w:spacing w:line="400" w:lineRule="exact"/>
              <w:ind w:firstLine="0" w:firstLineChars="0"/>
              <w:jc w:val="both"/>
              <w:rPr>
                <w:rFonts w:hint="eastAsia"/>
                <w:sz w:val="28"/>
                <w:szCs w:val="28"/>
              </w:rPr>
            </w:pPr>
            <w:r>
              <w:rPr>
                <w:sz w:val="28"/>
                <w:szCs w:val="28"/>
              </w:rPr>
              <w:t>风机叶片缺陷多模态识别与视频定位评测标准</w:t>
            </w:r>
          </w:p>
        </w:tc>
        <w:tc>
          <w:tcPr>
            <w:tcW w:w="1300" w:type="dxa"/>
            <w:tcMar>
              <w:top w:w="100" w:type="dxa"/>
              <w:left w:w="100" w:type="dxa"/>
              <w:bottom w:w="100" w:type="dxa"/>
              <w:right w:w="100" w:type="dxa"/>
            </w:tcMar>
            <w:vAlign w:val="center"/>
          </w:tcPr>
          <w:p w14:paraId="0E2EF1FE">
            <w:pPr>
              <w:spacing w:line="400" w:lineRule="exact"/>
              <w:ind w:firstLine="0" w:firstLineChars="0"/>
              <w:jc w:val="both"/>
              <w:rPr>
                <w:rFonts w:hint="eastAsia"/>
                <w:sz w:val="28"/>
                <w:szCs w:val="28"/>
              </w:rPr>
            </w:pPr>
            <w:r>
              <w:rPr>
                <w:sz w:val="28"/>
                <w:szCs w:val="28"/>
              </w:rPr>
              <w:t>1套</w:t>
            </w:r>
          </w:p>
        </w:tc>
        <w:tc>
          <w:tcPr>
            <w:tcW w:w="4025" w:type="dxa"/>
            <w:tcMar>
              <w:top w:w="100" w:type="dxa"/>
              <w:left w:w="100" w:type="dxa"/>
              <w:bottom w:w="100" w:type="dxa"/>
              <w:right w:w="100" w:type="dxa"/>
            </w:tcMar>
            <w:vAlign w:val="center"/>
          </w:tcPr>
          <w:p w14:paraId="3A064B94">
            <w:pPr>
              <w:spacing w:line="400" w:lineRule="exact"/>
              <w:ind w:firstLine="0" w:firstLineChars="0"/>
              <w:jc w:val="both"/>
              <w:rPr>
                <w:rFonts w:hint="eastAsia"/>
                <w:sz w:val="28"/>
                <w:szCs w:val="28"/>
              </w:rPr>
            </w:pPr>
            <w:r>
              <w:rPr>
                <w:sz w:val="28"/>
                <w:szCs w:val="28"/>
              </w:rPr>
              <w:t>覆盖数据质量、图像识别、空间定位、诊断生成、视频定位、鲁棒性和部署性能7个维度；含指标公式、抽样规则、测试流程、评分阈值和报告模板。</w:t>
            </w:r>
          </w:p>
        </w:tc>
      </w:tr>
      <w:tr w14:paraId="3F35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8" w:type="dxa"/>
            <w:tcMar>
              <w:top w:w="100" w:type="dxa"/>
              <w:left w:w="100" w:type="dxa"/>
              <w:bottom w:w="100" w:type="dxa"/>
              <w:right w:w="100" w:type="dxa"/>
            </w:tcMar>
            <w:vAlign w:val="center"/>
          </w:tcPr>
          <w:p w14:paraId="54AD292B">
            <w:pPr>
              <w:spacing w:line="400" w:lineRule="exact"/>
              <w:ind w:firstLine="0" w:firstLineChars="0"/>
              <w:jc w:val="both"/>
              <w:rPr>
                <w:rFonts w:hint="eastAsia"/>
                <w:sz w:val="28"/>
                <w:szCs w:val="28"/>
              </w:rPr>
            </w:pPr>
            <w:r>
              <w:rPr>
                <w:sz w:val="28"/>
                <w:szCs w:val="28"/>
              </w:rPr>
              <w:t>软件</w:t>
            </w:r>
          </w:p>
        </w:tc>
        <w:tc>
          <w:tcPr>
            <w:tcW w:w="2002" w:type="dxa"/>
            <w:tcMar>
              <w:top w:w="100" w:type="dxa"/>
              <w:left w:w="100" w:type="dxa"/>
              <w:bottom w:w="100" w:type="dxa"/>
              <w:right w:w="100" w:type="dxa"/>
            </w:tcMar>
            <w:vAlign w:val="center"/>
          </w:tcPr>
          <w:p w14:paraId="1211315D">
            <w:pPr>
              <w:spacing w:line="400" w:lineRule="exact"/>
              <w:ind w:firstLine="0" w:firstLineChars="0"/>
              <w:jc w:val="both"/>
              <w:rPr>
                <w:rFonts w:hint="eastAsia"/>
                <w:sz w:val="28"/>
                <w:szCs w:val="28"/>
              </w:rPr>
            </w:pPr>
            <w:r>
              <w:rPr>
                <w:sz w:val="28"/>
                <w:szCs w:val="28"/>
              </w:rPr>
              <w:t>配套评测工具</w:t>
            </w:r>
          </w:p>
        </w:tc>
        <w:tc>
          <w:tcPr>
            <w:tcW w:w="1300" w:type="dxa"/>
            <w:tcMar>
              <w:top w:w="100" w:type="dxa"/>
              <w:left w:w="100" w:type="dxa"/>
              <w:bottom w:w="100" w:type="dxa"/>
              <w:right w:w="100" w:type="dxa"/>
            </w:tcMar>
            <w:vAlign w:val="center"/>
          </w:tcPr>
          <w:p w14:paraId="389F6EFD">
            <w:pPr>
              <w:spacing w:line="400" w:lineRule="exact"/>
              <w:ind w:firstLine="0" w:firstLineChars="0"/>
              <w:jc w:val="both"/>
              <w:rPr>
                <w:rFonts w:hint="eastAsia"/>
                <w:sz w:val="28"/>
                <w:szCs w:val="28"/>
              </w:rPr>
            </w:pPr>
            <w:r>
              <w:rPr>
                <w:sz w:val="28"/>
                <w:szCs w:val="28"/>
              </w:rPr>
              <w:t>1套</w:t>
            </w:r>
          </w:p>
        </w:tc>
        <w:tc>
          <w:tcPr>
            <w:tcW w:w="4025" w:type="dxa"/>
            <w:tcMar>
              <w:top w:w="100" w:type="dxa"/>
              <w:left w:w="100" w:type="dxa"/>
              <w:bottom w:w="100" w:type="dxa"/>
              <w:right w:w="100" w:type="dxa"/>
            </w:tcMar>
            <w:vAlign w:val="center"/>
          </w:tcPr>
          <w:p w14:paraId="5771AE36">
            <w:pPr>
              <w:spacing w:line="400" w:lineRule="exact"/>
              <w:ind w:firstLine="0" w:firstLineChars="0"/>
              <w:jc w:val="both"/>
              <w:rPr>
                <w:rFonts w:hint="eastAsia"/>
                <w:sz w:val="28"/>
                <w:szCs w:val="28"/>
              </w:rPr>
            </w:pPr>
            <w:r>
              <w:rPr>
                <w:sz w:val="28"/>
                <w:szCs w:val="28"/>
              </w:rPr>
              <w:t>可导入测试结果、计算主要指标并导出标准化报告；交付安装说明和操作说明。</w:t>
            </w:r>
          </w:p>
        </w:tc>
      </w:tr>
      <w:tr w14:paraId="6FAB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8" w:type="dxa"/>
            <w:tcMar>
              <w:top w:w="100" w:type="dxa"/>
              <w:left w:w="100" w:type="dxa"/>
              <w:bottom w:w="100" w:type="dxa"/>
              <w:right w:w="100" w:type="dxa"/>
            </w:tcMar>
            <w:vAlign w:val="center"/>
          </w:tcPr>
          <w:p w14:paraId="74267175">
            <w:pPr>
              <w:spacing w:line="400" w:lineRule="exact"/>
              <w:ind w:firstLine="0" w:firstLineChars="0"/>
              <w:jc w:val="both"/>
              <w:rPr>
                <w:rFonts w:hint="eastAsia"/>
                <w:sz w:val="28"/>
                <w:szCs w:val="28"/>
              </w:rPr>
            </w:pPr>
            <w:r>
              <w:rPr>
                <w:sz w:val="28"/>
                <w:szCs w:val="28"/>
              </w:rPr>
              <w:t>软件/文档</w:t>
            </w:r>
          </w:p>
        </w:tc>
        <w:tc>
          <w:tcPr>
            <w:tcW w:w="2002" w:type="dxa"/>
            <w:tcMar>
              <w:top w:w="100" w:type="dxa"/>
              <w:left w:w="100" w:type="dxa"/>
              <w:bottom w:w="100" w:type="dxa"/>
              <w:right w:w="100" w:type="dxa"/>
            </w:tcMar>
            <w:vAlign w:val="center"/>
          </w:tcPr>
          <w:p w14:paraId="01DB9D21">
            <w:pPr>
              <w:spacing w:line="400" w:lineRule="exact"/>
              <w:ind w:firstLine="0" w:firstLineChars="0"/>
              <w:jc w:val="both"/>
              <w:rPr>
                <w:rFonts w:hint="eastAsia"/>
                <w:sz w:val="28"/>
                <w:szCs w:val="28"/>
              </w:rPr>
            </w:pPr>
            <w:r>
              <w:rPr>
                <w:sz w:val="28"/>
                <w:szCs w:val="28"/>
              </w:rPr>
              <w:t>轻量化部署包及验收文档</w:t>
            </w:r>
          </w:p>
        </w:tc>
        <w:tc>
          <w:tcPr>
            <w:tcW w:w="1300" w:type="dxa"/>
            <w:tcMar>
              <w:top w:w="100" w:type="dxa"/>
              <w:left w:w="100" w:type="dxa"/>
              <w:bottom w:w="100" w:type="dxa"/>
              <w:right w:w="100" w:type="dxa"/>
            </w:tcMar>
            <w:vAlign w:val="center"/>
          </w:tcPr>
          <w:p w14:paraId="6127A5C5">
            <w:pPr>
              <w:spacing w:line="400" w:lineRule="exact"/>
              <w:ind w:firstLine="0" w:firstLineChars="0"/>
              <w:jc w:val="both"/>
              <w:rPr>
                <w:rFonts w:hint="eastAsia"/>
                <w:sz w:val="28"/>
                <w:szCs w:val="28"/>
              </w:rPr>
            </w:pPr>
            <w:r>
              <w:rPr>
                <w:sz w:val="28"/>
                <w:szCs w:val="28"/>
              </w:rPr>
              <w:t>1套</w:t>
            </w:r>
          </w:p>
        </w:tc>
        <w:tc>
          <w:tcPr>
            <w:tcW w:w="4025" w:type="dxa"/>
            <w:tcMar>
              <w:top w:w="100" w:type="dxa"/>
              <w:left w:w="100" w:type="dxa"/>
              <w:bottom w:w="100" w:type="dxa"/>
              <w:right w:w="100" w:type="dxa"/>
            </w:tcMar>
            <w:vAlign w:val="center"/>
          </w:tcPr>
          <w:p w14:paraId="490F6BE8">
            <w:pPr>
              <w:spacing w:line="400" w:lineRule="exact"/>
              <w:ind w:firstLine="0" w:firstLineChars="0"/>
              <w:jc w:val="both"/>
              <w:rPr>
                <w:rFonts w:hint="eastAsia"/>
                <w:sz w:val="28"/>
                <w:szCs w:val="28"/>
              </w:rPr>
            </w:pPr>
            <w:r>
              <w:rPr>
                <w:sz w:val="28"/>
                <w:szCs w:val="28"/>
              </w:rPr>
              <w:t>含容器镜像或安装脚本、运行配置、API文档、用户手册、部署手册和测试报告各1份。</w:t>
            </w:r>
          </w:p>
        </w:tc>
      </w:tr>
      <w:tr w14:paraId="2E5C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98" w:type="dxa"/>
            <w:tcMar>
              <w:top w:w="100" w:type="dxa"/>
              <w:left w:w="100" w:type="dxa"/>
              <w:bottom w:w="100" w:type="dxa"/>
              <w:right w:w="100" w:type="dxa"/>
            </w:tcMar>
            <w:vAlign w:val="center"/>
          </w:tcPr>
          <w:p w14:paraId="2133BCB4">
            <w:pPr>
              <w:spacing w:line="400" w:lineRule="exact"/>
              <w:ind w:firstLine="0" w:firstLineChars="0"/>
              <w:jc w:val="both"/>
              <w:rPr>
                <w:rFonts w:hint="eastAsia"/>
                <w:sz w:val="28"/>
                <w:szCs w:val="28"/>
              </w:rPr>
            </w:pPr>
            <w:r>
              <w:rPr>
                <w:sz w:val="28"/>
                <w:szCs w:val="28"/>
              </w:rPr>
              <w:t>知识产权</w:t>
            </w:r>
          </w:p>
        </w:tc>
        <w:tc>
          <w:tcPr>
            <w:tcW w:w="2002" w:type="dxa"/>
            <w:tcMar>
              <w:top w:w="100" w:type="dxa"/>
              <w:left w:w="100" w:type="dxa"/>
              <w:bottom w:w="100" w:type="dxa"/>
              <w:right w:w="100" w:type="dxa"/>
            </w:tcMar>
            <w:vAlign w:val="center"/>
          </w:tcPr>
          <w:p w14:paraId="58DB048E">
            <w:pPr>
              <w:spacing w:line="400" w:lineRule="exact"/>
              <w:ind w:firstLine="0" w:firstLineChars="0"/>
              <w:jc w:val="both"/>
              <w:rPr>
                <w:rFonts w:hint="eastAsia"/>
                <w:sz w:val="28"/>
                <w:szCs w:val="28"/>
              </w:rPr>
            </w:pPr>
            <w:r>
              <w:rPr>
                <w:sz w:val="28"/>
                <w:szCs w:val="28"/>
              </w:rPr>
              <w:t>发明专利</w:t>
            </w:r>
          </w:p>
        </w:tc>
        <w:tc>
          <w:tcPr>
            <w:tcW w:w="1300" w:type="dxa"/>
            <w:tcMar>
              <w:top w:w="100" w:type="dxa"/>
              <w:left w:w="100" w:type="dxa"/>
              <w:bottom w:w="100" w:type="dxa"/>
              <w:right w:w="100" w:type="dxa"/>
            </w:tcMar>
            <w:vAlign w:val="center"/>
          </w:tcPr>
          <w:p w14:paraId="654A9A25">
            <w:pPr>
              <w:spacing w:line="400" w:lineRule="exact"/>
              <w:ind w:firstLine="0" w:firstLineChars="0"/>
              <w:jc w:val="both"/>
              <w:rPr>
                <w:rFonts w:hint="eastAsia"/>
                <w:sz w:val="28"/>
                <w:szCs w:val="28"/>
              </w:rPr>
            </w:pPr>
            <w:r>
              <w:rPr>
                <w:sz w:val="28"/>
                <w:szCs w:val="28"/>
              </w:rPr>
              <w:t>≥2项</w:t>
            </w:r>
          </w:p>
        </w:tc>
        <w:tc>
          <w:tcPr>
            <w:tcW w:w="4025" w:type="dxa"/>
            <w:tcMar>
              <w:top w:w="100" w:type="dxa"/>
              <w:left w:w="100" w:type="dxa"/>
              <w:bottom w:w="100" w:type="dxa"/>
              <w:right w:w="100" w:type="dxa"/>
            </w:tcMar>
            <w:vAlign w:val="center"/>
          </w:tcPr>
          <w:p w14:paraId="7A08601E">
            <w:pPr>
              <w:spacing w:line="400" w:lineRule="exact"/>
              <w:ind w:firstLine="0" w:firstLineChars="0"/>
              <w:jc w:val="both"/>
              <w:rPr>
                <w:rFonts w:hint="eastAsia"/>
                <w:sz w:val="28"/>
                <w:szCs w:val="28"/>
              </w:rPr>
            </w:pPr>
            <w:r>
              <w:rPr>
                <w:sz w:val="28"/>
                <w:szCs w:val="28"/>
              </w:rPr>
              <w:t>由国家知识产权局授权并维持有效的发明专利，技术领域与叶片缺陷识别或多模态模型相关</w:t>
            </w:r>
          </w:p>
        </w:tc>
      </w:tr>
    </w:tbl>
    <w:p w14:paraId="29FE0B81">
      <w:pPr>
        <w:ind w:firstLine="640"/>
        <w:jc w:val="both"/>
        <w:rPr>
          <w:rFonts w:hint="eastAsia"/>
        </w:rPr>
      </w:pPr>
      <w:r>
        <w:t>基于双方确认的测试方案和测试数据，测试数据由甲方依法合规提供或指定，覆盖裂纹、破损、雷击、腐蚀、覆冰、涂层脱落等不少于10类典型缺陷检测，具体验收指标如下：</w:t>
      </w:r>
    </w:p>
    <w:p w14:paraId="120C27F0">
      <w:pPr>
        <w:ind w:firstLine="640"/>
        <w:jc w:val="both"/>
        <w:rPr>
          <w:rFonts w:hint="eastAsia"/>
        </w:rPr>
      </w:pPr>
      <w:r>
        <w:t>静态图像缺陷识别准确率、召回率均不低于85%，定位mAP@0.5不低于0.70</w:t>
      </w:r>
      <w:r>
        <w:rPr>
          <w:rFonts w:hint="eastAsia"/>
        </w:rPr>
        <w:t>。</w:t>
      </w:r>
      <w:r>
        <w:t>视频缺陷片段定位召回率不低于85%，时间边界平均误差不超过3秒</w:t>
      </w:r>
      <w:r>
        <w:rPr>
          <w:rFonts w:hint="eastAsia"/>
        </w:rPr>
        <w:t>。</w:t>
      </w:r>
      <w:r>
        <w:t>轻量化模型在甲方服务器上稳定运行，模型存储空间降低不低于20%。</w:t>
      </w:r>
    </w:p>
    <w:p w14:paraId="7764CE04">
      <w:pPr>
        <w:keepNext/>
        <w:keepLines/>
        <w:ind w:firstLine="640"/>
        <w:jc w:val="both"/>
        <w:outlineLvl w:val="1"/>
        <w:rPr>
          <w:rFonts w:hint="eastAsia" w:ascii="黑体" w:hAnsi="黑体" w:eastAsia="黑体"/>
        </w:rPr>
      </w:pPr>
      <w:r>
        <w:rPr>
          <w:rFonts w:ascii="黑体" w:hAnsi="黑体" w:eastAsia="黑体"/>
        </w:rPr>
        <w:t>五、项目执行周期</w:t>
      </w:r>
    </w:p>
    <w:p w14:paraId="7140799E">
      <w:pPr>
        <w:ind w:firstLine="640"/>
        <w:jc w:val="both"/>
        <w:rPr>
          <w:rFonts w:hint="eastAsia"/>
        </w:rPr>
      </w:pPr>
      <w:r>
        <w:t>本项目执行周期为24个月。</w:t>
      </w:r>
    </w:p>
    <w:p w14:paraId="5186A081">
      <w:pPr>
        <w:keepNext/>
        <w:keepLines/>
        <w:ind w:firstLine="640"/>
        <w:jc w:val="both"/>
        <w:outlineLvl w:val="1"/>
        <w:rPr>
          <w:rFonts w:hint="eastAsia" w:ascii="黑体" w:hAnsi="黑体" w:eastAsia="黑体"/>
        </w:rPr>
      </w:pPr>
      <w:r>
        <w:rPr>
          <w:rFonts w:ascii="黑体" w:hAnsi="黑体" w:eastAsia="黑体"/>
        </w:rPr>
        <w:t>六、经费概算</w:t>
      </w:r>
    </w:p>
    <w:p w14:paraId="34C84350">
      <w:pPr>
        <w:ind w:firstLine="640"/>
        <w:jc w:val="both"/>
        <w:rPr>
          <w:rFonts w:hint="eastAsia"/>
        </w:rPr>
      </w:pPr>
      <w:r>
        <w:t>本项目总预算为130万元。</w:t>
      </w:r>
    </w:p>
    <w:p w14:paraId="01CB34B9">
      <w:pPr>
        <w:ind w:firstLine="640"/>
        <w:jc w:val="both"/>
        <w:rPr>
          <w:rFonts w:hint="eastAsia"/>
        </w:rPr>
        <w:sectPr>
          <w:footerReference r:id="rId29" w:type="default"/>
          <w:pgSz w:w="11906" w:h="16838"/>
          <w:pgMar w:top="2098" w:right="1474" w:bottom="1984" w:left="1587" w:header="851" w:footer="1417" w:gutter="0"/>
          <w:cols w:space="720" w:num="1"/>
          <w:docGrid w:type="lines" w:linePitch="312" w:charSpace="0"/>
        </w:sectPr>
      </w:pPr>
    </w:p>
    <w:p w14:paraId="6BB25CD2">
      <w:pPr>
        <w:pStyle w:val="2"/>
        <w:rPr>
          <w:rFonts w:hint="eastAsia"/>
        </w:rPr>
      </w:pPr>
      <w:r>
        <w:t>交错并联及风储一体构网变流器关键技术研究项目指南</w:t>
      </w:r>
    </w:p>
    <w:p w14:paraId="349FC64C">
      <w:pPr>
        <w:ind w:firstLine="640"/>
        <w:jc w:val="both"/>
        <w:rPr>
          <w:rFonts w:hint="eastAsia"/>
        </w:rPr>
      </w:pPr>
    </w:p>
    <w:p w14:paraId="708732A4">
      <w:pPr>
        <w:keepNext/>
        <w:keepLines/>
        <w:ind w:firstLine="640"/>
        <w:jc w:val="both"/>
        <w:outlineLvl w:val="1"/>
        <w:rPr>
          <w:rFonts w:hint="eastAsia" w:ascii="黑体" w:hAnsi="黑体" w:eastAsia="黑体"/>
        </w:rPr>
      </w:pPr>
      <w:r>
        <w:rPr>
          <w:rFonts w:ascii="黑体" w:hAnsi="黑体" w:eastAsia="黑体"/>
        </w:rPr>
        <w:t>一、项目基本信息</w:t>
      </w:r>
    </w:p>
    <w:p w14:paraId="0DAEA00A">
      <w:pPr>
        <w:ind w:firstLine="640"/>
        <w:rPr>
          <w:rFonts w:hint="eastAsia"/>
        </w:rPr>
      </w:pPr>
      <w:r>
        <w:t>项目类型：新型产业项目</w:t>
      </w:r>
    </w:p>
    <w:p w14:paraId="7F3E46D1">
      <w:pPr>
        <w:ind w:firstLine="640"/>
        <w:rPr>
          <w:rFonts w:hint="eastAsia"/>
        </w:rPr>
      </w:pPr>
      <w:r>
        <w:t>技术成熟度：项目完成后，预计技术成熟度达到7级</w:t>
      </w:r>
    </w:p>
    <w:p w14:paraId="132FC00E">
      <w:pPr>
        <w:ind w:firstLine="640"/>
        <w:rPr>
          <w:rFonts w:hint="eastAsia"/>
        </w:rPr>
      </w:pPr>
      <w:r>
        <w:t>需求单位及联系人：</w:t>
      </w:r>
    </w:p>
    <w:p w14:paraId="29E7A3F1">
      <w:pPr>
        <w:ind w:firstLine="640"/>
        <w:rPr>
          <w:rFonts w:hint="eastAsia"/>
        </w:rPr>
      </w:pPr>
      <w:r>
        <w:t>东方风电 吴小田 18628156679</w:t>
      </w:r>
    </w:p>
    <w:p w14:paraId="368919A3">
      <w:pPr>
        <w:ind w:firstLine="640"/>
        <w:rPr>
          <w:rFonts w:hint="eastAsia"/>
        </w:rPr>
      </w:pPr>
      <w:r>
        <w:t>东方自控 彭</w:t>
      </w:r>
      <w:r>
        <w:rPr>
          <w:rFonts w:hint="eastAsia"/>
        </w:rPr>
        <w:t xml:space="preserve">  </w:t>
      </w:r>
      <w:r>
        <w:t>涛 13689645598</w:t>
      </w:r>
    </w:p>
    <w:p w14:paraId="44A947D3">
      <w:pPr>
        <w:keepNext/>
        <w:keepLines/>
        <w:ind w:firstLine="640"/>
        <w:jc w:val="both"/>
        <w:outlineLvl w:val="1"/>
        <w:rPr>
          <w:rFonts w:hint="eastAsia" w:ascii="黑体" w:hAnsi="黑体" w:eastAsia="黑体"/>
        </w:rPr>
      </w:pPr>
      <w:r>
        <w:rPr>
          <w:rFonts w:ascii="黑体" w:hAnsi="黑体" w:eastAsia="黑体"/>
        </w:rPr>
        <w:t>二、研究背景</w:t>
      </w:r>
    </w:p>
    <w:p w14:paraId="2D3539AD">
      <w:pPr>
        <w:ind w:firstLine="640"/>
        <w:jc w:val="both"/>
        <w:rPr>
          <w:rFonts w:hint="eastAsia"/>
        </w:rPr>
      </w:pPr>
      <w:r>
        <w:t>随着我国新型电力系统加速建设，风电储能一体化作为新能源融合发展的战略性新兴产业，是破解风电并网难题、推动新能源规模化消纳的核心发展方向。当前风电行业存在显著痛点，风电天然具有间歇性、波动性特点，机组出力波动可达±20%，行业平均弃风率达15%，导致并网稳定性差、弱电网适配性不足，严重制约风电项目收益与系统安全稳定运行。风电储能一体化具备突出的经济与产业价值，技术应用后可提升风电机组的电网适应性和电网支撑性能，提升风场全生命周期收益和系统可靠性。</w:t>
      </w:r>
    </w:p>
    <w:p w14:paraId="6DF27B62">
      <w:pPr>
        <w:ind w:firstLine="640"/>
        <w:jc w:val="both"/>
        <w:rPr>
          <w:rFonts w:hint="eastAsia"/>
        </w:rPr>
      </w:pPr>
      <w:r>
        <w:t>目前构网型风电机组标准正在发布，行业头部企业具备成熟的风储一体机构网方案并实现批量应用。在半直驱技术路线方面，行业内正在研究通过改善轴电压/轴电流不断提升风电机组可靠性。</w:t>
      </w:r>
    </w:p>
    <w:p w14:paraId="0A746121">
      <w:pPr>
        <w:keepNext/>
        <w:keepLines/>
        <w:ind w:firstLine="640"/>
        <w:jc w:val="both"/>
        <w:outlineLvl w:val="1"/>
        <w:rPr>
          <w:rFonts w:hint="eastAsia" w:ascii="黑体" w:hAnsi="黑体" w:eastAsia="黑体"/>
        </w:rPr>
      </w:pPr>
      <w:r>
        <w:rPr>
          <w:rFonts w:ascii="黑体" w:hAnsi="黑体" w:eastAsia="黑体"/>
        </w:rPr>
        <w:t>三、研究内容</w:t>
      </w:r>
    </w:p>
    <w:p w14:paraId="2DBEF2A6">
      <w:pPr>
        <w:ind w:firstLine="640"/>
        <w:jc w:val="both"/>
        <w:rPr>
          <w:rFonts w:hint="eastAsia"/>
        </w:rPr>
      </w:pPr>
      <w:r>
        <w:t>主要研究内容和技术路线</w:t>
      </w:r>
    </w:p>
    <w:p w14:paraId="116FA4F9">
      <w:pPr>
        <w:ind w:firstLine="640"/>
        <w:jc w:val="both"/>
        <w:rPr>
          <w:rFonts w:hint="eastAsia"/>
        </w:rPr>
      </w:pPr>
      <w:r>
        <w:rPr>
          <w:rFonts w:hint="eastAsia"/>
        </w:rPr>
        <w:t>1.</w:t>
      </w:r>
      <w:r>
        <w:t>新一代交错移相三电平变流器拓扑结构及其控制算法。研究新一代交错移相三电平变流器拓扑硬件选型与控制算法，开展电抗器、电容等部件技术研究与选型，完成新拓扑控制算法研究和软件开发</w:t>
      </w:r>
      <w:r>
        <w:rPr>
          <w:rFonts w:hint="eastAsia"/>
        </w:rPr>
        <w:t>。</w:t>
      </w:r>
    </w:p>
    <w:p w14:paraId="03188FB2">
      <w:pPr>
        <w:ind w:firstLine="640"/>
        <w:jc w:val="both"/>
        <w:rPr>
          <w:rFonts w:hint="eastAsia"/>
        </w:rPr>
      </w:pPr>
      <w:r>
        <w:rPr>
          <w:rFonts w:hint="eastAsia"/>
        </w:rPr>
        <w:t>2.</w:t>
      </w:r>
      <w:r>
        <w:t>风力发电机组单机配储技术方案研究及系统设计。围绕风电机组单机配储，开展整体技术方案规划，结合风机出力波动特性、并网运行要求与现场工况条件，确定储能装机配比、容量规格及接入方式，形成方案研究报告</w:t>
      </w:r>
      <w:r>
        <w:rPr>
          <w:rFonts w:hint="eastAsia"/>
        </w:rPr>
        <w:t>。</w:t>
      </w:r>
    </w:p>
    <w:p w14:paraId="604D4BB8">
      <w:pPr>
        <w:ind w:firstLine="640"/>
        <w:jc w:val="both"/>
        <w:rPr>
          <w:rFonts w:hint="eastAsia"/>
        </w:rPr>
      </w:pPr>
      <w:r>
        <w:rPr>
          <w:rFonts w:hint="eastAsia"/>
        </w:rPr>
        <w:t>3.</w:t>
      </w:r>
      <w:r>
        <w:t>风储一体机构网型风电机组能量管理及主动支撑技术研究。研究风储一体机及网侧变流器与储能系统的协调控制策略，具体研究内容包括：（1）储能DC-DC变换器设计与控制；（2）储能系统与机网侧变流器协调控制策略；（3）开展构网型风机电压、频率支撑技术及故障穿越技术研究，完成风机构网控制算法研究</w:t>
      </w:r>
      <w:bookmarkStart w:id="18" w:name="OLE_LINK7"/>
      <w:r>
        <w:rPr>
          <w:rFonts w:hint="eastAsia"/>
        </w:rPr>
        <w:t>。</w:t>
      </w:r>
    </w:p>
    <w:p w14:paraId="105ECA8F">
      <w:pPr>
        <w:ind w:firstLine="640"/>
        <w:jc w:val="both"/>
        <w:rPr>
          <w:rFonts w:hint="eastAsia"/>
        </w:rPr>
      </w:pPr>
      <w:r>
        <w:rPr>
          <w:rFonts w:hint="eastAsia"/>
        </w:rPr>
        <w:t>4.</w:t>
      </w:r>
      <w:r>
        <w:t>风储一体构网型风机仿真验证</w:t>
      </w:r>
      <w:bookmarkEnd w:id="18"/>
      <w:r>
        <w:t>。对照国家标准开展构网型风机半实物仿真测试，完成第三方仿真测试。</w:t>
      </w:r>
    </w:p>
    <w:p w14:paraId="1F8D8BF8">
      <w:pPr>
        <w:keepNext/>
        <w:keepLines/>
        <w:ind w:firstLine="640"/>
        <w:jc w:val="both"/>
        <w:outlineLvl w:val="1"/>
        <w:rPr>
          <w:rFonts w:hint="eastAsia" w:ascii="黑体" w:hAnsi="黑体" w:eastAsia="黑体"/>
        </w:rPr>
      </w:pPr>
      <w:r>
        <w:rPr>
          <w:rFonts w:ascii="黑体" w:hAnsi="黑体" w:eastAsia="黑体"/>
        </w:rPr>
        <w:t>四、交付成果及指标</w:t>
      </w:r>
    </w:p>
    <w:p w14:paraId="143F6F88">
      <w:pPr>
        <w:ind w:firstLine="640"/>
        <w:jc w:val="both"/>
        <w:rPr>
          <w:rFonts w:hint="eastAsia"/>
        </w:rPr>
      </w:pPr>
      <w:r>
        <w:t>本课题围绕风储一体化核心技术开展系统性研究，最终形成五项交付成果。</w:t>
      </w:r>
    </w:p>
    <w:p w14:paraId="60A65DFD">
      <w:pPr>
        <w:ind w:firstLine="640"/>
        <w:jc w:val="both"/>
        <w:rPr>
          <w:rFonts w:hint="eastAsia"/>
        </w:rPr>
      </w:pPr>
      <w:r>
        <w:rPr>
          <w:rFonts w:hint="eastAsia"/>
        </w:rPr>
        <w:t>1.</w:t>
      </w:r>
      <w:r>
        <w:t>优化变流器拓扑架构与交错移相控制算法，完成新一代交错移相三电平变流器拓扑关键部件设计及其控制算法研究报告。</w:t>
      </w:r>
    </w:p>
    <w:p w14:paraId="6970ABD8">
      <w:pPr>
        <w:ind w:firstLine="640"/>
        <w:jc w:val="both"/>
        <w:rPr>
          <w:rFonts w:hint="eastAsia"/>
        </w:rPr>
      </w:pPr>
      <w:r>
        <w:rPr>
          <w:rFonts w:hint="eastAsia"/>
        </w:rPr>
        <w:t>2.</w:t>
      </w:r>
      <w:r>
        <w:t>形成风力发电机组单机配储技术方案研究及系统设计报告，完成单机配储容量配比、电气接线及系统安全保护整体方案设计，形成可直接落地的风机就地储能配套实施方案。</w:t>
      </w:r>
    </w:p>
    <w:p w14:paraId="227D5DC1">
      <w:pPr>
        <w:ind w:firstLine="640"/>
        <w:jc w:val="both"/>
        <w:rPr>
          <w:rFonts w:hint="eastAsia"/>
        </w:rPr>
      </w:pPr>
      <w:r>
        <w:rPr>
          <w:rFonts w:hint="eastAsia"/>
        </w:rPr>
        <w:t>3.</w:t>
      </w:r>
      <w:r>
        <w:t>完成风储一体机构网型风电机组主动支撑技术研究报告及配套核心控制算法软件，攻克构网型风储一体机电压、频率主动支撑与故障穿越关键技术，解决弱电网并网稳定性难题。关键技术指标包括：具备跟/构网控制切换功能、适应相角跳变±30°、惯量系数及一次调频系数可调节、正阻尼区间：1 Hz</w:t>
      </w:r>
      <w:r>
        <w:rPr>
          <w:rFonts w:hint="eastAsia"/>
        </w:rPr>
        <w:t>-</w:t>
      </w:r>
      <w:r>
        <w:t>30 Hz 和 60 Hz</w:t>
      </w:r>
      <w:r>
        <w:rPr>
          <w:rFonts w:hint="eastAsia"/>
        </w:rPr>
        <w:t>-</w:t>
      </w:r>
      <w:r>
        <w:t>1000 Hz、具备零穿和高穿功能</w:t>
      </w:r>
      <w:r>
        <w:rPr>
          <w:rFonts w:hint="eastAsia"/>
        </w:rPr>
        <w:t>。</w:t>
      </w:r>
    </w:p>
    <w:p w14:paraId="3E827840">
      <w:pPr>
        <w:ind w:firstLine="640"/>
        <w:jc w:val="both"/>
        <w:rPr>
          <w:rFonts w:hint="eastAsia"/>
        </w:rPr>
      </w:pPr>
      <w:r>
        <w:rPr>
          <w:rFonts w:hint="eastAsia"/>
        </w:rPr>
        <w:t>4.</w:t>
      </w:r>
      <w:r>
        <w:t>完成风储一体构网型风机并网仿真测试，获取测试报告一份。对照最新国家标准在电科院开展第三方半实物仿真测试，完成测试认证。</w:t>
      </w:r>
    </w:p>
    <w:p w14:paraId="2E4BFF80">
      <w:pPr>
        <w:ind w:firstLine="640"/>
        <w:jc w:val="both"/>
        <w:rPr>
          <w:rFonts w:hint="eastAsia"/>
        </w:rPr>
      </w:pPr>
      <w:r>
        <w:rPr>
          <w:rFonts w:hint="eastAsia"/>
        </w:rPr>
        <w:t>5.</w:t>
      </w:r>
      <w:r>
        <w:t>完成风储一体机样机研制及测试，实现机侧线电压du/dt小于250V/us，网侧并网电流THDi小于2%。</w:t>
      </w:r>
    </w:p>
    <w:p w14:paraId="34959995">
      <w:pPr>
        <w:keepNext/>
        <w:keepLines/>
        <w:ind w:firstLine="640"/>
        <w:jc w:val="both"/>
        <w:outlineLvl w:val="1"/>
        <w:rPr>
          <w:rFonts w:hint="eastAsia" w:ascii="黑体" w:hAnsi="黑体" w:eastAsia="黑体"/>
        </w:rPr>
      </w:pPr>
      <w:r>
        <w:rPr>
          <w:rFonts w:ascii="黑体" w:hAnsi="黑体" w:eastAsia="黑体"/>
        </w:rPr>
        <w:t>五、项目执行周期</w:t>
      </w:r>
    </w:p>
    <w:p w14:paraId="6A31B8ED">
      <w:pPr>
        <w:ind w:firstLine="640"/>
        <w:jc w:val="both"/>
        <w:rPr>
          <w:rFonts w:hint="eastAsia"/>
        </w:rPr>
      </w:pPr>
      <w:r>
        <w:t>本项目执行周期为24个月。</w:t>
      </w:r>
    </w:p>
    <w:p w14:paraId="10904719">
      <w:pPr>
        <w:keepNext/>
        <w:keepLines/>
        <w:ind w:firstLine="640"/>
        <w:jc w:val="both"/>
        <w:outlineLvl w:val="1"/>
        <w:rPr>
          <w:rFonts w:hint="eastAsia" w:ascii="黑体" w:hAnsi="黑体" w:eastAsia="黑体"/>
        </w:rPr>
      </w:pPr>
      <w:r>
        <w:rPr>
          <w:rFonts w:ascii="黑体" w:hAnsi="黑体" w:eastAsia="黑体"/>
        </w:rPr>
        <w:t>六、经费概算</w:t>
      </w:r>
    </w:p>
    <w:p w14:paraId="0A044C3F">
      <w:pPr>
        <w:ind w:firstLine="640"/>
        <w:jc w:val="both"/>
        <w:rPr>
          <w:rFonts w:hint="eastAsia"/>
        </w:rPr>
      </w:pPr>
      <w:r>
        <w:t>本项目总经费为193万元。</w:t>
      </w:r>
    </w:p>
    <w:p w14:paraId="61EDCF45">
      <w:pPr>
        <w:ind w:firstLine="0" w:firstLineChars="0"/>
        <w:jc w:val="both"/>
        <w:rPr>
          <w:rFonts w:hint="eastAsia"/>
        </w:rPr>
      </w:pPr>
    </w:p>
    <w:p w14:paraId="7B3587B8">
      <w:pPr>
        <w:pStyle w:val="2"/>
        <w:jc w:val="both"/>
        <w:rPr>
          <w:rFonts w:hint="eastAsia"/>
        </w:rPr>
        <w:sectPr>
          <w:pgSz w:w="11906" w:h="16838"/>
          <w:pgMar w:top="2098" w:right="1474" w:bottom="1984" w:left="1587" w:header="851" w:footer="1417" w:gutter="0"/>
          <w:cols w:space="720" w:num="1"/>
          <w:docGrid w:type="lines" w:linePitch="312" w:charSpace="0"/>
        </w:sectPr>
      </w:pPr>
    </w:p>
    <w:p w14:paraId="4FA48F22">
      <w:pPr>
        <w:pStyle w:val="2"/>
        <w:rPr>
          <w:rFonts w:hint="eastAsia"/>
        </w:rPr>
      </w:pPr>
      <w:r>
        <w:t>大型曲面爬行机器人自主路径规划技术研究及应用指南</w:t>
      </w:r>
    </w:p>
    <w:p w14:paraId="7713FDC4">
      <w:pPr>
        <w:ind w:firstLine="640"/>
        <w:rPr>
          <w:rFonts w:hint="eastAsia"/>
        </w:rPr>
      </w:pPr>
    </w:p>
    <w:p w14:paraId="54FB300E">
      <w:pPr>
        <w:keepNext/>
        <w:keepLines/>
        <w:ind w:firstLine="640"/>
        <w:jc w:val="both"/>
        <w:outlineLvl w:val="1"/>
        <w:rPr>
          <w:rFonts w:hint="eastAsia" w:ascii="黑体" w:hAnsi="黑体" w:eastAsia="黑体"/>
        </w:rPr>
      </w:pPr>
      <w:r>
        <w:rPr>
          <w:rFonts w:ascii="黑体" w:hAnsi="黑体" w:eastAsia="黑体"/>
        </w:rPr>
        <w:t>一、项目基本信息</w:t>
      </w:r>
    </w:p>
    <w:p w14:paraId="436F59A2">
      <w:pPr>
        <w:ind w:firstLine="640"/>
        <w:jc w:val="both"/>
        <w:rPr>
          <w:rFonts w:hint="eastAsia"/>
        </w:rPr>
      </w:pPr>
      <w:r>
        <w:t>项目类型：技术提升项目（技术指标提升）</w:t>
      </w:r>
    </w:p>
    <w:p w14:paraId="21CE7FCF">
      <w:pPr>
        <w:ind w:firstLine="640"/>
        <w:jc w:val="both"/>
        <w:rPr>
          <w:rFonts w:hint="eastAsia"/>
        </w:rPr>
      </w:pPr>
      <w:r>
        <w:t>技术成熟度：项目完成后，预计技术成熟度达到7级</w:t>
      </w:r>
    </w:p>
    <w:p w14:paraId="0A09E784">
      <w:pPr>
        <w:ind w:firstLine="640"/>
        <w:jc w:val="both"/>
        <w:rPr>
          <w:rFonts w:hint="eastAsia"/>
        </w:rPr>
      </w:pPr>
      <w:r>
        <w:t>需求单位及联系人：</w:t>
      </w:r>
    </w:p>
    <w:p w14:paraId="39037916">
      <w:pPr>
        <w:ind w:firstLine="640"/>
        <w:jc w:val="both"/>
        <w:rPr>
          <w:rFonts w:hint="eastAsia"/>
        </w:rPr>
      </w:pPr>
      <w:r>
        <w:t>东方数科 宋俊霖 15982285679</w:t>
      </w:r>
    </w:p>
    <w:p w14:paraId="55491B6E">
      <w:pPr>
        <w:keepNext/>
        <w:keepLines/>
        <w:ind w:firstLine="640"/>
        <w:jc w:val="both"/>
        <w:outlineLvl w:val="1"/>
        <w:rPr>
          <w:rFonts w:hint="eastAsia" w:ascii="黑体" w:hAnsi="黑体" w:eastAsia="黑体"/>
        </w:rPr>
      </w:pPr>
      <w:r>
        <w:rPr>
          <w:rFonts w:ascii="黑体" w:hAnsi="黑体" w:eastAsia="黑体"/>
        </w:rPr>
        <w:t>二、研究背景</w:t>
      </w:r>
    </w:p>
    <w:p w14:paraId="70AE2E03">
      <w:pPr>
        <w:ind w:firstLine="640"/>
        <w:jc w:val="both"/>
        <w:rPr>
          <w:rFonts w:hint="eastAsia"/>
        </w:rPr>
      </w:pPr>
      <w:r>
        <w:t>真空/磁吸附等爬行机器人需在水电装备大型结构件、风电塔筒及叶片、容器储罐等大型曲面开放环境下进行检测、打磨、修复、清洁等作业，当前存在以下痛点：</w:t>
      </w:r>
    </w:p>
    <w:p w14:paraId="65282E3C">
      <w:pPr>
        <w:ind w:firstLine="640"/>
        <w:jc w:val="both"/>
        <w:rPr>
          <w:rFonts w:hint="eastAsia"/>
        </w:rPr>
      </w:pPr>
      <w:r>
        <w:rPr>
          <w:rFonts w:hint="eastAsia"/>
        </w:rPr>
        <w:t>1.</w:t>
      </w:r>
      <w:r>
        <w:t>开放环境自主导航能力差。在大型曲面开放环境下，表面纹理微弱，环境参照少，传统平面导航方法难以适用，多依赖第三方设备辅助定位，难以适配现场复杂环境。</w:t>
      </w:r>
    </w:p>
    <w:p w14:paraId="5182AB75">
      <w:pPr>
        <w:ind w:firstLine="640"/>
        <w:jc w:val="both"/>
        <w:rPr>
          <w:rFonts w:hint="eastAsia"/>
        </w:rPr>
      </w:pPr>
      <w:r>
        <w:rPr>
          <w:rFonts w:hint="eastAsia"/>
        </w:rPr>
        <w:t>2.</w:t>
      </w:r>
      <w:r>
        <w:t>人工遥操，作业效率低。现有爬行机器人主要采用人工远程遥控，难以适应高频次、多样化的作业需求。</w:t>
      </w:r>
    </w:p>
    <w:p w14:paraId="1CF8846B">
      <w:pPr>
        <w:ind w:firstLine="640"/>
        <w:jc w:val="both"/>
        <w:rPr>
          <w:rFonts w:hint="eastAsia"/>
        </w:rPr>
      </w:pPr>
      <w:r>
        <w:rPr>
          <w:rFonts w:hint="eastAsia"/>
        </w:rPr>
        <w:t>3.</w:t>
      </w:r>
      <w:r>
        <w:t>无自主路径规划能力，复杂工况适应性差。固定规则路径难以根据作业状态和质量反馈动态调整，容易产生区域遗漏、重复覆盖、返工作业等问题。</w:t>
      </w:r>
    </w:p>
    <w:p w14:paraId="04FCB958">
      <w:pPr>
        <w:ind w:firstLine="640"/>
        <w:jc w:val="both"/>
        <w:rPr>
          <w:rFonts w:hint="eastAsia"/>
        </w:rPr>
      </w:pPr>
      <w:r>
        <w:rPr>
          <w:rFonts w:hint="eastAsia"/>
        </w:rPr>
        <w:t>4.</w:t>
      </w:r>
      <w:r>
        <w:t>跨平台、任务迁移成本高，路径规划策略泛化性差。不同吸附方式、作业任务爬行机器人需要重新开发或进行大量参数标定，适配周期较长，制约爬行机器人平台的通用化拓展。</w:t>
      </w:r>
    </w:p>
    <w:p w14:paraId="6E5F087B">
      <w:pPr>
        <w:keepNext/>
        <w:keepLines/>
        <w:ind w:firstLine="640"/>
        <w:jc w:val="both"/>
        <w:outlineLvl w:val="1"/>
        <w:rPr>
          <w:rFonts w:hint="eastAsia" w:ascii="黑体" w:hAnsi="黑体" w:eastAsia="黑体"/>
        </w:rPr>
      </w:pPr>
      <w:r>
        <w:rPr>
          <w:rFonts w:ascii="黑体" w:hAnsi="黑体" w:eastAsia="黑体"/>
        </w:rPr>
        <w:t>三、研究内容</w:t>
      </w:r>
    </w:p>
    <w:p w14:paraId="4ED55AA2">
      <w:pPr>
        <w:ind w:firstLine="640"/>
        <w:jc w:val="both"/>
        <w:rPr>
          <w:rFonts w:hint="eastAsia"/>
        </w:rPr>
      </w:pPr>
      <w:r>
        <w:t>针对爬行机器人在大型曲面开放环境下自主路径规划需要，开展以下研究：</w:t>
      </w:r>
    </w:p>
    <w:p w14:paraId="6A02CDBE">
      <w:pPr>
        <w:ind w:firstLine="640"/>
        <w:jc w:val="both"/>
        <w:rPr>
          <w:rFonts w:hint="eastAsia"/>
        </w:rPr>
      </w:pPr>
      <w:r>
        <w:rPr>
          <w:rFonts w:hint="eastAsia"/>
        </w:rPr>
        <w:t>1.</w:t>
      </w:r>
      <w:r>
        <w:t>大型曲面数字化环境构建技术。融合数字孪生模型、点云与任务标注，建立含几何、运动学与传感器反馈的闭环虚拟模型，叠加可达区域、障碍、重点作业区等语义信息，为机器人自主路径规划策略开发构建基础条件。</w:t>
      </w:r>
    </w:p>
    <w:p w14:paraId="089BEA83">
      <w:pPr>
        <w:ind w:firstLine="640"/>
        <w:jc w:val="both"/>
        <w:rPr>
          <w:rFonts w:hint="eastAsia"/>
        </w:rPr>
      </w:pPr>
      <w:r>
        <w:rPr>
          <w:rFonts w:hint="eastAsia"/>
        </w:rPr>
        <w:t>2.</w:t>
      </w:r>
      <w:r>
        <w:t>基于高样本效率强化学习的自主路径规划技术。根据区域优先级和作业质量，动态决策访问顺序、重复覆盖次数及作业时长，生成差异化覆盖路径，并支持补扫、复检、绕行和返航。</w:t>
      </w:r>
    </w:p>
    <w:p w14:paraId="60805A10">
      <w:pPr>
        <w:ind w:firstLine="640"/>
        <w:jc w:val="both"/>
        <w:rPr>
          <w:rFonts w:hint="eastAsia"/>
        </w:rPr>
      </w:pPr>
      <w:r>
        <w:rPr>
          <w:rFonts w:hint="eastAsia"/>
        </w:rPr>
        <w:t>3.</w:t>
      </w:r>
      <w:r>
        <w:t>跨本体、场景的策略迁移技术。将机器人运动参数、传感器外参和作业场景特征作为策略条件输入，结合少量数据实现跨机器人平台和任务场景的快速适配。</w:t>
      </w:r>
    </w:p>
    <w:p w14:paraId="370BF3AD">
      <w:pPr>
        <w:ind w:firstLine="640"/>
        <w:jc w:val="both"/>
        <w:rPr>
          <w:rFonts w:hint="eastAsia"/>
        </w:rPr>
      </w:pPr>
      <w:r>
        <w:rPr>
          <w:rFonts w:hint="eastAsia"/>
        </w:rPr>
        <w:t>4.</w:t>
      </w:r>
      <w:r>
        <w:t>应用验证。在风电叶片打磨、容器/管道检测等典型作业场景开展自主路径规划技术应用验证，在磁吸附和真空吸附2款现有机器人平台部署测试。</w:t>
      </w:r>
    </w:p>
    <w:p w14:paraId="609001D9">
      <w:pPr>
        <w:ind w:firstLine="640"/>
        <w:jc w:val="both"/>
        <w:rPr>
          <w:rFonts w:hint="eastAsia"/>
        </w:rPr>
      </w:pPr>
      <w:r>
        <w:rPr>
          <w:rFonts w:hint="eastAsia"/>
        </w:rPr>
        <w:t>5.研发工作分工</w:t>
      </w:r>
      <w:r>
        <w:t>。本项目基于东方数科现有爬行机器人平台开展，东方数科负责提供测试场景和机器人本体开发，浙大负责机器人自主路径规划算法研究。</w:t>
      </w:r>
    </w:p>
    <w:p w14:paraId="0FA3BF0C">
      <w:pPr>
        <w:keepNext/>
        <w:keepLines/>
        <w:ind w:firstLine="640"/>
        <w:jc w:val="both"/>
        <w:outlineLvl w:val="1"/>
        <w:rPr>
          <w:rFonts w:hint="eastAsia" w:ascii="黑体" w:hAnsi="黑体" w:eastAsia="黑体"/>
        </w:rPr>
      </w:pPr>
      <w:r>
        <w:rPr>
          <w:rFonts w:ascii="黑体" w:hAnsi="黑体" w:eastAsia="黑体"/>
        </w:rPr>
        <w:t>四、交付成果及指标</w:t>
      </w:r>
    </w:p>
    <w:p w14:paraId="17E4E157">
      <w:pPr>
        <w:ind w:firstLine="640"/>
        <w:jc w:val="both"/>
        <w:rPr>
          <w:rFonts w:hint="eastAsia"/>
        </w:rPr>
      </w:pPr>
      <w:r>
        <w:rPr>
          <w:rFonts w:hint="eastAsia"/>
        </w:rPr>
        <w:t>1.</w:t>
      </w:r>
      <w:r>
        <w:t>典型大型曲面环境数字化环境1套，覆盖真空吸附/磁吸附2款爬行机器人风电叶片打磨、容器/管道检测等典型作业场景，构建包括机器人几何、运动学与传感器反馈的数字化环境，并可叠加可达区域、障碍、重点作业区等语义信息。</w:t>
      </w:r>
    </w:p>
    <w:p w14:paraId="42A58000">
      <w:pPr>
        <w:ind w:firstLine="640"/>
        <w:jc w:val="both"/>
        <w:rPr>
          <w:rFonts w:hint="eastAsia"/>
        </w:rPr>
      </w:pPr>
      <w:r>
        <w:rPr>
          <w:rFonts w:hint="eastAsia"/>
        </w:rPr>
        <w:t>2.</w:t>
      </w:r>
      <w:r>
        <w:t>跨平台自主路径规划算法1套，适应真空/磁吸2款爬行机器人平台，实现风电叶片打磨、容器/管道检测等典型作业场景下机器人全自主路径规划，形成研究报告1份。</w:t>
      </w:r>
    </w:p>
    <w:p w14:paraId="622C5F15">
      <w:pPr>
        <w:ind w:firstLine="640"/>
        <w:jc w:val="both"/>
        <w:rPr>
          <w:rFonts w:hint="eastAsia"/>
        </w:rPr>
      </w:pPr>
      <w:r>
        <w:rPr>
          <w:rFonts w:hint="eastAsia"/>
        </w:rPr>
        <w:t>3.</w:t>
      </w:r>
      <w:r>
        <w:t>在磁吸附和真空吸附机器人平台上分别选择不少于1类典型产品开展实机验证。轨迹规划覆盖作业面积与理论可达面积比值≥90%（巡检区域面积占计划巡检区域面积的比例）；在典型任务测试中，相较人工遥操作，作业效率提升10%（单位时间有效覆盖面积的比例）。</w:t>
      </w:r>
    </w:p>
    <w:p w14:paraId="5B4895B9">
      <w:pPr>
        <w:ind w:firstLine="640"/>
        <w:jc w:val="both"/>
        <w:rPr>
          <w:rFonts w:hint="eastAsia"/>
        </w:rPr>
      </w:pPr>
      <w:r>
        <w:rPr>
          <w:rFonts w:hint="eastAsia"/>
        </w:rPr>
        <w:t>4.</w:t>
      </w:r>
      <w:r>
        <w:t>申请发明专利2项，登记软件著作权1项；形成软件使用说明、接口文档及实机测试报告各1套。</w:t>
      </w:r>
    </w:p>
    <w:p w14:paraId="0AA4C608">
      <w:pPr>
        <w:keepNext/>
        <w:keepLines/>
        <w:ind w:firstLine="640"/>
        <w:jc w:val="both"/>
        <w:outlineLvl w:val="1"/>
        <w:rPr>
          <w:rFonts w:hint="eastAsia" w:ascii="黑体" w:hAnsi="黑体" w:eastAsia="黑体"/>
        </w:rPr>
      </w:pPr>
      <w:r>
        <w:rPr>
          <w:rFonts w:ascii="黑体" w:hAnsi="黑体" w:eastAsia="黑体"/>
        </w:rPr>
        <w:t>五、项目执行周期</w:t>
      </w:r>
    </w:p>
    <w:p w14:paraId="6E4DE2FE">
      <w:pPr>
        <w:ind w:firstLine="640"/>
        <w:jc w:val="both"/>
        <w:rPr>
          <w:rFonts w:hint="eastAsia"/>
        </w:rPr>
      </w:pPr>
      <w:r>
        <w:t>本项目执行周期为12个月。</w:t>
      </w:r>
    </w:p>
    <w:p w14:paraId="3D0A0C0E">
      <w:pPr>
        <w:keepNext/>
        <w:keepLines/>
        <w:ind w:firstLine="640"/>
        <w:jc w:val="both"/>
        <w:outlineLvl w:val="1"/>
        <w:rPr>
          <w:rFonts w:hint="eastAsia" w:ascii="黑体" w:hAnsi="黑体" w:eastAsia="黑体"/>
        </w:rPr>
      </w:pPr>
      <w:r>
        <w:rPr>
          <w:rFonts w:ascii="黑体" w:hAnsi="黑体" w:eastAsia="黑体"/>
        </w:rPr>
        <w:t>六、经费概算</w:t>
      </w:r>
    </w:p>
    <w:p w14:paraId="457D5093">
      <w:pPr>
        <w:ind w:firstLine="640"/>
        <w:jc w:val="both"/>
        <w:rPr>
          <w:rFonts w:hint="eastAsia"/>
        </w:rPr>
      </w:pPr>
      <w:r>
        <w:t>本项目总预算为90万元</w:t>
      </w:r>
      <w:r>
        <w:rPr>
          <w:rFonts w:hint="eastAsia"/>
        </w:rPr>
        <w:t>。</w:t>
      </w:r>
    </w:p>
    <w:p w14:paraId="7388E8EC">
      <w:pPr>
        <w:ind w:firstLine="640"/>
        <w:jc w:val="both"/>
        <w:rPr>
          <w:rFonts w:hint="eastAsia"/>
        </w:rPr>
      </w:pPr>
    </w:p>
    <w:sectPr>
      <w:pgSz w:w="11906" w:h="16838"/>
      <w:pgMar w:top="2098" w:right="1474" w:bottom="1984" w:left="1587" w:header="851" w:footer="141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B247EB-2730-4A3C-975B-8EB80FCCDE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F883ADAA-BD35-46C1-8AB9-B0976C965472}"/>
  </w:font>
  <w:font w:name="方正小标宋_GBK">
    <w:panose1 w:val="02000000000000000000"/>
    <w:charset w:val="86"/>
    <w:family w:val="auto"/>
    <w:pitch w:val="default"/>
    <w:sig w:usb0="A00002BF" w:usb1="38CF7CFA" w:usb2="00082016" w:usb3="00000000" w:csb0="00040001" w:csb1="00000000"/>
    <w:embedRegular r:id="rId3" w:fontKey="{CE80785E-9088-4D16-A7EB-EDD907FB05E7}"/>
  </w:font>
  <w:font w:name="仿宋">
    <w:panose1 w:val="02010609060101010101"/>
    <w:charset w:val="86"/>
    <w:family w:val="modern"/>
    <w:pitch w:val="default"/>
    <w:sig w:usb0="800002BF" w:usb1="38CF7CFA" w:usb2="00000016" w:usb3="00000000" w:csb0="00040001" w:csb1="00000000"/>
    <w:embedRegular r:id="rId4" w:fontKey="{F36ACB96-AE73-4771-94A4-B9688747509F}"/>
  </w:font>
  <w:font w:name="Arial">
    <w:panose1 w:val="020B0604020202020204"/>
    <w:charset w:val="00"/>
    <w:family w:val="swiss"/>
    <w:pitch w:val="default"/>
    <w:sig w:usb0="E0002EFF" w:usb1="C000785B" w:usb2="00000009" w:usb3="00000000" w:csb0="400001FF" w:csb1="FFFF0000"/>
    <w:embedRegular r:id="rId5" w:fontKey="{4B6E1CA7-B005-4388-A56C-D9CA809F7214}"/>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0F470">
    <w:pPr>
      <w:pStyle w:val="4"/>
      <w:ind w:firstLine="360"/>
      <w:rPr>
        <w:rFonts w:hint="eastAsia"/>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9E125">
    <w:pPr>
      <w:pStyle w:val="4"/>
      <w:ind w:firstLine="360"/>
      <w:rPr>
        <w:rFonts w:hint="eastAsia"/>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5DC0E">
                          <w:pPr>
                            <w:pStyle w:val="4"/>
                            <w:ind w:firstLine="360"/>
                            <w:rPr>
                              <w:rFonts w:hint="eastAsia"/>
                            </w:rPr>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4865DC0E">
                    <w:pPr>
                      <w:pStyle w:val="4"/>
                      <w:ind w:firstLine="360"/>
                      <w:rPr>
                        <w:rFonts w:hint="eastAsia"/>
                      </w:rPr>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15DE1">
    <w:pPr>
      <w:pStyle w:val="4"/>
      <w:ind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9E3F9C1">
                          <w:pPr>
                            <w:pStyle w:val="4"/>
                            <w:ind w:firstLine="560"/>
                            <w:jc w:val="both"/>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IjFri9wBAADCAwAADgAAAAAAAAAB&#10;ACAAAAAeAQAAZHJzL2Uyb0RvYy54bWxQSwUGAAAAAAYABgBZAQAAbAUAAAAA&#10;">
              <v:fill on="f" focussize="0,0"/>
              <v:stroke on="f"/>
              <v:imagedata o:title=""/>
              <o:lock v:ext="edit" aspectratio="f"/>
              <v:textbox inset="0mm,0mm,0mm,0mm" style="mso-fit-shape-to-text:t;">
                <w:txbxContent>
                  <w:p w14:paraId="59E3F9C1">
                    <w:pPr>
                      <w:pStyle w:val="4"/>
                      <w:ind w:firstLine="560"/>
                      <w:jc w:val="both"/>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E4DCE">
    <w:pPr>
      <w:pStyle w:val="4"/>
      <w:ind w:firstLine="360"/>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B238E">
                          <w:pPr>
                            <w:pStyle w:val="4"/>
                            <w:ind w:firstLine="360"/>
                            <w:rPr>
                              <w:rFonts w:hint="eastAsia"/>
                            </w:rPr>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AAB238E">
                    <w:pPr>
                      <w:pStyle w:val="4"/>
                      <w:ind w:firstLine="360"/>
                      <w:rPr>
                        <w:rFonts w:hint="eastAsia"/>
                      </w:rPr>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52C35">
    <w:pPr>
      <w:pStyle w:val="4"/>
      <w:ind w:firstLine="360"/>
      <w:rPr>
        <w:rFonts w:hint="eastAsia"/>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01ECF">
                          <w:pPr>
                            <w:pStyle w:val="4"/>
                            <w:ind w:firstLine="360"/>
                            <w:rPr>
                              <w:rFonts w:hint="eastAsia"/>
                            </w:rPr>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30701ECF">
                    <w:pPr>
                      <w:pStyle w:val="4"/>
                      <w:ind w:firstLine="360"/>
                      <w:rPr>
                        <w:rFonts w:hint="eastAsia"/>
                      </w:rPr>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B9B59">
    <w:pPr>
      <w:pStyle w:val="4"/>
      <w:ind w:firstLine="360"/>
      <w:rPr>
        <w:rFonts w:hint="eastAsia"/>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68553">
    <w:pPr>
      <w:pStyle w:val="4"/>
      <w:ind w:firstLine="360"/>
      <w:rPr>
        <w:rFonts w:hint="eastAsia"/>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4866D">
    <w:pPr>
      <w:pStyle w:val="4"/>
      <w:ind w:firstLine="360"/>
      <w:rPr>
        <w:rFonts w:hint="eastAsia"/>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E207F">
                          <w:pPr>
                            <w:pStyle w:val="4"/>
                            <w:ind w:firstLine="360"/>
                            <w:rPr>
                              <w:rFonts w:hint="eastAsia"/>
                            </w:rPr>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2D6E207F">
                    <w:pPr>
                      <w:pStyle w:val="4"/>
                      <w:ind w:firstLine="360"/>
                      <w:rPr>
                        <w:rFonts w:hint="eastAsia"/>
                      </w:rPr>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672AD">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F91DD">
    <w:pPr>
      <w:pStyle w:val="4"/>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8D8D8">
    <w:pPr>
      <w:pStyle w:val="4"/>
      <w:ind w:firstLine="0" w:firstLineChars="0"/>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278B9">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83278B9">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B576A">
    <w:pPr>
      <w:pStyle w:val="4"/>
      <w:ind w:firstLine="360"/>
      <w:rPr>
        <w:rFonts w:hint="eastAsia"/>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94869">
                          <w:pPr>
                            <w:pStyle w:val="4"/>
                            <w:ind w:firstLine="360"/>
                            <w:rPr>
                              <w:rFonts w:hint="eastAsia"/>
                            </w:rP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7D94869">
                    <w:pPr>
                      <w:pStyle w:val="4"/>
                      <w:ind w:firstLine="360"/>
                      <w:rPr>
                        <w:rFonts w:hint="eastAsia"/>
                      </w:rP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47454">
    <w:pPr>
      <w:pStyle w:val="4"/>
      <w:ind w:firstLine="360"/>
      <w:rPr>
        <w:rFonts w:hint="eastAsia"/>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FDE110">
                          <w:pPr>
                            <w:pStyle w:val="4"/>
                            <w:ind w:firstLine="360"/>
                            <w:rPr>
                              <w:rFonts w:hint="eastAsia"/>
                            </w:rPr>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0FDE110">
                    <w:pPr>
                      <w:pStyle w:val="4"/>
                      <w:ind w:firstLine="360"/>
                      <w:rPr>
                        <w:rFonts w:hint="eastAsia"/>
                      </w:rPr>
                    </w:pPr>
                    <w:r>
                      <w:t xml:space="preserve">第 </w:t>
                    </w:r>
                    <w:r>
                      <w:fldChar w:fldCharType="begin"/>
                    </w:r>
                    <w:r>
                      <w:instrText xml:space="preserve"> PAGE  \* MERGEFORMAT </w:instrText>
                    </w:r>
                    <w:r>
                      <w:fldChar w:fldCharType="separate"/>
                    </w:r>
                    <w:r>
                      <w:t>23</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ADCF5">
    <w:pPr>
      <w:pStyle w:val="4"/>
      <w:ind w:firstLine="360"/>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E093D">
                          <w:pPr>
                            <w:pStyle w:val="4"/>
                            <w:ind w:firstLine="360"/>
                            <w:rPr>
                              <w:rFonts w:hint="eastAsia"/>
                            </w:rPr>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D9E093D">
                    <w:pPr>
                      <w:pStyle w:val="4"/>
                      <w:ind w:firstLine="360"/>
                      <w:rPr>
                        <w:rFonts w:hint="eastAsia"/>
                      </w:rPr>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9A2BE">
    <w:pPr>
      <w:tabs>
        <w:tab w:val="center" w:pos="4153"/>
        <w:tab w:val="right" w:pos="8306"/>
      </w:tabs>
      <w:snapToGrid w:val="0"/>
      <w:ind w:firstLine="360"/>
      <w:rPr>
        <w:rFonts w:ascii="Times New Roman" w:hAnsi="Times New Roman" w:eastAsia="Times New Roman" w:cs="Times New Roman"/>
        <w:sz w:val="18"/>
        <w:szCs w:val="24"/>
        <w:lang w:eastAsia="en-US"/>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FCF86">
                          <w:pPr>
                            <w:pStyle w:val="4"/>
                            <w:ind w:firstLine="360"/>
                            <w:rPr>
                              <w:rFonts w:hint="eastAsia"/>
                            </w:rPr>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79DFCF86">
                    <w:pPr>
                      <w:pStyle w:val="4"/>
                      <w:ind w:firstLine="360"/>
                      <w:rPr>
                        <w:rFonts w:hint="eastAsia"/>
                      </w:rPr>
                    </w:pPr>
                    <w:r>
                      <w:t xml:space="preserve">第 </w:t>
                    </w:r>
                    <w:r>
                      <w:fldChar w:fldCharType="begin"/>
                    </w:r>
                    <w:r>
                      <w:instrText xml:space="preserve"> PAGE  \* MERGEFORMAT </w:instrText>
                    </w:r>
                    <w:r>
                      <w:fldChar w:fldCharType="separate"/>
                    </w:r>
                    <w:r>
                      <w:t>35</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71297">
    <w:pPr>
      <w:tabs>
        <w:tab w:val="center" w:pos="4153"/>
        <w:tab w:val="right" w:pos="8306"/>
      </w:tabs>
      <w:snapToGrid w:val="0"/>
      <w:ind w:firstLine="360"/>
      <w:rPr>
        <w:rFonts w:ascii="Times New Roman" w:hAnsi="Times New Roman" w:eastAsia="Times New Roman" w:cs="Times New Roman"/>
        <w:sz w:val="18"/>
        <w:szCs w:val="24"/>
        <w:lang w:eastAsia="en-US"/>
      </w:rPr>
    </w:pPr>
    <w:r>
      <w:rPr>
        <w:rFonts w:ascii="Times New Roman" w:hAnsi="Times New Roman" w:eastAsia="Times New Roman" w:cs="Times New Roman"/>
        <w:sz w:val="18"/>
        <w:szCs w:val="24"/>
        <w:lang w:eastAsia="en-US"/>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3AE5CFCD">
                          <w:pPr>
                            <w:tabs>
                              <w:tab w:val="center" w:pos="4153"/>
                              <w:tab w:val="right" w:pos="8306"/>
                            </w:tabs>
                            <w:snapToGrid w:val="0"/>
                            <w:ind w:firstLine="560"/>
                            <w:jc w:val="both"/>
                            <w:rPr>
                              <w:rFonts w:hint="eastAsia" w:ascii="宋体" w:hAnsi="宋体" w:eastAsia="宋体" w:cs="宋体"/>
                              <w:sz w:val="28"/>
                              <w:szCs w:val="28"/>
                              <w:lang w:eastAsia="en-US"/>
                            </w:rPr>
                          </w:pPr>
                          <w:r>
                            <w:rPr>
                              <w:rFonts w:hint="eastAsia" w:ascii="宋体" w:hAnsi="宋体" w:eastAsia="宋体" w:cs="宋体"/>
                              <w:sz w:val="28"/>
                              <w:szCs w:val="28"/>
                              <w:lang w:eastAsia="en-US"/>
                            </w:rPr>
                            <w:t xml:space="preserve">— </w:t>
                          </w:r>
                          <w:r>
                            <w:rPr>
                              <w:rFonts w:hint="eastAsia" w:ascii="宋体" w:hAnsi="宋体" w:eastAsia="宋体" w:cs="宋体"/>
                              <w:sz w:val="28"/>
                              <w:szCs w:val="28"/>
                              <w:lang w:eastAsia="en-US"/>
                            </w:rPr>
                            <w:fldChar w:fldCharType="begin"/>
                          </w:r>
                          <w:r>
                            <w:rPr>
                              <w:rFonts w:hint="eastAsia" w:ascii="宋体" w:hAnsi="宋体" w:eastAsia="宋体" w:cs="宋体"/>
                              <w:sz w:val="28"/>
                              <w:szCs w:val="28"/>
                              <w:lang w:eastAsia="en-US"/>
                            </w:rPr>
                            <w:instrText xml:space="preserve"> PAGE  \* MERGEFORMAT </w:instrText>
                          </w:r>
                          <w:r>
                            <w:rPr>
                              <w:rFonts w:hint="eastAsia" w:ascii="宋体" w:hAnsi="宋体" w:eastAsia="宋体" w:cs="宋体"/>
                              <w:sz w:val="28"/>
                              <w:szCs w:val="28"/>
                              <w:lang w:eastAsia="en-US"/>
                            </w:rPr>
                            <w:fldChar w:fldCharType="separate"/>
                          </w:r>
                          <w:r>
                            <w:rPr>
                              <w:rFonts w:hint="eastAsia" w:ascii="宋体" w:hAnsi="宋体" w:eastAsia="宋体" w:cs="宋体"/>
                              <w:sz w:val="28"/>
                              <w:szCs w:val="28"/>
                              <w:lang w:eastAsia="en-US"/>
                            </w:rPr>
                            <w:t>1</w:t>
                          </w:r>
                          <w:r>
                            <w:rPr>
                              <w:rFonts w:hint="eastAsia" w:ascii="宋体" w:hAnsi="宋体" w:eastAsia="宋体" w:cs="宋体"/>
                              <w:sz w:val="28"/>
                              <w:szCs w:val="28"/>
                              <w:lang w:eastAsia="en-US"/>
                            </w:rPr>
                            <w:fldChar w:fldCharType="end"/>
                          </w:r>
                          <w:r>
                            <w:rPr>
                              <w:rFonts w:hint="eastAsia" w:ascii="宋体" w:hAnsi="宋体" w:eastAsia="宋体" w:cs="宋体"/>
                              <w:sz w:val="28"/>
                              <w:szCs w:val="28"/>
                              <w:lang w:eastAsia="en-US"/>
                            </w:rPr>
                            <w:t xml:space="preserve"> —</w:t>
                          </w:r>
                        </w:p>
                      </w:txbxContent>
                    </wps:txbx>
                    <wps:bodyPr rot="0" vert="horz" wrap="none" lIns="0" tIns="0" rIns="0" bIns="0" anchor="t" anchorCtr="0" upright="1">
                      <a:spAutoFit/>
                    </wps:bodyPr>
                  </wps:wsp>
                </a:graphicData>
              </a:graphic>
            </wp:anchor>
          </w:drawing>
        </mc:Choice>
        <mc:Fallback>
          <w:pict>
            <v:shape id="Text Box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ql5uc8AAAAFAQAADwAAAAAAAAABACAAAAAiAAAAZHJzL2Rvd25yZXYueG1sUEsBAhQA&#10;FAAAAAgAh07iQDxo7zb7AQAAFQQAAA4AAAAAAAAAAQAgAAAAHgEAAGRycy9lMm9Eb2MueG1sUEsF&#10;BgAAAAAGAAYAWQEAAIsFAAAAAA==&#10;">
              <v:fill on="f" focussize="0,0"/>
              <v:stroke on="f"/>
              <v:imagedata o:title=""/>
              <o:lock v:ext="edit" aspectratio="f"/>
              <v:textbox inset="0mm,0mm,0mm,0mm" style="mso-fit-shape-to-text:t;">
                <w:txbxContent>
                  <w:p w14:paraId="3AE5CFCD">
                    <w:pPr>
                      <w:tabs>
                        <w:tab w:val="center" w:pos="4153"/>
                        <w:tab w:val="right" w:pos="8306"/>
                      </w:tabs>
                      <w:snapToGrid w:val="0"/>
                      <w:ind w:firstLine="560"/>
                      <w:jc w:val="both"/>
                      <w:rPr>
                        <w:rFonts w:hint="eastAsia" w:ascii="宋体" w:hAnsi="宋体" w:eastAsia="宋体" w:cs="宋体"/>
                        <w:sz w:val="28"/>
                        <w:szCs w:val="28"/>
                        <w:lang w:eastAsia="en-US"/>
                      </w:rPr>
                    </w:pPr>
                    <w:r>
                      <w:rPr>
                        <w:rFonts w:hint="eastAsia" w:ascii="宋体" w:hAnsi="宋体" w:eastAsia="宋体" w:cs="宋体"/>
                        <w:sz w:val="28"/>
                        <w:szCs w:val="28"/>
                        <w:lang w:eastAsia="en-US"/>
                      </w:rPr>
                      <w:t xml:space="preserve">— </w:t>
                    </w:r>
                    <w:r>
                      <w:rPr>
                        <w:rFonts w:hint="eastAsia" w:ascii="宋体" w:hAnsi="宋体" w:eastAsia="宋体" w:cs="宋体"/>
                        <w:sz w:val="28"/>
                        <w:szCs w:val="28"/>
                        <w:lang w:eastAsia="en-US"/>
                      </w:rPr>
                      <w:fldChar w:fldCharType="begin"/>
                    </w:r>
                    <w:r>
                      <w:rPr>
                        <w:rFonts w:hint="eastAsia" w:ascii="宋体" w:hAnsi="宋体" w:eastAsia="宋体" w:cs="宋体"/>
                        <w:sz w:val="28"/>
                        <w:szCs w:val="28"/>
                        <w:lang w:eastAsia="en-US"/>
                      </w:rPr>
                      <w:instrText xml:space="preserve"> PAGE  \* MERGEFORMAT </w:instrText>
                    </w:r>
                    <w:r>
                      <w:rPr>
                        <w:rFonts w:hint="eastAsia" w:ascii="宋体" w:hAnsi="宋体" w:eastAsia="宋体" w:cs="宋体"/>
                        <w:sz w:val="28"/>
                        <w:szCs w:val="28"/>
                        <w:lang w:eastAsia="en-US"/>
                      </w:rPr>
                      <w:fldChar w:fldCharType="separate"/>
                    </w:r>
                    <w:r>
                      <w:rPr>
                        <w:rFonts w:hint="eastAsia" w:ascii="宋体" w:hAnsi="宋体" w:eastAsia="宋体" w:cs="宋体"/>
                        <w:sz w:val="28"/>
                        <w:szCs w:val="28"/>
                        <w:lang w:eastAsia="en-US"/>
                      </w:rPr>
                      <w:t>1</w:t>
                    </w:r>
                    <w:r>
                      <w:rPr>
                        <w:rFonts w:hint="eastAsia" w:ascii="宋体" w:hAnsi="宋体" w:eastAsia="宋体" w:cs="宋体"/>
                        <w:sz w:val="28"/>
                        <w:szCs w:val="28"/>
                        <w:lang w:eastAsia="en-US"/>
                      </w:rPr>
                      <w:fldChar w:fldCharType="end"/>
                    </w:r>
                    <w:r>
                      <w:rPr>
                        <w:rFonts w:hint="eastAsia" w:ascii="宋体" w:hAnsi="宋体" w:eastAsia="宋体" w:cs="宋体"/>
                        <w:sz w:val="28"/>
                        <w:szCs w:val="28"/>
                        <w:lang w:eastAsia="en-US"/>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92509">
    <w:pPr>
      <w:pStyle w:val="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182FC">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28F59">
    <w:pPr>
      <w:pStyle w:val="5"/>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56284">
    <w:pPr>
      <w:pBdr>
        <w:top w:val="none" w:color="auto" w:sz="0" w:space="1"/>
        <w:left w:val="none" w:color="auto" w:sz="0" w:space="4"/>
        <w:bottom w:val="none" w:color="auto" w:sz="0" w:space="1"/>
        <w:right w:val="none" w:color="auto" w:sz="0" w:space="4"/>
      </w:pBdr>
      <w:snapToGrid w:val="0"/>
      <w:spacing w:line="240" w:lineRule="auto"/>
      <w:ind w:firstLine="360"/>
      <w:jc w:val="both"/>
      <w:rPr>
        <w:rFonts w:hint="eastAsia"/>
        <w:sz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64822">
    <w:pPr>
      <w:pBdr>
        <w:top w:val="none" w:color="auto" w:sz="0" w:space="1"/>
        <w:left w:val="none" w:color="auto" w:sz="0" w:space="4"/>
        <w:bottom w:val="none" w:color="auto" w:sz="0" w:space="1"/>
        <w:right w:val="none" w:color="auto" w:sz="0" w:space="4"/>
      </w:pBdr>
      <w:snapToGrid w:val="0"/>
      <w:spacing w:line="240" w:lineRule="auto"/>
      <w:ind w:firstLine="360"/>
      <w:jc w:val="both"/>
      <w:rPr>
        <w:rFonts w:hint="eastAsia"/>
        <w:sz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17560">
    <w:pPr>
      <w:pBdr>
        <w:top w:val="none" w:color="auto" w:sz="0" w:space="1"/>
        <w:left w:val="none" w:color="auto" w:sz="0" w:space="4"/>
        <w:bottom w:val="none" w:color="auto" w:sz="0" w:space="1"/>
        <w:right w:val="none" w:color="auto" w:sz="0" w:space="4"/>
      </w:pBdr>
      <w:snapToGrid w:val="0"/>
      <w:spacing w:line="240" w:lineRule="auto"/>
      <w:ind w:firstLine="360"/>
      <w:jc w:val="both"/>
      <w:rPr>
        <w:rFonts w:hint="eastAsia"/>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B3516">
    <w:pPr>
      <w:pBdr>
        <w:top w:val="none" w:color="auto" w:sz="0" w:space="1"/>
        <w:left w:val="none" w:color="auto" w:sz="0" w:space="4"/>
        <w:bottom w:val="none" w:color="auto" w:sz="0" w:space="1"/>
        <w:right w:val="none" w:color="auto" w:sz="0" w:space="4"/>
      </w:pBdr>
      <w:snapToGrid w:val="0"/>
      <w:spacing w:line="240" w:lineRule="auto"/>
      <w:ind w:firstLine="360"/>
      <w:jc w:val="both"/>
      <w:rPr>
        <w:rFonts w:hint="eastAsia"/>
        <w:sz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A4FEB">
    <w:pPr>
      <w:pBdr>
        <w:top w:val="none" w:color="auto" w:sz="0" w:space="1"/>
        <w:left w:val="none" w:color="auto" w:sz="0" w:space="4"/>
        <w:bottom w:val="none" w:color="auto" w:sz="0" w:space="1"/>
        <w:right w:val="none" w:color="auto" w:sz="0" w:space="4"/>
      </w:pBdr>
      <w:snapToGrid w:val="0"/>
      <w:spacing w:line="240" w:lineRule="auto"/>
      <w:ind w:firstLine="360"/>
      <w:jc w:val="both"/>
      <w:rPr>
        <w:rFonts w:hint="eastAsia"/>
        <w:sz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0A610">
    <w:pPr>
      <w:pBdr>
        <w:top w:val="none" w:color="auto" w:sz="0" w:space="1"/>
        <w:left w:val="none" w:color="auto" w:sz="0" w:space="4"/>
        <w:bottom w:val="none" w:color="auto" w:sz="0" w:space="1"/>
        <w:right w:val="none" w:color="auto" w:sz="0" w:space="4"/>
      </w:pBdr>
      <w:snapToGrid w:val="0"/>
      <w:spacing w:line="240" w:lineRule="auto"/>
      <w:ind w:firstLine="360"/>
      <w:jc w:val="both"/>
      <w:rPr>
        <w:rFonts w:hint="eastAsia"/>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CF50AB"/>
    <w:rsid w:val="003F0C14"/>
    <w:rsid w:val="006D4F20"/>
    <w:rsid w:val="008B48A6"/>
    <w:rsid w:val="008E1B08"/>
    <w:rsid w:val="00B8367A"/>
    <w:rsid w:val="00B9628D"/>
    <w:rsid w:val="00D92D8C"/>
    <w:rsid w:val="033B6E7D"/>
    <w:rsid w:val="1DE877AA"/>
    <w:rsid w:val="20E767C9"/>
    <w:rsid w:val="2E322DB6"/>
    <w:rsid w:val="30AE744F"/>
    <w:rsid w:val="33A87367"/>
    <w:rsid w:val="33CF50AB"/>
    <w:rsid w:val="401676A3"/>
    <w:rsid w:val="533C3F45"/>
    <w:rsid w:val="741714DE"/>
    <w:rsid w:val="7A7A445B"/>
    <w:rsid w:val="7E927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40" w:lineRule="exact"/>
      <w:ind w:firstLine="880" w:firstLineChars="200"/>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keepNext/>
      <w:keepLines/>
      <w:spacing w:line="700" w:lineRule="exact"/>
      <w:ind w:firstLine="0" w:firstLineChars="0"/>
      <w:jc w:val="center"/>
      <w:outlineLvl w:val="0"/>
    </w:pPr>
    <w:rPr>
      <w:rFonts w:ascii="方正小标宋简体" w:hAnsi="方正小标宋简体" w:eastAsia="方正小标宋简体"/>
      <w:kern w:val="44"/>
      <w:sz w:val="44"/>
    </w:rPr>
  </w:style>
  <w:style w:type="paragraph" w:styleId="3">
    <w:name w:val="heading 2"/>
    <w:basedOn w:val="1"/>
    <w:next w:val="1"/>
    <w:unhideWhenUsed/>
    <w:qFormat/>
    <w:uiPriority w:val="0"/>
    <w:pPr>
      <w:keepNext/>
      <w:keepLines/>
      <w:outlineLvl w:val="1"/>
    </w:pPr>
    <w:rPr>
      <w:rFonts w:ascii="黑体" w:hAnsi="黑体" w:eastAsia="黑体"/>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footer" Target="footer14.xml"/><Relationship Id="rId26" Type="http://schemas.openxmlformats.org/officeDocument/2006/relationships/footer" Target="footer13.xml"/><Relationship Id="rId25" Type="http://schemas.openxmlformats.org/officeDocument/2006/relationships/header" Target="header9.xml"/><Relationship Id="rId24" Type="http://schemas.openxmlformats.org/officeDocument/2006/relationships/header" Target="header8.xml"/><Relationship Id="rId23" Type="http://schemas.openxmlformats.org/officeDocument/2006/relationships/header" Target="header7.xml"/><Relationship Id="rId22" Type="http://schemas.openxmlformats.org/officeDocument/2006/relationships/footer" Target="footer12.xml"/><Relationship Id="rId21" Type="http://schemas.openxmlformats.org/officeDocument/2006/relationships/header" Target="header6.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集团总部</Company>
  <Pages>74</Pages>
  <Words>21426</Words>
  <Characters>22231</Characters>
  <Lines>769</Lines>
  <Paragraphs>576</Paragraphs>
  <TotalTime>30</TotalTime>
  <ScaleCrop>false</ScaleCrop>
  <LinksUpToDate>false</LinksUpToDate>
  <CharactersWithSpaces>22309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2026-08-07T03:57:00Z</dcterms:created>
  <dc:creator>bob</dc:creator>
  <cp:lastModifiedBy>哈宝</cp:lastModifiedBy>
  <dcterms:modified xsi:type="dcterms:W3CDTF">2026-08-07T04:42:37Z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EFBB77A1CF90405FAC561688E77F3B2D_13</vt:lpwstr>
  </property>
  <property fmtid="{D5CDD505-2E9C-101B-9397-08002B2CF9AE}" pid="4" name="KSOTemplateDocerSaveRecord">
    <vt:lpwstr>eyJoZGlkIjoiMzEwNTM5NzYwMDRjMzkwZTVkZjY2ODkwMGIxNGU0OTUiLCJ1c2VySWQiOiI0OTYxMTIwNzMifQ==</vt:lpwstr>
  </property>
</Properties>
</file>