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341"/>
        <w:jc w:val="both"/>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附件：</w:t>
      </w:r>
      <w:r>
        <w:rPr>
          <w:rFonts w:hint="eastAsia" w:ascii="宋体" w:hAnsi="宋体" w:eastAsia="宋体" w:cs="宋体"/>
          <w:b w:val="0"/>
          <w:bCs/>
          <w:sz w:val="30"/>
          <w:szCs w:val="30"/>
          <w:lang w:val="en-US" w:eastAsia="zh-CN"/>
        </w:rPr>
        <w:t>报奖公示材料</w:t>
      </w:r>
    </w:p>
    <w:p>
      <w:pPr>
        <w:spacing w:line="560" w:lineRule="exact"/>
        <w:ind w:right="-341"/>
        <w:jc w:val="both"/>
        <w:rPr>
          <w:rFonts w:hint="eastAsia" w:ascii="宋体" w:hAnsi="宋体" w:eastAsia="宋体" w:cs="宋体"/>
          <w:b w:val="0"/>
          <w:bCs/>
          <w:sz w:val="30"/>
          <w:szCs w:val="30"/>
        </w:rPr>
      </w:pPr>
      <w:r>
        <w:rPr>
          <w:rFonts w:hint="eastAsia" w:ascii="宋体" w:hAnsi="宋体" w:eastAsia="宋体" w:cs="宋体"/>
          <w:b/>
          <w:sz w:val="30"/>
          <w:szCs w:val="30"/>
        </w:rPr>
        <w:t>项目名称：</w:t>
      </w:r>
      <w:r>
        <w:rPr>
          <w:rFonts w:hint="eastAsia" w:ascii="宋体" w:hAnsi="宋体" w:eastAsia="宋体" w:cs="宋体"/>
          <w:b w:val="0"/>
          <w:bCs/>
          <w:sz w:val="30"/>
          <w:szCs w:val="30"/>
        </w:rPr>
        <w:t>离子色谱基础理论及应用研究</w:t>
      </w:r>
    </w:p>
    <w:p>
      <w:pPr>
        <w:spacing w:line="560" w:lineRule="exact"/>
        <w:ind w:right="-341"/>
        <w:jc w:val="both"/>
        <w:rPr>
          <w:rFonts w:hint="eastAsia" w:ascii="宋体" w:hAnsi="宋体" w:eastAsia="宋体" w:cs="宋体"/>
          <w:b w:val="0"/>
          <w:bCs/>
          <w:sz w:val="30"/>
          <w:szCs w:val="30"/>
        </w:rPr>
      </w:pPr>
      <w:r>
        <w:rPr>
          <w:rFonts w:hint="eastAsia" w:ascii="宋体" w:hAnsi="宋体" w:eastAsia="宋体" w:cs="宋体"/>
          <w:b/>
          <w:sz w:val="30"/>
          <w:szCs w:val="30"/>
        </w:rPr>
        <w:t>提名者及提名等级：</w:t>
      </w:r>
      <w:r>
        <w:rPr>
          <w:rFonts w:hint="eastAsia" w:ascii="宋体" w:hAnsi="宋体" w:eastAsia="宋体" w:cs="宋体"/>
          <w:b w:val="0"/>
          <w:bCs/>
          <w:sz w:val="30"/>
          <w:szCs w:val="30"/>
        </w:rPr>
        <w:t>武汉市人民政府   湖北省自然科学奖  一等奖</w:t>
      </w:r>
    </w:p>
    <w:p>
      <w:pPr>
        <w:spacing w:line="560" w:lineRule="exact"/>
        <w:jc w:val="both"/>
        <w:rPr>
          <w:rFonts w:hint="eastAsia" w:ascii="宋体" w:hAnsi="宋体" w:eastAsia="宋体" w:cs="宋体"/>
          <w:b/>
          <w:sz w:val="30"/>
          <w:szCs w:val="30"/>
        </w:rPr>
      </w:pPr>
      <w:r>
        <w:rPr>
          <w:rFonts w:hint="eastAsia" w:ascii="宋体" w:hAnsi="宋体" w:eastAsia="宋体" w:cs="宋体"/>
          <w:b/>
          <w:sz w:val="30"/>
          <w:szCs w:val="30"/>
        </w:rPr>
        <w:t>提名意见：</w:t>
      </w:r>
    </w:p>
    <w:p>
      <w:pPr>
        <w:spacing w:line="360" w:lineRule="auto"/>
        <w:ind w:firstLine="600"/>
        <w:jc w:val="both"/>
        <w:rPr>
          <w:rFonts w:hint="eastAsia" w:ascii="宋体" w:hAnsi="宋体" w:eastAsia="宋体" w:cs="宋体"/>
          <w:sz w:val="28"/>
          <w:szCs w:val="28"/>
        </w:rPr>
      </w:pPr>
      <w:r>
        <w:rPr>
          <w:rFonts w:hint="eastAsia" w:ascii="宋体" w:hAnsi="宋体" w:eastAsia="宋体" w:cs="宋体"/>
          <w:sz w:val="28"/>
          <w:szCs w:val="28"/>
        </w:rPr>
        <w:t>本项目的著作和论文科学界定了离子色谱的定义、特点，阐释了离子色谱的分离机理及影响因素；针对离子色谱固定相和流动相开展了系列基础研究。首次提出了多层涂覆型离子色谱柱和两性离子淋洗液，在国内首次研制成新一代离子色谱阳离子固定相，建立了间接抑制电导检测离子色谱法，显著提高了分离效率和灵敏度，拓宽了离子色谱应用范围。</w:t>
      </w:r>
    </w:p>
    <w:p>
      <w:pPr>
        <w:spacing w:line="360" w:lineRule="auto"/>
        <w:ind w:firstLine="600"/>
        <w:jc w:val="both"/>
        <w:rPr>
          <w:rFonts w:hint="eastAsia" w:ascii="宋体" w:hAnsi="宋体" w:eastAsia="宋体" w:cs="宋体"/>
          <w:sz w:val="28"/>
          <w:szCs w:val="28"/>
        </w:rPr>
      </w:pPr>
      <w:r>
        <w:rPr>
          <w:rFonts w:hint="eastAsia" w:ascii="宋体" w:hAnsi="宋体" w:eastAsia="宋体" w:cs="宋体"/>
          <w:sz w:val="28"/>
          <w:szCs w:val="28"/>
        </w:rPr>
        <w:t>出版了《离子色谱方法及应用》著作，著作主编荣获“中国色谱贡献奖”“中国离子色谱终身成就奖”；项目主持人发表离子色谱论文300余篇，是全球此领域发表SCI论文最多的作者，建立了100多种离子色谱分析方法，应用广泛。项目组制定了离子色谱分析国家标准、行业标准7项，社会效益巨大。受ISO国际标委会委托，项目组正在主导2项ISO国际标准的研制工作。</w:t>
      </w:r>
    </w:p>
    <w:p>
      <w:pPr>
        <w:spacing w:line="36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我局认真审阅了该项目的推荐材料，审查了完成人资格，确认全部材料真实有效，相关栏目均符合相关规定。</w:t>
      </w:r>
    </w:p>
    <w:p>
      <w:pPr>
        <w:spacing w:line="360" w:lineRule="auto"/>
        <w:jc w:val="both"/>
        <w:rPr>
          <w:rFonts w:hint="eastAsia" w:ascii="宋体" w:hAnsi="宋体" w:eastAsia="宋体" w:cs="宋体"/>
          <w:b/>
          <w:sz w:val="28"/>
          <w:szCs w:val="28"/>
        </w:rPr>
      </w:pPr>
    </w:p>
    <w:p>
      <w:pPr>
        <w:spacing w:line="360" w:lineRule="auto"/>
        <w:jc w:val="both"/>
        <w:rPr>
          <w:rFonts w:hint="eastAsia" w:ascii="宋体" w:hAnsi="宋体" w:eastAsia="宋体" w:cs="宋体"/>
          <w:b/>
          <w:sz w:val="28"/>
          <w:szCs w:val="28"/>
        </w:rPr>
      </w:pPr>
      <w:r>
        <w:rPr>
          <w:rFonts w:hint="eastAsia" w:ascii="宋体" w:hAnsi="宋体" w:eastAsia="宋体" w:cs="宋体"/>
          <w:b/>
          <w:sz w:val="28"/>
          <w:szCs w:val="28"/>
        </w:rPr>
        <w:t>项目简介：</w:t>
      </w:r>
    </w:p>
    <w:p>
      <w:pPr>
        <w:spacing w:line="360" w:lineRule="auto"/>
        <w:ind w:firstLine="840" w:firstLineChars="300"/>
        <w:jc w:val="both"/>
        <w:rPr>
          <w:rFonts w:hint="eastAsia" w:ascii="宋体" w:hAnsi="宋体" w:eastAsia="宋体" w:cs="宋体"/>
          <w:sz w:val="28"/>
          <w:szCs w:val="28"/>
        </w:rPr>
      </w:pPr>
      <w:r>
        <w:rPr>
          <w:rFonts w:hint="eastAsia" w:ascii="宋体" w:hAnsi="宋体" w:eastAsia="宋体" w:cs="宋体"/>
          <w:sz w:val="28"/>
          <w:szCs w:val="28"/>
        </w:rPr>
        <w:t>本项目属于分析科学领域。</w:t>
      </w:r>
    </w:p>
    <w:p>
      <w:pPr>
        <w:spacing w:line="360" w:lineRule="auto"/>
        <w:ind w:firstLine="600"/>
        <w:jc w:val="both"/>
        <w:rPr>
          <w:rFonts w:hint="eastAsia" w:ascii="宋体" w:hAnsi="宋体" w:eastAsia="宋体" w:cs="宋体"/>
          <w:sz w:val="28"/>
          <w:szCs w:val="28"/>
        </w:rPr>
      </w:pPr>
      <w:r>
        <w:rPr>
          <w:rFonts w:hint="eastAsia" w:ascii="宋体" w:hAnsi="宋体" w:eastAsia="宋体" w:cs="宋体"/>
          <w:sz w:val="28"/>
          <w:szCs w:val="28"/>
        </w:rPr>
        <w:t>本项目结合离子色谱在环境、食品、工业、医疗卫生、药物、农业等领域中的应用，科学界定了离子色谱的定义、特点，阐释了离子交换色谱、离子排斥色谱和离子对色谱3种离子色谱的分离机理及影响因素；针对离子色谱固定相和流动相开展了系列基础研究。首次提出了多层涂覆型离子色谱柱，所研制的新型涂覆型离子色谱柱，柱效达8万/米，是至今柱效最高的离子色谱柱，切实解决了长期困扰离子色谱低柱效的问题，为离子色谱在生物领域的应用奠定了基础；首次提出两性离子淋洗液，使离子色谱在中性条件下实现分离，从而使过渡金属离子的抑制电导检测成为可能；建立了间接抑制电导检测离子色谱法，从而实现了包括大量有机污染物、生物体中电离成分在内的大量弱电离物质的离子色谱分离，取得了新突破；在国内首次研制成新一代离子色谱阳离子固定相，使阳离子色谱柱可以同时分离和检测碱金属、碱土金属和有机胺类，从而实现阳离子色谱的抑制电导检测和一价和二价阳离子的同时分离，大大提高分离效率和灵敏度。首次将离子色谱应用于战略资源商品如铁矿石以及铜精矿中有害成分氟和氯的检测，并率先作为国家标准发布，受ISO/TC183和ISO/TC102/SC2两个国际标准技术委员会委托，项目组正在主导2项ISO国际标准的研制工作。</w:t>
      </w:r>
    </w:p>
    <w:p>
      <w:pPr>
        <w:spacing w:line="360" w:lineRule="auto"/>
        <w:ind w:firstLine="600"/>
        <w:jc w:val="both"/>
        <w:rPr>
          <w:rFonts w:hint="eastAsia" w:ascii="宋体" w:hAnsi="宋体" w:eastAsia="宋体" w:cs="宋体"/>
          <w:sz w:val="28"/>
          <w:szCs w:val="28"/>
        </w:rPr>
      </w:pPr>
      <w:r>
        <w:rPr>
          <w:rFonts w:hint="eastAsia" w:ascii="宋体" w:hAnsi="宋体" w:eastAsia="宋体" w:cs="宋体"/>
          <w:sz w:val="28"/>
          <w:szCs w:val="28"/>
        </w:rPr>
        <w:t>出版了《离子色谱方法及应用》，作为“十三五”国家重点出版物出版规划项目的经典著作，得到了行业从业者的高度赞誉，著作主编曾荣获国际离子色谱科学委员会颁发的“全球离子色谱学科发展作出突出贡献奖”，并荣获“中国色谱贡献奖”“中国离子色谱终身成就奖”。项目主持人发表离子色谱论文300余篇，是全球此领域发表SCI论文最多的作者，建立了100多种离子色谱分析方法，广泛应用于食品分析、药品分析、环境分析、化工分析等领域。项目组制定了离子色谱分析国家标准方法3项、行业标准方法4项，此类标准至今大多数被广泛应用了12年以上，在保障食品安全、进出口商品质量把关方面发挥了重要作用，社会效益巨大。</w:t>
      </w:r>
    </w:p>
    <w:p>
      <w:pPr>
        <w:spacing w:line="560" w:lineRule="exact"/>
        <w:jc w:val="both"/>
        <w:rPr>
          <w:rFonts w:hint="eastAsia" w:ascii="宋体" w:hAnsi="宋体" w:eastAsia="宋体" w:cs="宋体"/>
          <w:bCs/>
          <w:sz w:val="28"/>
          <w:szCs w:val="28"/>
        </w:rPr>
      </w:pPr>
      <w:r>
        <w:rPr>
          <w:rFonts w:hint="eastAsia" w:ascii="宋体" w:hAnsi="宋体" w:eastAsia="宋体" w:cs="宋体"/>
          <w:b/>
          <w:sz w:val="28"/>
          <w:szCs w:val="28"/>
        </w:rPr>
        <w:t>主要完成人（单位）:</w:t>
      </w:r>
      <w:r>
        <w:rPr>
          <w:rFonts w:hint="eastAsia" w:ascii="宋体" w:hAnsi="宋体" w:eastAsia="宋体" w:cs="宋体"/>
          <w:bCs/>
          <w:sz w:val="28"/>
          <w:szCs w:val="28"/>
        </w:rPr>
        <w:t>朱岩（朱岩(</w:t>
      </w:r>
      <w:r>
        <w:rPr>
          <w:rFonts w:hint="eastAsia" w:ascii="宋体" w:hAnsi="宋体" w:eastAsia="宋体" w:cs="宋体"/>
          <w:bCs/>
          <w:sz w:val="28"/>
          <w:szCs w:val="28"/>
          <w:lang w:val="en-US" w:eastAsia="zh-CN"/>
        </w:rPr>
        <w:t>工作单位：</w:t>
      </w:r>
      <w:r>
        <w:rPr>
          <w:rFonts w:hint="eastAsia" w:ascii="宋体" w:hAnsi="宋体" w:eastAsia="宋体" w:cs="宋体"/>
          <w:bCs/>
          <w:sz w:val="28"/>
          <w:szCs w:val="28"/>
        </w:rPr>
        <w:t>武昌理工学院</w:t>
      </w:r>
      <w:r>
        <w:rPr>
          <w:rFonts w:hint="eastAsia" w:ascii="宋体" w:hAnsi="宋体" w:eastAsia="宋体" w:cs="宋体"/>
          <w:bCs/>
          <w:sz w:val="28"/>
          <w:szCs w:val="28"/>
          <w:lang w:val="en-US" w:eastAsia="zh-CN"/>
        </w:rPr>
        <w:t xml:space="preserve">  完成单位：浙江大学</w:t>
      </w:r>
      <w:r>
        <w:rPr>
          <w:rFonts w:hint="eastAsia" w:ascii="宋体" w:hAnsi="宋体" w:eastAsia="宋体" w:cs="宋体"/>
          <w:bCs/>
          <w:sz w:val="28"/>
          <w:szCs w:val="28"/>
        </w:rPr>
        <w:t>)）、崔海容（武昌理工学院）、张培敏（浙江大学）、牟世芬（武昌理工学院）、</w:t>
      </w:r>
      <w:r>
        <w:rPr>
          <w:rFonts w:hint="eastAsia" w:ascii="宋体" w:hAnsi="宋体" w:eastAsia="宋体" w:cs="宋体"/>
          <w:kern w:val="2"/>
          <w:sz w:val="28"/>
          <w:szCs w:val="28"/>
        </w:rPr>
        <w:t>Nadeem Muhammad</w:t>
      </w:r>
      <w:r>
        <w:rPr>
          <w:rFonts w:hint="eastAsia" w:ascii="宋体" w:hAnsi="宋体" w:eastAsia="宋体" w:cs="宋体"/>
          <w:bCs/>
          <w:sz w:val="28"/>
          <w:szCs w:val="28"/>
        </w:rPr>
        <w:t>（武昌理工学院）</w:t>
      </w:r>
    </w:p>
    <w:p>
      <w:pPr>
        <w:spacing w:line="560" w:lineRule="exact"/>
        <w:jc w:val="both"/>
        <w:rPr>
          <w:rFonts w:hint="eastAsia" w:ascii="宋体" w:hAnsi="宋体" w:eastAsia="宋体" w:cs="宋体"/>
          <w:bCs/>
          <w:sz w:val="28"/>
          <w:szCs w:val="28"/>
        </w:rPr>
      </w:pPr>
      <w:r>
        <w:rPr>
          <w:rFonts w:hint="eastAsia" w:ascii="宋体" w:hAnsi="宋体" w:eastAsia="宋体" w:cs="宋体"/>
          <w:b/>
          <w:sz w:val="28"/>
          <w:szCs w:val="28"/>
        </w:rPr>
        <w:t>主要完成单位：</w:t>
      </w:r>
      <w:r>
        <w:rPr>
          <w:rFonts w:hint="eastAsia" w:ascii="宋体" w:hAnsi="宋体" w:eastAsia="宋体" w:cs="宋体"/>
          <w:sz w:val="28"/>
          <w:szCs w:val="28"/>
        </w:rPr>
        <w:t>武昌理工学院、浙江大学</w:t>
      </w:r>
    </w:p>
    <w:p>
      <w:pPr>
        <w:spacing w:line="560" w:lineRule="exact"/>
        <w:ind w:left="-567"/>
        <w:jc w:val="both"/>
        <w:rPr>
          <w:rFonts w:eastAsia="仿宋_GB2312"/>
          <w:b/>
          <w:sz w:val="30"/>
          <w:szCs w:val="30"/>
        </w:rPr>
      </w:pPr>
      <w:r>
        <w:rPr>
          <w:rFonts w:eastAsia="仿宋_GB2312"/>
          <w:b/>
          <w:sz w:val="30"/>
          <w:szCs w:val="30"/>
        </w:rPr>
        <w:t>代表性论文专著目录（</w:t>
      </w:r>
      <w:r>
        <w:rPr>
          <w:rFonts w:eastAsia="仿宋_GB2312"/>
          <w:bCs/>
          <w:sz w:val="30"/>
          <w:szCs w:val="30"/>
        </w:rPr>
        <w:t>适用于</w:t>
      </w:r>
      <w:r>
        <w:rPr>
          <w:rFonts w:eastAsia="仿宋_GB2312"/>
          <w:b/>
          <w:sz w:val="30"/>
          <w:szCs w:val="30"/>
        </w:rPr>
        <w:t>自然科学奖）：</w:t>
      </w:r>
    </w:p>
    <w:tbl>
      <w:tblPr>
        <w:tblStyle w:val="8"/>
        <w:tblpPr w:leftFromText="180" w:rightFromText="180" w:vertAnchor="text" w:horzAnchor="margin" w:tblpXSpec="center" w:tblpY="292"/>
        <w:tblW w:w="57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18"/>
        <w:gridCol w:w="3273"/>
        <w:gridCol w:w="1282"/>
        <w:gridCol w:w="879"/>
        <w:gridCol w:w="858"/>
        <w:gridCol w:w="683"/>
        <w:gridCol w:w="1286"/>
        <w:gridCol w:w="413"/>
        <w:gridCol w:w="576"/>
        <w:gridCol w:w="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5" w:hRule="atLeast"/>
        </w:trPr>
        <w:tc>
          <w:tcPr>
            <w:tcW w:w="207" w:type="pct"/>
            <w:vAlign w:val="center"/>
          </w:tcPr>
          <w:p>
            <w:pPr>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1623" w:type="pct"/>
            <w:vAlign w:val="center"/>
          </w:tcPr>
          <w:p>
            <w:pPr>
              <w:jc w:val="both"/>
              <w:textAlignment w:val="center"/>
              <w:rPr>
                <w:rFonts w:hint="eastAsia" w:ascii="宋体" w:hAnsi="宋体" w:eastAsia="宋体" w:cs="宋体"/>
                <w:b/>
                <w:bCs/>
                <w:sz w:val="18"/>
                <w:szCs w:val="18"/>
              </w:rPr>
            </w:pPr>
            <w:r>
              <w:rPr>
                <w:rFonts w:hint="eastAsia" w:ascii="宋体" w:hAnsi="宋体" w:eastAsia="宋体" w:cs="宋体"/>
                <w:b/>
                <w:bCs/>
                <w:sz w:val="18"/>
                <w:szCs w:val="18"/>
              </w:rPr>
              <w:t>论文（专著）名称/刊名/作者</w:t>
            </w:r>
          </w:p>
        </w:tc>
        <w:tc>
          <w:tcPr>
            <w:tcW w:w="635" w:type="pct"/>
            <w:vAlign w:val="center"/>
          </w:tcPr>
          <w:p>
            <w:pPr>
              <w:jc w:val="both"/>
              <w:textAlignment w:val="center"/>
              <w:rPr>
                <w:rFonts w:hint="eastAsia" w:ascii="宋体" w:hAnsi="宋体" w:eastAsia="宋体" w:cs="宋体"/>
                <w:b/>
                <w:bCs/>
                <w:sz w:val="18"/>
                <w:szCs w:val="18"/>
              </w:rPr>
            </w:pPr>
            <w:r>
              <w:rPr>
                <w:rFonts w:hint="eastAsia" w:ascii="宋体" w:hAnsi="宋体" w:eastAsia="宋体" w:cs="宋体"/>
                <w:b/>
                <w:bCs/>
                <w:sz w:val="18"/>
                <w:szCs w:val="18"/>
              </w:rPr>
              <w:t>年、卷、页码</w:t>
            </w:r>
          </w:p>
        </w:tc>
        <w:tc>
          <w:tcPr>
            <w:tcW w:w="436" w:type="pct"/>
            <w:vAlign w:val="center"/>
          </w:tcPr>
          <w:p>
            <w:pPr>
              <w:jc w:val="both"/>
              <w:textAlignment w:val="center"/>
              <w:rPr>
                <w:rFonts w:hint="eastAsia" w:ascii="宋体" w:hAnsi="宋体" w:eastAsia="宋体" w:cs="宋体"/>
                <w:b/>
                <w:bCs/>
                <w:sz w:val="18"/>
                <w:szCs w:val="18"/>
              </w:rPr>
            </w:pPr>
            <w:r>
              <w:rPr>
                <w:rFonts w:hint="eastAsia" w:ascii="宋体" w:hAnsi="宋体" w:eastAsia="宋体" w:cs="宋体"/>
                <w:b/>
                <w:bCs/>
                <w:sz w:val="18"/>
                <w:szCs w:val="18"/>
              </w:rPr>
              <w:t>发表时间（年月日）</w:t>
            </w:r>
          </w:p>
        </w:tc>
        <w:tc>
          <w:tcPr>
            <w:tcW w:w="425" w:type="pct"/>
            <w:vAlign w:val="center"/>
          </w:tcPr>
          <w:p>
            <w:pPr>
              <w:jc w:val="both"/>
              <w:textAlignment w:val="center"/>
              <w:rPr>
                <w:rFonts w:hint="eastAsia" w:ascii="宋体" w:hAnsi="宋体" w:eastAsia="宋体" w:cs="宋体"/>
                <w:b/>
                <w:bCs/>
                <w:sz w:val="18"/>
                <w:szCs w:val="18"/>
              </w:rPr>
            </w:pPr>
            <w:r>
              <w:rPr>
                <w:rFonts w:hint="eastAsia" w:ascii="宋体" w:hAnsi="宋体" w:eastAsia="宋体" w:cs="宋体"/>
                <w:b/>
                <w:bCs/>
                <w:sz w:val="18"/>
                <w:szCs w:val="18"/>
              </w:rPr>
              <w:t>通讯作者（含共同）</w:t>
            </w:r>
          </w:p>
        </w:tc>
        <w:tc>
          <w:tcPr>
            <w:tcW w:w="338" w:type="pct"/>
            <w:vAlign w:val="center"/>
          </w:tcPr>
          <w:p>
            <w:pPr>
              <w:jc w:val="both"/>
              <w:textAlignment w:val="center"/>
              <w:rPr>
                <w:rFonts w:hint="eastAsia" w:ascii="宋体" w:hAnsi="宋体" w:eastAsia="宋体" w:cs="宋体"/>
                <w:b/>
                <w:bCs/>
                <w:sz w:val="18"/>
                <w:szCs w:val="18"/>
              </w:rPr>
            </w:pPr>
            <w:r>
              <w:rPr>
                <w:rFonts w:hint="eastAsia" w:ascii="宋体" w:hAnsi="宋体" w:eastAsia="宋体" w:cs="宋体"/>
                <w:b/>
                <w:bCs/>
                <w:sz w:val="18"/>
                <w:szCs w:val="18"/>
              </w:rPr>
              <w:t>第一作者（含共同）</w:t>
            </w:r>
          </w:p>
        </w:tc>
        <w:tc>
          <w:tcPr>
            <w:tcW w:w="637" w:type="pct"/>
            <w:vAlign w:val="center"/>
          </w:tcPr>
          <w:p>
            <w:pPr>
              <w:jc w:val="both"/>
              <w:textAlignment w:val="center"/>
              <w:rPr>
                <w:rFonts w:hint="eastAsia" w:ascii="宋体" w:hAnsi="宋体" w:eastAsia="宋体" w:cs="宋体"/>
                <w:b/>
                <w:bCs/>
                <w:sz w:val="18"/>
                <w:szCs w:val="18"/>
              </w:rPr>
            </w:pPr>
            <w:r>
              <w:rPr>
                <w:rFonts w:hint="eastAsia" w:ascii="宋体" w:hAnsi="宋体" w:eastAsia="宋体" w:cs="宋体"/>
                <w:b/>
                <w:bCs/>
                <w:sz w:val="18"/>
                <w:szCs w:val="18"/>
              </w:rPr>
              <w:t>国内作者</w:t>
            </w:r>
          </w:p>
        </w:tc>
        <w:tc>
          <w:tcPr>
            <w:tcW w:w="204" w:type="pct"/>
            <w:vAlign w:val="center"/>
          </w:tcPr>
          <w:p>
            <w:pPr>
              <w:jc w:val="both"/>
              <w:textAlignment w:val="center"/>
              <w:rPr>
                <w:rFonts w:hint="eastAsia" w:ascii="宋体" w:hAnsi="宋体" w:eastAsia="宋体" w:cs="宋体"/>
                <w:b/>
                <w:bCs/>
                <w:sz w:val="18"/>
                <w:szCs w:val="18"/>
              </w:rPr>
            </w:pPr>
            <w:r>
              <w:rPr>
                <w:rFonts w:hint="eastAsia" w:ascii="宋体" w:hAnsi="宋体" w:eastAsia="宋体" w:cs="宋体"/>
                <w:b/>
                <w:bCs/>
                <w:sz w:val="18"/>
                <w:szCs w:val="18"/>
              </w:rPr>
              <w:t>他引总次数</w:t>
            </w:r>
          </w:p>
        </w:tc>
        <w:tc>
          <w:tcPr>
            <w:tcW w:w="285" w:type="pct"/>
            <w:vAlign w:val="center"/>
          </w:tcPr>
          <w:p>
            <w:pPr>
              <w:jc w:val="both"/>
              <w:textAlignment w:val="center"/>
              <w:rPr>
                <w:rFonts w:hint="eastAsia" w:ascii="宋体" w:hAnsi="宋体" w:eastAsia="宋体" w:cs="宋体"/>
                <w:b/>
                <w:bCs/>
                <w:sz w:val="18"/>
                <w:szCs w:val="18"/>
              </w:rPr>
            </w:pPr>
            <w:r>
              <w:rPr>
                <w:rFonts w:hint="eastAsia" w:ascii="宋体" w:hAnsi="宋体" w:eastAsia="宋体" w:cs="宋体"/>
                <w:b/>
                <w:bCs/>
                <w:sz w:val="18"/>
                <w:szCs w:val="18"/>
              </w:rPr>
              <w:t>检索数据库</w:t>
            </w:r>
          </w:p>
        </w:tc>
        <w:tc>
          <w:tcPr>
            <w:tcW w:w="203" w:type="pct"/>
            <w:vAlign w:val="center"/>
          </w:tcPr>
          <w:p>
            <w:pPr>
              <w:autoSpaceDE w:val="0"/>
              <w:autoSpaceDN w:val="0"/>
              <w:adjustRightInd w:val="0"/>
              <w:jc w:val="both"/>
              <w:textAlignment w:val="center"/>
              <w:rPr>
                <w:rFonts w:hint="eastAsia" w:ascii="宋体" w:hAnsi="宋体" w:eastAsia="宋体" w:cs="宋体"/>
                <w:b/>
                <w:bCs/>
                <w:sz w:val="18"/>
                <w:szCs w:val="18"/>
              </w:rPr>
            </w:pPr>
            <w:r>
              <w:rPr>
                <w:rFonts w:hint="eastAsia" w:ascii="宋体" w:hAnsi="宋体" w:eastAsia="宋体" w:cs="宋体"/>
                <w:b/>
                <w:bCs/>
                <w:sz w:val="18"/>
                <w:szCs w:val="18"/>
              </w:rPr>
              <w:t>论文署名单位是否包含国外单位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trPr>
        <w:tc>
          <w:tcPr>
            <w:tcW w:w="207" w:type="pct"/>
            <w:vAlign w:val="center"/>
          </w:tcPr>
          <w:p>
            <w:pPr>
              <w:jc w:val="center"/>
              <w:textAlignment w:val="center"/>
              <w:rPr>
                <w:rFonts w:eastAsia="仿宋_GB2312"/>
                <w:kern w:val="2"/>
                <w:sz w:val="16"/>
                <w:szCs w:val="16"/>
              </w:rPr>
            </w:pPr>
            <w:r>
              <w:rPr>
                <w:rFonts w:eastAsia="仿宋_GB2312"/>
                <w:kern w:val="2"/>
                <w:sz w:val="16"/>
                <w:szCs w:val="16"/>
              </w:rPr>
              <w:t>1</w:t>
            </w:r>
          </w:p>
        </w:tc>
        <w:tc>
          <w:tcPr>
            <w:tcW w:w="1623" w:type="pct"/>
            <w:vAlign w:val="center"/>
          </w:tcPr>
          <w:p>
            <w:pPr>
              <w:pStyle w:val="3"/>
              <w:shd w:val="clear" w:color="auto" w:fill="FFFFFF"/>
              <w:spacing w:before="0" w:beforeAutospacing="0" w:after="0" w:afterAutospacing="0"/>
              <w:jc w:val="both"/>
              <w:textAlignment w:val="center"/>
              <w:rPr>
                <w:rFonts w:eastAsia="仿宋_GB2312"/>
                <w:b w:val="0"/>
                <w:bCs w:val="0"/>
                <w:kern w:val="2"/>
                <w:sz w:val="16"/>
                <w:szCs w:val="16"/>
              </w:rPr>
            </w:pPr>
            <w:r>
              <w:rPr>
                <w:rFonts w:eastAsia="仿宋_GB2312"/>
                <w:b w:val="0"/>
                <w:bCs w:val="0"/>
                <w:kern w:val="2"/>
                <w:sz w:val="16"/>
                <w:szCs w:val="16"/>
              </w:rPr>
              <w:t>离子色谱方法及应用</w:t>
            </w:r>
          </w:p>
          <w:p>
            <w:pPr>
              <w:pStyle w:val="3"/>
              <w:shd w:val="clear" w:color="auto" w:fill="FFFFFF"/>
              <w:spacing w:before="0" w:beforeAutospacing="0" w:after="0" w:afterAutospacing="0"/>
              <w:jc w:val="both"/>
              <w:textAlignment w:val="center"/>
              <w:rPr>
                <w:rFonts w:eastAsia="仿宋_GB2312"/>
                <w:b w:val="0"/>
                <w:bCs w:val="0"/>
                <w:kern w:val="2"/>
                <w:sz w:val="16"/>
                <w:szCs w:val="16"/>
              </w:rPr>
            </w:pPr>
            <w:r>
              <w:rPr>
                <w:rFonts w:eastAsia="仿宋_GB2312"/>
                <w:kern w:val="2"/>
                <w:sz w:val="16"/>
                <w:szCs w:val="16"/>
              </w:rPr>
              <w:t>化学工业出版社</w:t>
            </w:r>
            <w:r>
              <w:rPr>
                <w:rFonts w:eastAsia="仿宋_GB2312"/>
                <w:b w:val="0"/>
                <w:bCs w:val="0"/>
                <w:kern w:val="2"/>
                <w:sz w:val="16"/>
                <w:szCs w:val="16"/>
              </w:rPr>
              <w:t>/</w:t>
            </w:r>
            <w:r>
              <w:rPr>
                <w:rFonts w:eastAsia="仿宋_GB2312"/>
                <w:kern w:val="2"/>
                <w:sz w:val="16"/>
                <w:szCs w:val="16"/>
              </w:rPr>
              <w:t>牟世芬, 朱岩, 刘克纳.</w:t>
            </w:r>
          </w:p>
        </w:tc>
        <w:tc>
          <w:tcPr>
            <w:tcW w:w="635" w:type="pct"/>
            <w:vAlign w:val="center"/>
          </w:tcPr>
          <w:p>
            <w:pPr>
              <w:widowControl w:val="0"/>
              <w:wordWrap w:val="0"/>
              <w:jc w:val="center"/>
              <w:textAlignment w:val="center"/>
              <w:rPr>
                <w:rFonts w:hint="default" w:eastAsia="仿宋_GB2312"/>
                <w:kern w:val="2"/>
                <w:sz w:val="16"/>
                <w:szCs w:val="16"/>
                <w:lang w:val="en-US" w:eastAsia="zh-CN"/>
              </w:rPr>
            </w:pPr>
            <w:r>
              <w:rPr>
                <w:rFonts w:eastAsia="仿宋_GB2312"/>
                <w:kern w:val="2"/>
                <w:sz w:val="16"/>
                <w:szCs w:val="16"/>
              </w:rPr>
              <w:t xml:space="preserve">2018, </w:t>
            </w:r>
            <w:r>
              <w:rPr>
                <w:rFonts w:hint="eastAsia" w:eastAsia="仿宋_GB2312"/>
                <w:kern w:val="2"/>
                <w:sz w:val="16"/>
                <w:szCs w:val="16"/>
                <w:lang w:val="en-US" w:eastAsia="zh-CN"/>
              </w:rPr>
              <w:t>412页</w:t>
            </w:r>
            <w:bookmarkStart w:id="0" w:name="_GoBack"/>
            <w:bookmarkEnd w:id="0"/>
          </w:p>
        </w:tc>
        <w:tc>
          <w:tcPr>
            <w:tcW w:w="436" w:type="pct"/>
            <w:vAlign w:val="center"/>
          </w:tcPr>
          <w:p>
            <w:pPr>
              <w:jc w:val="center"/>
              <w:textAlignment w:val="center"/>
              <w:rPr>
                <w:rFonts w:eastAsia="仿宋_GB2312"/>
                <w:kern w:val="2"/>
                <w:sz w:val="16"/>
                <w:szCs w:val="16"/>
              </w:rPr>
            </w:pPr>
            <w:r>
              <w:rPr>
                <w:rFonts w:eastAsia="仿宋_GB2312"/>
                <w:kern w:val="2"/>
                <w:sz w:val="16"/>
                <w:szCs w:val="16"/>
              </w:rPr>
              <w:t>2018.05</w:t>
            </w:r>
          </w:p>
        </w:tc>
        <w:tc>
          <w:tcPr>
            <w:tcW w:w="425" w:type="pct"/>
            <w:vAlign w:val="center"/>
          </w:tcPr>
          <w:p>
            <w:pPr>
              <w:jc w:val="center"/>
              <w:textAlignment w:val="center"/>
              <w:rPr>
                <w:rFonts w:eastAsia="仿宋_GB2312"/>
                <w:kern w:val="2"/>
                <w:sz w:val="16"/>
                <w:szCs w:val="16"/>
              </w:rPr>
            </w:pPr>
            <w:r>
              <w:rPr>
                <w:rFonts w:eastAsia="仿宋_GB2312"/>
                <w:kern w:val="2"/>
                <w:sz w:val="16"/>
                <w:szCs w:val="16"/>
              </w:rPr>
              <w:t>牟世芬, 朱岩, 刘克纳</w:t>
            </w:r>
          </w:p>
        </w:tc>
        <w:tc>
          <w:tcPr>
            <w:tcW w:w="338" w:type="pct"/>
            <w:vAlign w:val="center"/>
          </w:tcPr>
          <w:p>
            <w:pPr>
              <w:jc w:val="center"/>
              <w:textAlignment w:val="center"/>
              <w:rPr>
                <w:rFonts w:eastAsia="仿宋_GB2312"/>
                <w:kern w:val="2"/>
                <w:sz w:val="16"/>
                <w:szCs w:val="16"/>
              </w:rPr>
            </w:pPr>
            <w:r>
              <w:rPr>
                <w:rFonts w:eastAsia="仿宋_GB2312"/>
                <w:kern w:val="2"/>
                <w:sz w:val="16"/>
                <w:szCs w:val="16"/>
              </w:rPr>
              <w:t>牟世芬</w:t>
            </w:r>
          </w:p>
        </w:tc>
        <w:tc>
          <w:tcPr>
            <w:tcW w:w="637" w:type="pct"/>
            <w:vAlign w:val="center"/>
          </w:tcPr>
          <w:p>
            <w:pPr>
              <w:jc w:val="center"/>
              <w:textAlignment w:val="center"/>
              <w:rPr>
                <w:rFonts w:eastAsia="仿宋_GB2312"/>
                <w:kern w:val="2"/>
                <w:sz w:val="16"/>
                <w:szCs w:val="16"/>
              </w:rPr>
            </w:pPr>
            <w:r>
              <w:rPr>
                <w:rFonts w:eastAsia="仿宋_GB2312"/>
                <w:kern w:val="2"/>
                <w:sz w:val="16"/>
                <w:szCs w:val="16"/>
              </w:rPr>
              <w:t>朱岩, 刘克纳</w:t>
            </w:r>
          </w:p>
        </w:tc>
        <w:tc>
          <w:tcPr>
            <w:tcW w:w="204" w:type="pct"/>
            <w:vAlign w:val="center"/>
          </w:tcPr>
          <w:p>
            <w:pPr>
              <w:jc w:val="center"/>
              <w:textAlignment w:val="center"/>
              <w:rPr>
                <w:rFonts w:eastAsia="仿宋_GB2312"/>
                <w:kern w:val="2"/>
                <w:sz w:val="16"/>
                <w:szCs w:val="16"/>
              </w:rPr>
            </w:pPr>
          </w:p>
        </w:tc>
        <w:tc>
          <w:tcPr>
            <w:tcW w:w="285" w:type="pct"/>
            <w:vAlign w:val="center"/>
          </w:tcPr>
          <w:p>
            <w:pPr>
              <w:jc w:val="center"/>
              <w:textAlignment w:val="center"/>
              <w:rPr>
                <w:rFonts w:eastAsia="仿宋_GB2312"/>
                <w:kern w:val="2"/>
                <w:sz w:val="16"/>
                <w:szCs w:val="16"/>
              </w:rPr>
            </w:pPr>
            <w:r>
              <w:rPr>
                <w:rFonts w:eastAsia="仿宋_GB2312"/>
                <w:kern w:val="2"/>
                <w:sz w:val="16"/>
                <w:szCs w:val="16"/>
              </w:rPr>
              <w:t>CNKI</w:t>
            </w:r>
          </w:p>
        </w:tc>
        <w:tc>
          <w:tcPr>
            <w:tcW w:w="203" w:type="pct"/>
            <w:vAlign w:val="center"/>
          </w:tcPr>
          <w:p>
            <w:pPr>
              <w:jc w:val="center"/>
              <w:textAlignment w:val="center"/>
              <w:rPr>
                <w:rFonts w:eastAsia="仿宋_GB2312"/>
                <w:kern w:val="2"/>
                <w:sz w:val="16"/>
                <w:szCs w:val="16"/>
              </w:rPr>
            </w:pPr>
            <w:r>
              <w:rPr>
                <w:rFonts w:eastAsia="仿宋_GB2312"/>
                <w:kern w:val="2"/>
                <w:sz w:val="16"/>
                <w:szCs w:val="16"/>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trPr>
        <w:tc>
          <w:tcPr>
            <w:tcW w:w="207" w:type="pct"/>
            <w:vAlign w:val="center"/>
          </w:tcPr>
          <w:p>
            <w:pPr>
              <w:jc w:val="center"/>
              <w:textAlignment w:val="center"/>
              <w:rPr>
                <w:rFonts w:eastAsia="仿宋_GB2312"/>
                <w:kern w:val="2"/>
                <w:sz w:val="16"/>
                <w:szCs w:val="16"/>
              </w:rPr>
            </w:pPr>
            <w:r>
              <w:rPr>
                <w:rFonts w:eastAsia="仿宋_GB2312"/>
                <w:kern w:val="2"/>
                <w:sz w:val="16"/>
                <w:szCs w:val="16"/>
              </w:rPr>
              <w:t>2</w:t>
            </w:r>
          </w:p>
        </w:tc>
        <w:tc>
          <w:tcPr>
            <w:tcW w:w="1623" w:type="pct"/>
            <w:vAlign w:val="center"/>
          </w:tcPr>
          <w:p>
            <w:pPr>
              <w:pStyle w:val="7"/>
              <w:shd w:val="clear" w:color="auto" w:fill="FFFFFF"/>
              <w:spacing w:before="0" w:beforeAutospacing="0" w:after="0" w:afterAutospacing="0"/>
              <w:jc w:val="both"/>
              <w:textAlignment w:val="center"/>
              <w:rPr>
                <w:rFonts w:eastAsia="仿宋_GB2312"/>
                <w:kern w:val="2"/>
                <w:sz w:val="16"/>
                <w:szCs w:val="16"/>
              </w:rPr>
            </w:pPr>
            <w:r>
              <w:rPr>
                <w:rFonts w:eastAsia="仿宋_GB2312"/>
                <w:kern w:val="2"/>
                <w:sz w:val="16"/>
                <w:szCs w:val="16"/>
              </w:rPr>
              <w:t xml:space="preserve">Covalent functionalization of multi-walled carbon nanotubes with quaternary ammonium groups and its application in ion chromatography.  </w:t>
            </w:r>
            <w:r>
              <w:rPr>
                <w:rFonts w:eastAsia="仿宋_GB2312"/>
                <w:b/>
                <w:bCs/>
                <w:i/>
                <w:iCs/>
                <w:kern w:val="2"/>
                <w:sz w:val="16"/>
                <w:szCs w:val="16"/>
              </w:rPr>
              <w:t>CARBON</w:t>
            </w:r>
            <w:r>
              <w:rPr>
                <w:rFonts w:eastAsia="仿宋_GB2312"/>
                <w:kern w:val="2"/>
                <w:sz w:val="16"/>
                <w:szCs w:val="16"/>
              </w:rPr>
              <w:t>/</w:t>
            </w:r>
            <w:r>
              <w:rPr>
                <w:rFonts w:eastAsia="仿宋_GB2312"/>
                <w:sz w:val="16"/>
                <w:szCs w:val="16"/>
              </w:rPr>
              <w:t>ZhongpingHuang, Lingling Xi, QamarSubhani, Wenwu Yan, WeiqiangGuo, Yan Zhu.</w:t>
            </w:r>
          </w:p>
        </w:tc>
        <w:tc>
          <w:tcPr>
            <w:tcW w:w="635" w:type="pct"/>
            <w:vAlign w:val="center"/>
          </w:tcPr>
          <w:p>
            <w:pPr>
              <w:widowControl w:val="0"/>
              <w:wordWrap w:val="0"/>
              <w:jc w:val="center"/>
              <w:textAlignment w:val="center"/>
              <w:rPr>
                <w:rFonts w:eastAsia="仿宋_GB2312"/>
                <w:kern w:val="2"/>
                <w:sz w:val="16"/>
                <w:szCs w:val="16"/>
              </w:rPr>
            </w:pPr>
            <w:r>
              <w:rPr>
                <w:rFonts w:eastAsia="仿宋_GB2312"/>
                <w:kern w:val="2"/>
                <w:sz w:val="16"/>
                <w:szCs w:val="16"/>
              </w:rPr>
              <w:t>2013, 62, 127-134</w:t>
            </w:r>
          </w:p>
        </w:tc>
        <w:tc>
          <w:tcPr>
            <w:tcW w:w="436" w:type="pct"/>
            <w:vAlign w:val="center"/>
          </w:tcPr>
          <w:p>
            <w:pPr>
              <w:jc w:val="center"/>
              <w:textAlignment w:val="center"/>
              <w:rPr>
                <w:rFonts w:eastAsia="仿宋_GB2312"/>
                <w:sz w:val="16"/>
                <w:szCs w:val="16"/>
              </w:rPr>
            </w:pPr>
            <w:r>
              <w:rPr>
                <w:rFonts w:eastAsia="仿宋_GB2312"/>
                <w:sz w:val="16"/>
                <w:szCs w:val="16"/>
              </w:rPr>
              <w:t>2013.06.19</w:t>
            </w:r>
          </w:p>
        </w:tc>
        <w:tc>
          <w:tcPr>
            <w:tcW w:w="425" w:type="pct"/>
            <w:vAlign w:val="center"/>
          </w:tcPr>
          <w:p>
            <w:pPr>
              <w:jc w:val="center"/>
              <w:textAlignment w:val="center"/>
              <w:rPr>
                <w:rFonts w:eastAsia="仿宋_GB2312"/>
                <w:sz w:val="16"/>
                <w:szCs w:val="16"/>
              </w:rPr>
            </w:pPr>
            <w:r>
              <w:rPr>
                <w:rFonts w:eastAsia="仿宋_GB2312"/>
                <w:sz w:val="16"/>
                <w:szCs w:val="16"/>
              </w:rPr>
              <w:t>Yan Zhu</w:t>
            </w:r>
          </w:p>
        </w:tc>
        <w:tc>
          <w:tcPr>
            <w:tcW w:w="338" w:type="pct"/>
            <w:vAlign w:val="center"/>
          </w:tcPr>
          <w:p>
            <w:pPr>
              <w:jc w:val="center"/>
              <w:textAlignment w:val="center"/>
              <w:rPr>
                <w:rFonts w:eastAsia="仿宋_GB2312"/>
                <w:sz w:val="16"/>
                <w:szCs w:val="16"/>
              </w:rPr>
            </w:pPr>
            <w:r>
              <w:rPr>
                <w:rFonts w:eastAsia="仿宋_GB2312"/>
                <w:sz w:val="16"/>
                <w:szCs w:val="16"/>
              </w:rPr>
              <w:t>Zhongping Huang</w:t>
            </w:r>
          </w:p>
        </w:tc>
        <w:tc>
          <w:tcPr>
            <w:tcW w:w="637" w:type="pct"/>
            <w:vAlign w:val="center"/>
          </w:tcPr>
          <w:p>
            <w:pPr>
              <w:jc w:val="center"/>
              <w:textAlignment w:val="center"/>
              <w:rPr>
                <w:rFonts w:eastAsia="仿宋_GB2312"/>
                <w:sz w:val="16"/>
                <w:szCs w:val="16"/>
              </w:rPr>
            </w:pPr>
            <w:r>
              <w:rPr>
                <w:rFonts w:eastAsia="仿宋_GB2312"/>
                <w:sz w:val="16"/>
                <w:szCs w:val="16"/>
              </w:rPr>
              <w:t>Zhongping Huang, Lingling Xi, QamarSubhani, Wenwu Yan, Weiqiang Guo, Yan Zhu</w:t>
            </w:r>
          </w:p>
        </w:tc>
        <w:tc>
          <w:tcPr>
            <w:tcW w:w="204" w:type="pct"/>
            <w:vAlign w:val="center"/>
          </w:tcPr>
          <w:p>
            <w:pPr>
              <w:jc w:val="center"/>
              <w:textAlignment w:val="center"/>
              <w:rPr>
                <w:rFonts w:eastAsia="仿宋_GB2312"/>
                <w:sz w:val="16"/>
                <w:szCs w:val="16"/>
              </w:rPr>
            </w:pPr>
            <w:r>
              <w:rPr>
                <w:rFonts w:eastAsia="仿宋_GB2312"/>
                <w:sz w:val="16"/>
                <w:szCs w:val="16"/>
              </w:rPr>
              <w:t>56</w:t>
            </w:r>
          </w:p>
        </w:tc>
        <w:tc>
          <w:tcPr>
            <w:tcW w:w="285" w:type="pct"/>
          </w:tcPr>
          <w:p>
            <w:pPr>
              <w:jc w:val="center"/>
              <w:textAlignment w:val="center"/>
              <w:rPr>
                <w:rFonts w:eastAsia="仿宋_GB2312"/>
                <w:sz w:val="16"/>
                <w:szCs w:val="16"/>
              </w:rPr>
            </w:pPr>
            <w:r>
              <w:rPr>
                <w:rFonts w:eastAsia="仿宋_GB2312"/>
                <w:sz w:val="16"/>
                <w:szCs w:val="16"/>
              </w:rPr>
              <w:t>NCBI</w:t>
            </w:r>
          </w:p>
        </w:tc>
        <w:tc>
          <w:tcPr>
            <w:tcW w:w="203" w:type="pct"/>
            <w:vAlign w:val="center"/>
          </w:tcPr>
          <w:p>
            <w:pPr>
              <w:jc w:val="center"/>
              <w:textAlignment w:val="center"/>
              <w:rPr>
                <w:rFonts w:eastAsia="仿宋_GB2312"/>
                <w:kern w:val="2"/>
                <w:sz w:val="16"/>
                <w:szCs w:val="16"/>
              </w:rPr>
            </w:pPr>
            <w:r>
              <w:rPr>
                <w:rFonts w:eastAsia="仿宋_GB2312"/>
                <w:kern w:val="2"/>
                <w:sz w:val="16"/>
                <w:szCs w:val="16"/>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trPr>
        <w:tc>
          <w:tcPr>
            <w:tcW w:w="207" w:type="pct"/>
            <w:vAlign w:val="center"/>
          </w:tcPr>
          <w:p>
            <w:pPr>
              <w:jc w:val="center"/>
              <w:textAlignment w:val="center"/>
              <w:rPr>
                <w:rFonts w:eastAsia="仿宋_GB2312"/>
                <w:kern w:val="2"/>
                <w:sz w:val="16"/>
                <w:szCs w:val="16"/>
              </w:rPr>
            </w:pPr>
            <w:r>
              <w:rPr>
                <w:rFonts w:eastAsia="仿宋_GB2312"/>
                <w:kern w:val="2"/>
                <w:sz w:val="16"/>
                <w:szCs w:val="16"/>
              </w:rPr>
              <w:t>3</w:t>
            </w:r>
          </w:p>
        </w:tc>
        <w:tc>
          <w:tcPr>
            <w:tcW w:w="1623" w:type="pct"/>
            <w:vAlign w:val="center"/>
          </w:tcPr>
          <w:p>
            <w:pPr>
              <w:pStyle w:val="3"/>
              <w:shd w:val="clear" w:color="auto" w:fill="FFFFFF"/>
              <w:spacing w:before="0" w:beforeAutospacing="0" w:after="0" w:afterAutospacing="0"/>
              <w:jc w:val="both"/>
              <w:textAlignment w:val="center"/>
              <w:rPr>
                <w:rFonts w:eastAsia="仿宋_GB2312"/>
                <w:i/>
                <w:iCs/>
                <w:kern w:val="2"/>
                <w:sz w:val="16"/>
                <w:szCs w:val="16"/>
              </w:rPr>
            </w:pPr>
            <w:r>
              <w:rPr>
                <w:rFonts w:eastAsia="仿宋_GB2312"/>
                <w:b w:val="0"/>
                <w:bCs w:val="0"/>
                <w:kern w:val="2"/>
                <w:sz w:val="16"/>
                <w:szCs w:val="16"/>
              </w:rPr>
              <w:t>Comprehensive two-dimensional ion chromatography (2D-IC) coupled to a post-column photochemical fluorescence detection system for determination of neonicotinoids (imidacloprid and clothianidin) in food samples.</w:t>
            </w:r>
          </w:p>
          <w:p>
            <w:pPr>
              <w:pStyle w:val="3"/>
              <w:shd w:val="clear" w:color="auto" w:fill="FFFFFF"/>
              <w:spacing w:before="0" w:beforeAutospacing="0" w:after="0" w:afterAutospacing="0"/>
              <w:jc w:val="both"/>
              <w:textAlignment w:val="center"/>
              <w:rPr>
                <w:rFonts w:eastAsia="仿宋_GB2312"/>
                <w:b w:val="0"/>
                <w:bCs w:val="0"/>
                <w:kern w:val="2"/>
                <w:sz w:val="16"/>
                <w:szCs w:val="16"/>
              </w:rPr>
            </w:pPr>
            <w:r>
              <w:rPr>
                <w:rFonts w:eastAsia="仿宋_GB2312"/>
                <w:i/>
                <w:iCs/>
                <w:kern w:val="2"/>
                <w:sz w:val="16"/>
                <w:szCs w:val="16"/>
              </w:rPr>
              <w:t>RSC advances</w:t>
            </w:r>
            <w:r>
              <w:rPr>
                <w:rFonts w:eastAsia="仿宋_GB2312"/>
                <w:b w:val="0"/>
                <w:bCs w:val="0"/>
                <w:kern w:val="2"/>
                <w:sz w:val="16"/>
                <w:szCs w:val="16"/>
              </w:rPr>
              <w:t>/Nadeem Muhammad, Fenglian Wang, QamarSubhani, Qiming Zhao, Muhammad Abdul Qadir, Hairong Cui, Yan Zhu.</w:t>
            </w:r>
          </w:p>
        </w:tc>
        <w:tc>
          <w:tcPr>
            <w:tcW w:w="635" w:type="pct"/>
            <w:vAlign w:val="center"/>
          </w:tcPr>
          <w:p>
            <w:pPr>
              <w:widowControl w:val="0"/>
              <w:wordWrap w:val="0"/>
              <w:jc w:val="center"/>
              <w:textAlignment w:val="center"/>
              <w:rPr>
                <w:rFonts w:eastAsia="仿宋_GB2312"/>
                <w:kern w:val="2"/>
                <w:sz w:val="16"/>
                <w:szCs w:val="16"/>
              </w:rPr>
            </w:pPr>
            <w:r>
              <w:rPr>
                <w:rFonts w:eastAsia="仿宋_GB2312"/>
                <w:kern w:val="2"/>
                <w:sz w:val="16"/>
                <w:szCs w:val="16"/>
              </w:rPr>
              <w:t>2018, 8, 9277-9286</w:t>
            </w:r>
          </w:p>
        </w:tc>
        <w:tc>
          <w:tcPr>
            <w:tcW w:w="436" w:type="pct"/>
            <w:vAlign w:val="center"/>
          </w:tcPr>
          <w:p>
            <w:pPr>
              <w:jc w:val="center"/>
              <w:textAlignment w:val="center"/>
              <w:rPr>
                <w:rFonts w:eastAsia="仿宋_GB2312"/>
                <w:kern w:val="2"/>
                <w:sz w:val="16"/>
                <w:szCs w:val="16"/>
              </w:rPr>
            </w:pPr>
            <w:r>
              <w:rPr>
                <w:rFonts w:eastAsia="仿宋_GB2312"/>
                <w:kern w:val="2"/>
                <w:sz w:val="16"/>
                <w:szCs w:val="16"/>
              </w:rPr>
              <w:t>2018.03.02</w:t>
            </w:r>
          </w:p>
        </w:tc>
        <w:tc>
          <w:tcPr>
            <w:tcW w:w="425" w:type="pct"/>
            <w:vAlign w:val="center"/>
          </w:tcPr>
          <w:p>
            <w:pPr>
              <w:jc w:val="center"/>
              <w:textAlignment w:val="center"/>
              <w:rPr>
                <w:rFonts w:eastAsia="仿宋_GB2312"/>
                <w:kern w:val="2"/>
                <w:sz w:val="16"/>
                <w:szCs w:val="16"/>
              </w:rPr>
            </w:pPr>
            <w:r>
              <w:rPr>
                <w:rFonts w:eastAsia="仿宋_GB2312"/>
                <w:kern w:val="2"/>
                <w:sz w:val="16"/>
                <w:szCs w:val="16"/>
              </w:rPr>
              <w:t>Yan Zhu</w:t>
            </w:r>
          </w:p>
        </w:tc>
        <w:tc>
          <w:tcPr>
            <w:tcW w:w="338" w:type="pct"/>
            <w:vAlign w:val="center"/>
          </w:tcPr>
          <w:p>
            <w:pPr>
              <w:jc w:val="center"/>
              <w:textAlignment w:val="center"/>
              <w:rPr>
                <w:rFonts w:eastAsia="仿宋_GB2312"/>
                <w:kern w:val="2"/>
                <w:sz w:val="16"/>
                <w:szCs w:val="16"/>
              </w:rPr>
            </w:pPr>
            <w:r>
              <w:rPr>
                <w:rFonts w:eastAsia="仿宋_GB2312"/>
                <w:kern w:val="2"/>
                <w:sz w:val="16"/>
                <w:szCs w:val="16"/>
              </w:rPr>
              <w:t>Nadeem Muhammad</w:t>
            </w:r>
          </w:p>
        </w:tc>
        <w:tc>
          <w:tcPr>
            <w:tcW w:w="637" w:type="pct"/>
            <w:vAlign w:val="center"/>
          </w:tcPr>
          <w:p>
            <w:pPr>
              <w:jc w:val="center"/>
              <w:textAlignment w:val="center"/>
              <w:rPr>
                <w:rFonts w:eastAsia="仿宋_GB2312"/>
                <w:kern w:val="2"/>
                <w:sz w:val="16"/>
                <w:szCs w:val="16"/>
              </w:rPr>
            </w:pPr>
            <w:r>
              <w:rPr>
                <w:rFonts w:eastAsia="仿宋_GB2312"/>
                <w:kern w:val="2"/>
                <w:sz w:val="16"/>
                <w:szCs w:val="16"/>
              </w:rPr>
              <w:t>Nadeem Muhammad, Fenglian Wang, Qiming Zhao, Hairong Cui, Yan Zhu</w:t>
            </w:r>
          </w:p>
        </w:tc>
        <w:tc>
          <w:tcPr>
            <w:tcW w:w="204" w:type="pct"/>
            <w:vAlign w:val="center"/>
          </w:tcPr>
          <w:p>
            <w:pPr>
              <w:jc w:val="center"/>
              <w:textAlignment w:val="center"/>
              <w:rPr>
                <w:rFonts w:eastAsia="仿宋_GB2312"/>
                <w:kern w:val="2"/>
                <w:sz w:val="16"/>
                <w:szCs w:val="16"/>
              </w:rPr>
            </w:pPr>
            <w:r>
              <w:rPr>
                <w:rFonts w:eastAsia="仿宋_GB2312"/>
                <w:kern w:val="2"/>
                <w:sz w:val="16"/>
                <w:szCs w:val="16"/>
              </w:rPr>
              <w:t>34</w:t>
            </w:r>
          </w:p>
        </w:tc>
        <w:tc>
          <w:tcPr>
            <w:tcW w:w="285" w:type="pct"/>
          </w:tcPr>
          <w:p>
            <w:pPr>
              <w:jc w:val="center"/>
              <w:textAlignment w:val="center"/>
              <w:rPr>
                <w:rFonts w:eastAsia="仿宋_GB2312"/>
                <w:kern w:val="2"/>
                <w:sz w:val="16"/>
                <w:szCs w:val="16"/>
              </w:rPr>
            </w:pPr>
            <w:r>
              <w:rPr>
                <w:rFonts w:eastAsia="仿宋_GB2312"/>
                <w:kern w:val="2"/>
                <w:sz w:val="16"/>
                <w:szCs w:val="16"/>
              </w:rPr>
              <w:t>Google Scholar</w:t>
            </w:r>
          </w:p>
        </w:tc>
        <w:tc>
          <w:tcPr>
            <w:tcW w:w="203" w:type="pct"/>
            <w:vAlign w:val="center"/>
          </w:tcPr>
          <w:p>
            <w:pPr>
              <w:jc w:val="center"/>
              <w:textAlignment w:val="center"/>
              <w:rPr>
                <w:rFonts w:eastAsia="仿宋_GB2312"/>
                <w:kern w:val="2"/>
                <w:sz w:val="16"/>
                <w:szCs w:val="16"/>
              </w:rPr>
            </w:pPr>
            <w:r>
              <w:rPr>
                <w:rFonts w:eastAsia="仿宋_GB2312"/>
                <w:kern w:val="2"/>
                <w:sz w:val="16"/>
                <w:szCs w:val="16"/>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trPr>
        <w:tc>
          <w:tcPr>
            <w:tcW w:w="207" w:type="pct"/>
            <w:vAlign w:val="center"/>
          </w:tcPr>
          <w:p>
            <w:pPr>
              <w:jc w:val="center"/>
              <w:textAlignment w:val="center"/>
              <w:rPr>
                <w:rFonts w:eastAsia="仿宋_GB2312"/>
                <w:kern w:val="2"/>
                <w:sz w:val="16"/>
                <w:szCs w:val="16"/>
              </w:rPr>
            </w:pPr>
            <w:r>
              <w:rPr>
                <w:rFonts w:eastAsia="仿宋_GB2312"/>
                <w:kern w:val="2"/>
                <w:sz w:val="16"/>
                <w:szCs w:val="16"/>
              </w:rPr>
              <w:t>4</w:t>
            </w:r>
          </w:p>
        </w:tc>
        <w:tc>
          <w:tcPr>
            <w:tcW w:w="1623" w:type="pct"/>
            <w:vAlign w:val="center"/>
          </w:tcPr>
          <w:p>
            <w:pPr>
              <w:pStyle w:val="7"/>
              <w:shd w:val="clear" w:color="auto" w:fill="FFFFFF"/>
              <w:spacing w:before="0" w:beforeAutospacing="0" w:after="0" w:afterAutospacing="0"/>
              <w:jc w:val="both"/>
              <w:textAlignment w:val="center"/>
              <w:rPr>
                <w:rFonts w:eastAsia="仿宋_GB2312"/>
                <w:b/>
                <w:bCs/>
                <w:kern w:val="2"/>
                <w:sz w:val="16"/>
                <w:szCs w:val="16"/>
              </w:rPr>
            </w:pPr>
            <w:r>
              <w:rPr>
                <w:rFonts w:eastAsia="仿宋_GB2312"/>
                <w:kern w:val="2"/>
                <w:sz w:val="16"/>
                <w:szCs w:val="16"/>
              </w:rPr>
              <w:t>Polystyrene-divinylbenzene stationary phases agglomerated with quaternized multi-walled carbon nanotubes for anion exchange chromatography.</w:t>
            </w:r>
          </w:p>
          <w:p>
            <w:pPr>
              <w:pStyle w:val="7"/>
              <w:shd w:val="clear" w:color="auto" w:fill="FFFFFF"/>
              <w:spacing w:before="0" w:beforeAutospacing="0" w:after="0" w:afterAutospacing="0"/>
              <w:jc w:val="both"/>
              <w:textAlignment w:val="center"/>
              <w:rPr>
                <w:rFonts w:eastAsia="仿宋_GB2312"/>
                <w:kern w:val="2"/>
                <w:sz w:val="16"/>
                <w:szCs w:val="16"/>
              </w:rPr>
            </w:pPr>
            <w:r>
              <w:rPr>
                <w:rFonts w:eastAsia="仿宋_GB2312"/>
                <w:b/>
                <w:bCs/>
                <w:i/>
                <w:iCs/>
                <w:kern w:val="2"/>
                <w:sz w:val="16"/>
                <w:szCs w:val="16"/>
              </w:rPr>
              <w:t>J. Chromatogr. A</w:t>
            </w:r>
            <w:r>
              <w:rPr>
                <w:rFonts w:eastAsia="仿宋_GB2312"/>
                <w:kern w:val="2"/>
                <w:sz w:val="16"/>
                <w:szCs w:val="16"/>
              </w:rPr>
              <w:t>/</w:t>
            </w:r>
            <w:r>
              <w:rPr>
                <w:rFonts w:eastAsia="仿宋_GB2312"/>
                <w:sz w:val="16"/>
                <w:szCs w:val="16"/>
              </w:rPr>
              <w:t>Zhongping Huang, Hongwei Wu, Fengli Wang, Wenwu Yan, Weiqiang Guo, Yan Zhu.</w:t>
            </w:r>
          </w:p>
        </w:tc>
        <w:tc>
          <w:tcPr>
            <w:tcW w:w="635" w:type="pct"/>
            <w:vAlign w:val="center"/>
          </w:tcPr>
          <w:p>
            <w:pPr>
              <w:widowControl w:val="0"/>
              <w:wordWrap w:val="0"/>
              <w:jc w:val="center"/>
              <w:textAlignment w:val="center"/>
              <w:rPr>
                <w:rFonts w:eastAsia="仿宋_GB2312"/>
                <w:kern w:val="2"/>
                <w:sz w:val="16"/>
                <w:szCs w:val="16"/>
              </w:rPr>
            </w:pPr>
            <w:r>
              <w:rPr>
                <w:rFonts w:eastAsia="仿宋_GB2312"/>
                <w:kern w:val="2"/>
                <w:sz w:val="16"/>
                <w:szCs w:val="16"/>
              </w:rPr>
              <w:t>2013, 1294, 152-156</w:t>
            </w:r>
          </w:p>
        </w:tc>
        <w:tc>
          <w:tcPr>
            <w:tcW w:w="436" w:type="pct"/>
            <w:vAlign w:val="center"/>
          </w:tcPr>
          <w:p>
            <w:pPr>
              <w:jc w:val="center"/>
              <w:textAlignment w:val="center"/>
              <w:rPr>
                <w:rFonts w:eastAsia="仿宋_GB2312"/>
                <w:sz w:val="16"/>
                <w:szCs w:val="16"/>
              </w:rPr>
            </w:pPr>
            <w:r>
              <w:rPr>
                <w:rFonts w:eastAsia="仿宋_GB2312"/>
                <w:sz w:val="16"/>
                <w:szCs w:val="16"/>
              </w:rPr>
              <w:t>2013.04.14</w:t>
            </w:r>
          </w:p>
        </w:tc>
        <w:tc>
          <w:tcPr>
            <w:tcW w:w="425" w:type="pct"/>
            <w:vAlign w:val="center"/>
          </w:tcPr>
          <w:p>
            <w:pPr>
              <w:jc w:val="center"/>
              <w:textAlignment w:val="center"/>
              <w:rPr>
                <w:rFonts w:eastAsia="仿宋_GB2312"/>
                <w:sz w:val="16"/>
                <w:szCs w:val="16"/>
              </w:rPr>
            </w:pPr>
            <w:r>
              <w:rPr>
                <w:rFonts w:eastAsia="仿宋_GB2312"/>
                <w:sz w:val="16"/>
                <w:szCs w:val="16"/>
              </w:rPr>
              <w:t>Yan Zhu</w:t>
            </w:r>
          </w:p>
        </w:tc>
        <w:tc>
          <w:tcPr>
            <w:tcW w:w="338" w:type="pct"/>
            <w:vAlign w:val="center"/>
          </w:tcPr>
          <w:p>
            <w:pPr>
              <w:jc w:val="center"/>
              <w:textAlignment w:val="center"/>
              <w:rPr>
                <w:rFonts w:eastAsia="仿宋_GB2312"/>
                <w:sz w:val="16"/>
                <w:szCs w:val="16"/>
              </w:rPr>
            </w:pPr>
            <w:r>
              <w:rPr>
                <w:rFonts w:eastAsia="仿宋_GB2312"/>
                <w:sz w:val="16"/>
                <w:szCs w:val="16"/>
              </w:rPr>
              <w:t>Zhongping Huang</w:t>
            </w:r>
          </w:p>
        </w:tc>
        <w:tc>
          <w:tcPr>
            <w:tcW w:w="637" w:type="pct"/>
            <w:vAlign w:val="center"/>
          </w:tcPr>
          <w:p>
            <w:pPr>
              <w:jc w:val="center"/>
              <w:textAlignment w:val="center"/>
              <w:rPr>
                <w:rFonts w:eastAsia="仿宋_GB2312"/>
                <w:sz w:val="16"/>
                <w:szCs w:val="16"/>
              </w:rPr>
            </w:pPr>
            <w:r>
              <w:rPr>
                <w:rFonts w:eastAsia="仿宋_GB2312"/>
                <w:sz w:val="16"/>
                <w:szCs w:val="16"/>
              </w:rPr>
              <w:t>ZhongpingHuang, Hongwei Wu, Fengli Wang, Wenwu Yan, WeiqiangGuo, Yan Zhu</w:t>
            </w:r>
          </w:p>
        </w:tc>
        <w:tc>
          <w:tcPr>
            <w:tcW w:w="204" w:type="pct"/>
            <w:vAlign w:val="center"/>
          </w:tcPr>
          <w:p>
            <w:pPr>
              <w:jc w:val="center"/>
              <w:textAlignment w:val="center"/>
              <w:rPr>
                <w:rFonts w:eastAsia="仿宋_GB2312"/>
                <w:sz w:val="16"/>
                <w:szCs w:val="16"/>
              </w:rPr>
            </w:pPr>
            <w:r>
              <w:rPr>
                <w:rFonts w:eastAsia="仿宋_GB2312"/>
                <w:sz w:val="16"/>
                <w:szCs w:val="16"/>
              </w:rPr>
              <w:t>30</w:t>
            </w:r>
          </w:p>
        </w:tc>
        <w:tc>
          <w:tcPr>
            <w:tcW w:w="285" w:type="pct"/>
          </w:tcPr>
          <w:p>
            <w:pPr>
              <w:jc w:val="center"/>
              <w:textAlignment w:val="center"/>
              <w:rPr>
                <w:rFonts w:eastAsia="仿宋_GB2312"/>
                <w:sz w:val="16"/>
                <w:szCs w:val="16"/>
              </w:rPr>
            </w:pPr>
            <w:r>
              <w:rPr>
                <w:rFonts w:eastAsia="仿宋_GB2312"/>
                <w:sz w:val="16"/>
                <w:szCs w:val="16"/>
              </w:rPr>
              <w:t>NCBI</w:t>
            </w:r>
          </w:p>
        </w:tc>
        <w:tc>
          <w:tcPr>
            <w:tcW w:w="203" w:type="pct"/>
            <w:vAlign w:val="center"/>
          </w:tcPr>
          <w:p>
            <w:pPr>
              <w:jc w:val="center"/>
              <w:textAlignment w:val="center"/>
              <w:rPr>
                <w:rFonts w:eastAsia="仿宋_GB2312"/>
                <w:kern w:val="2"/>
                <w:sz w:val="16"/>
                <w:szCs w:val="16"/>
              </w:rPr>
            </w:pPr>
            <w:r>
              <w:rPr>
                <w:rFonts w:eastAsia="仿宋_GB2312"/>
                <w:kern w:val="2"/>
                <w:sz w:val="16"/>
                <w:szCs w:val="16"/>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trPr>
        <w:tc>
          <w:tcPr>
            <w:tcW w:w="207" w:type="pct"/>
            <w:vAlign w:val="center"/>
          </w:tcPr>
          <w:p>
            <w:pPr>
              <w:jc w:val="center"/>
              <w:textAlignment w:val="center"/>
              <w:rPr>
                <w:rFonts w:hint="eastAsia" w:ascii="Times New Roman" w:hAnsi="Times New Roman" w:eastAsia="仿宋_GB2312" w:cs="Times New Roman"/>
                <w:kern w:val="2"/>
                <w:sz w:val="16"/>
                <w:szCs w:val="16"/>
                <w:lang w:val="en-US" w:eastAsia="zh-CN" w:bidi="ar-SA"/>
              </w:rPr>
            </w:pPr>
            <w:r>
              <w:rPr>
                <w:rFonts w:hint="eastAsia" w:eastAsia="仿宋_GB2312"/>
                <w:kern w:val="2"/>
                <w:sz w:val="16"/>
                <w:szCs w:val="16"/>
                <w:lang w:val="en-US" w:eastAsia="zh-CN"/>
              </w:rPr>
              <w:t>5</w:t>
            </w:r>
          </w:p>
        </w:tc>
        <w:tc>
          <w:tcPr>
            <w:tcW w:w="1623" w:type="pct"/>
            <w:vAlign w:val="center"/>
          </w:tcPr>
          <w:p>
            <w:pPr>
              <w:pStyle w:val="7"/>
              <w:jc w:val="both"/>
              <w:rPr>
                <w:rFonts w:eastAsia="仿宋_GB2312"/>
                <w:sz w:val="16"/>
                <w:szCs w:val="16"/>
              </w:rPr>
            </w:pPr>
            <w:r>
              <w:rPr>
                <w:rFonts w:eastAsia="仿宋_GB2312"/>
                <w:sz w:val="16"/>
                <w:szCs w:val="16"/>
              </w:rPr>
              <w:t>Graphene-coated polymeric anion exchangers for ion chromatography.</w:t>
            </w:r>
          </w:p>
          <w:p>
            <w:pPr>
              <w:pStyle w:val="7"/>
              <w:jc w:val="both"/>
              <w:rPr>
                <w:rFonts w:ascii="Times New Roman" w:hAnsi="Times New Roman" w:eastAsia="仿宋_GB2312" w:cs="Times New Roman"/>
                <w:sz w:val="16"/>
                <w:szCs w:val="16"/>
                <w:lang w:val="en-US" w:eastAsia="zh-CN" w:bidi="ar-SA"/>
              </w:rPr>
            </w:pPr>
            <w:r>
              <w:rPr>
                <w:rFonts w:eastAsia="仿宋_GB2312"/>
                <w:b/>
                <w:bCs/>
                <w:i/>
                <w:iCs/>
                <w:sz w:val="16"/>
                <w:szCs w:val="16"/>
              </w:rPr>
              <w:t>Analytica Chimica Acta</w:t>
            </w:r>
            <w:r>
              <w:rPr>
                <w:rFonts w:eastAsia="仿宋_GB2312"/>
                <w:sz w:val="16"/>
                <w:szCs w:val="16"/>
              </w:rPr>
              <w:t>/Kai Zhang, Minyi Cao, Chaoyan Lou, Shuchao Wu, Peimin Zhang, Mingyu Zhi, Yan Zhu.</w:t>
            </w:r>
          </w:p>
        </w:tc>
        <w:tc>
          <w:tcPr>
            <w:tcW w:w="635" w:type="pct"/>
            <w:vAlign w:val="center"/>
          </w:tcPr>
          <w:p>
            <w:pPr>
              <w:widowControl w:val="0"/>
              <w:wordWrap w:val="0"/>
              <w:jc w:val="center"/>
              <w:textAlignment w:val="center"/>
              <w:rPr>
                <w:rFonts w:ascii="Times New Roman" w:hAnsi="Times New Roman" w:eastAsia="仿宋_GB2312" w:cs="Times New Roman"/>
                <w:sz w:val="16"/>
                <w:szCs w:val="16"/>
                <w:lang w:val="en-US" w:eastAsia="zh-CN" w:bidi="ar-SA"/>
              </w:rPr>
            </w:pPr>
            <w:r>
              <w:rPr>
                <w:rFonts w:eastAsia="仿宋_GB2312"/>
                <w:sz w:val="16"/>
                <w:szCs w:val="16"/>
              </w:rPr>
              <w:t>2017, 970, 73-81</w:t>
            </w:r>
          </w:p>
        </w:tc>
        <w:tc>
          <w:tcPr>
            <w:tcW w:w="436" w:type="pct"/>
            <w:vAlign w:val="center"/>
          </w:tcPr>
          <w:p>
            <w:pPr>
              <w:jc w:val="center"/>
              <w:textAlignment w:val="center"/>
              <w:rPr>
                <w:rFonts w:ascii="Times New Roman" w:hAnsi="Times New Roman" w:eastAsia="仿宋_GB2312" w:cs="Times New Roman"/>
                <w:sz w:val="16"/>
                <w:szCs w:val="16"/>
                <w:lang w:val="en-US" w:eastAsia="zh-CN" w:bidi="ar-SA"/>
              </w:rPr>
            </w:pPr>
            <w:r>
              <w:rPr>
                <w:rFonts w:eastAsia="仿宋_GB2312"/>
                <w:sz w:val="16"/>
                <w:szCs w:val="16"/>
              </w:rPr>
              <w:t>2017.06.01</w:t>
            </w:r>
          </w:p>
        </w:tc>
        <w:tc>
          <w:tcPr>
            <w:tcW w:w="425" w:type="pct"/>
            <w:vAlign w:val="center"/>
          </w:tcPr>
          <w:p>
            <w:pPr>
              <w:jc w:val="center"/>
              <w:textAlignment w:val="center"/>
              <w:rPr>
                <w:rFonts w:ascii="Times New Roman" w:hAnsi="Times New Roman" w:eastAsia="仿宋_GB2312" w:cs="Times New Roman"/>
                <w:sz w:val="16"/>
                <w:szCs w:val="16"/>
                <w:lang w:val="en-US" w:eastAsia="zh-CN" w:bidi="ar-SA"/>
              </w:rPr>
            </w:pPr>
            <w:r>
              <w:rPr>
                <w:rFonts w:eastAsia="仿宋_GB2312"/>
                <w:sz w:val="16"/>
                <w:szCs w:val="16"/>
              </w:rPr>
              <w:t>Yan Zhu,  Shuchao Wu</w:t>
            </w:r>
          </w:p>
        </w:tc>
        <w:tc>
          <w:tcPr>
            <w:tcW w:w="338" w:type="pct"/>
            <w:vAlign w:val="center"/>
          </w:tcPr>
          <w:p>
            <w:pPr>
              <w:jc w:val="center"/>
              <w:textAlignment w:val="center"/>
              <w:rPr>
                <w:rFonts w:ascii="Times New Roman" w:hAnsi="Times New Roman" w:eastAsia="仿宋_GB2312" w:cs="Times New Roman"/>
                <w:sz w:val="16"/>
                <w:szCs w:val="16"/>
                <w:lang w:val="en-US" w:eastAsia="zh-CN" w:bidi="ar-SA"/>
              </w:rPr>
            </w:pPr>
            <w:r>
              <w:rPr>
                <w:rFonts w:eastAsia="仿宋_GB2312"/>
                <w:sz w:val="16"/>
                <w:szCs w:val="16"/>
              </w:rPr>
              <w:t>Kai Zhang</w:t>
            </w:r>
          </w:p>
        </w:tc>
        <w:tc>
          <w:tcPr>
            <w:tcW w:w="637" w:type="pct"/>
            <w:vAlign w:val="center"/>
          </w:tcPr>
          <w:p>
            <w:pPr>
              <w:jc w:val="center"/>
              <w:textAlignment w:val="center"/>
              <w:rPr>
                <w:rFonts w:ascii="Times New Roman" w:hAnsi="Times New Roman" w:eastAsia="仿宋_GB2312" w:cs="Times New Roman"/>
                <w:sz w:val="16"/>
                <w:szCs w:val="16"/>
                <w:lang w:val="en-US" w:eastAsia="zh-CN" w:bidi="ar-SA"/>
              </w:rPr>
            </w:pPr>
            <w:r>
              <w:rPr>
                <w:rFonts w:eastAsia="仿宋_GB2312"/>
                <w:sz w:val="16"/>
                <w:szCs w:val="16"/>
              </w:rPr>
              <w:t>Kai Zhang, Minyi Cao, Chaoyan Lou, Shuchao Wu, Peimin Zhang, Mingyu Zhi, Yan Zhu</w:t>
            </w:r>
          </w:p>
        </w:tc>
        <w:tc>
          <w:tcPr>
            <w:tcW w:w="204" w:type="pct"/>
            <w:vAlign w:val="center"/>
          </w:tcPr>
          <w:p>
            <w:pPr>
              <w:jc w:val="center"/>
              <w:textAlignment w:val="center"/>
              <w:rPr>
                <w:rFonts w:ascii="Times New Roman" w:hAnsi="Times New Roman" w:eastAsia="仿宋_GB2312" w:cs="Times New Roman"/>
                <w:sz w:val="16"/>
                <w:szCs w:val="16"/>
                <w:lang w:val="en-US" w:eastAsia="zh-CN" w:bidi="ar-SA"/>
              </w:rPr>
            </w:pPr>
            <w:r>
              <w:rPr>
                <w:rFonts w:eastAsia="仿宋_GB2312"/>
                <w:sz w:val="16"/>
                <w:szCs w:val="16"/>
              </w:rPr>
              <w:t>27</w:t>
            </w:r>
          </w:p>
        </w:tc>
        <w:tc>
          <w:tcPr>
            <w:tcW w:w="285" w:type="pct"/>
            <w:vAlign w:val="top"/>
          </w:tcPr>
          <w:p>
            <w:pPr>
              <w:jc w:val="center"/>
              <w:textAlignment w:val="center"/>
              <w:rPr>
                <w:rFonts w:ascii="Times New Roman" w:hAnsi="Times New Roman" w:eastAsia="仿宋_GB2312" w:cs="Times New Roman"/>
                <w:sz w:val="16"/>
                <w:szCs w:val="16"/>
                <w:lang w:val="en-US" w:eastAsia="zh-CN" w:bidi="ar-SA"/>
              </w:rPr>
            </w:pPr>
            <w:r>
              <w:rPr>
                <w:rFonts w:eastAsia="仿宋_GB2312"/>
                <w:sz w:val="16"/>
                <w:szCs w:val="16"/>
              </w:rPr>
              <w:t>Google Scholar</w:t>
            </w:r>
          </w:p>
        </w:tc>
        <w:tc>
          <w:tcPr>
            <w:tcW w:w="203" w:type="pct"/>
            <w:vAlign w:val="center"/>
          </w:tcPr>
          <w:p>
            <w:pPr>
              <w:jc w:val="center"/>
              <w:textAlignment w:val="center"/>
              <w:rPr>
                <w:rFonts w:ascii="Times New Roman" w:hAnsi="Times New Roman" w:eastAsia="仿宋_GB2312" w:cs="Times New Roman"/>
                <w:kern w:val="2"/>
                <w:sz w:val="16"/>
                <w:szCs w:val="16"/>
                <w:lang w:val="en-US" w:eastAsia="zh-CN" w:bidi="ar-SA"/>
              </w:rPr>
            </w:pPr>
            <w:r>
              <w:rPr>
                <w:rFonts w:eastAsia="仿宋_GB2312"/>
                <w:kern w:val="2"/>
                <w:sz w:val="16"/>
                <w:szCs w:val="16"/>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trPr>
        <w:tc>
          <w:tcPr>
            <w:tcW w:w="207" w:type="pct"/>
            <w:vAlign w:val="center"/>
          </w:tcPr>
          <w:p>
            <w:pPr>
              <w:jc w:val="center"/>
              <w:textAlignment w:val="center"/>
              <w:rPr>
                <w:rFonts w:hint="eastAsia" w:ascii="Times New Roman" w:hAnsi="Times New Roman" w:eastAsia="仿宋_GB2312" w:cs="Times New Roman"/>
                <w:kern w:val="2"/>
                <w:sz w:val="16"/>
                <w:szCs w:val="16"/>
                <w:lang w:val="en-US" w:eastAsia="zh-CN" w:bidi="ar-SA"/>
              </w:rPr>
            </w:pPr>
            <w:r>
              <w:rPr>
                <w:rFonts w:hint="eastAsia" w:eastAsia="仿宋_GB2312"/>
                <w:kern w:val="2"/>
                <w:sz w:val="16"/>
                <w:szCs w:val="16"/>
                <w:lang w:val="en-US" w:eastAsia="zh-CN"/>
              </w:rPr>
              <w:t>6</w:t>
            </w:r>
          </w:p>
        </w:tc>
        <w:tc>
          <w:tcPr>
            <w:tcW w:w="1623" w:type="pct"/>
            <w:vAlign w:val="center"/>
          </w:tcPr>
          <w:p>
            <w:pPr>
              <w:pStyle w:val="7"/>
              <w:spacing w:before="0" w:beforeAutospacing="0" w:after="0" w:afterAutospacing="0"/>
              <w:jc w:val="both"/>
              <w:textAlignment w:val="center"/>
              <w:rPr>
                <w:rFonts w:eastAsia="仿宋_GB2312"/>
                <w:kern w:val="2"/>
                <w:sz w:val="16"/>
                <w:szCs w:val="16"/>
              </w:rPr>
            </w:pPr>
            <w:r>
              <w:rPr>
                <w:rFonts w:eastAsia="仿宋_GB2312"/>
                <w:kern w:val="2"/>
                <w:sz w:val="16"/>
                <w:szCs w:val="16"/>
              </w:rPr>
              <w:t>Determination of nitenpyram and 6-chloronicotinic acid in environmental samples by ion chromatography coupled with online photochemically induced fluorescence detector.</w:t>
            </w:r>
          </w:p>
          <w:p>
            <w:pPr>
              <w:pStyle w:val="7"/>
              <w:spacing w:before="0" w:beforeAutospacing="0" w:after="0" w:afterAutospacing="0"/>
              <w:jc w:val="both"/>
              <w:textAlignment w:val="center"/>
              <w:rPr>
                <w:rFonts w:ascii="Times New Roman" w:hAnsi="Times New Roman" w:eastAsia="仿宋_GB2312" w:cs="Times New Roman"/>
                <w:kern w:val="2"/>
                <w:sz w:val="16"/>
                <w:szCs w:val="16"/>
                <w:lang w:val="en-US" w:eastAsia="zh-CN" w:bidi="ar-SA"/>
              </w:rPr>
            </w:pPr>
            <w:r>
              <w:rPr>
                <w:rFonts w:eastAsia="仿宋_GB2312"/>
                <w:i/>
                <w:iCs/>
                <w:kern w:val="2"/>
                <w:sz w:val="16"/>
                <w:szCs w:val="16"/>
              </w:rPr>
              <w:t xml:space="preserve">J </w:t>
            </w:r>
            <w:r>
              <w:rPr>
                <w:rFonts w:eastAsia="仿宋_GB2312"/>
                <w:b/>
                <w:bCs/>
                <w:i/>
                <w:iCs/>
                <w:kern w:val="2"/>
                <w:sz w:val="16"/>
                <w:szCs w:val="16"/>
              </w:rPr>
              <w:t>Sep. Sci.</w:t>
            </w:r>
            <w:r>
              <w:rPr>
                <w:rFonts w:eastAsia="仿宋_GB2312"/>
                <w:i/>
                <w:iCs/>
                <w:kern w:val="2"/>
                <w:sz w:val="16"/>
                <w:szCs w:val="16"/>
              </w:rPr>
              <w:t>/</w:t>
            </w:r>
            <w:r>
              <w:rPr>
                <w:rFonts w:eastAsia="仿宋_GB2312"/>
                <w:kern w:val="2"/>
                <w:sz w:val="16"/>
                <w:szCs w:val="16"/>
              </w:rPr>
              <w:t>Nadeem Muhammad, Yun Zhang, Weixia Li, Yong-Gang Zhao, Amjad Ali, Qamar Subhani, Tariq Mahmud, Junwei Liu, Hairong Cui, Yan Zhu.</w:t>
            </w:r>
          </w:p>
        </w:tc>
        <w:tc>
          <w:tcPr>
            <w:tcW w:w="635" w:type="pct"/>
            <w:vAlign w:val="center"/>
          </w:tcPr>
          <w:p>
            <w:pPr>
              <w:pStyle w:val="24"/>
              <w:widowControl w:val="0"/>
              <w:shd w:val="clear" w:color="auto" w:fill="FFFFFF"/>
              <w:wordWrap w:val="0"/>
              <w:spacing w:before="0" w:beforeAutospacing="0" w:after="0" w:afterAutospacing="0"/>
              <w:jc w:val="center"/>
              <w:textAlignment w:val="center"/>
              <w:rPr>
                <w:rFonts w:ascii="Times New Roman" w:hAnsi="Times New Roman" w:eastAsia="仿宋_GB2312" w:cs="Times New Roman"/>
                <w:kern w:val="2"/>
                <w:sz w:val="16"/>
                <w:szCs w:val="16"/>
                <w:lang w:val="en-US" w:eastAsia="zh-CN" w:bidi="ar-SA"/>
              </w:rPr>
            </w:pPr>
            <w:r>
              <w:rPr>
                <w:rFonts w:eastAsia="仿宋_GB2312"/>
                <w:kern w:val="2"/>
                <w:sz w:val="16"/>
                <w:szCs w:val="16"/>
              </w:rPr>
              <w:t xml:space="preserve">2018, </w:t>
            </w:r>
            <w:r>
              <w:fldChar w:fldCharType="begin"/>
            </w:r>
            <w:r>
              <w:instrText xml:space="preserve"> HYPERLINK "https://analyticalsciencejournals.onlinelibrary.wiley.com/toc/16159314/2018/41/22" \o "View Volume 41, Issue 22" </w:instrText>
            </w:r>
            <w:r>
              <w:fldChar w:fldCharType="separate"/>
            </w:r>
            <w:r>
              <w:rPr>
                <w:rFonts w:eastAsia="仿宋_GB2312"/>
                <w:kern w:val="2"/>
                <w:sz w:val="16"/>
                <w:szCs w:val="16"/>
              </w:rPr>
              <w:t xml:space="preserve">41, </w:t>
            </w:r>
            <w:r>
              <w:rPr>
                <w:rFonts w:eastAsia="仿宋_GB2312"/>
                <w:kern w:val="2"/>
                <w:sz w:val="16"/>
                <w:szCs w:val="16"/>
              </w:rPr>
              <w:fldChar w:fldCharType="end"/>
            </w:r>
            <w:r>
              <w:rPr>
                <w:rFonts w:eastAsia="仿宋_GB2312"/>
                <w:kern w:val="2"/>
                <w:sz w:val="16"/>
                <w:szCs w:val="16"/>
              </w:rPr>
              <w:t>4096-4104</w:t>
            </w:r>
          </w:p>
        </w:tc>
        <w:tc>
          <w:tcPr>
            <w:tcW w:w="436" w:type="pct"/>
            <w:vAlign w:val="center"/>
          </w:tcPr>
          <w:p>
            <w:pPr>
              <w:jc w:val="center"/>
              <w:textAlignment w:val="center"/>
              <w:rPr>
                <w:rFonts w:ascii="Times New Roman" w:hAnsi="Times New Roman" w:eastAsia="仿宋_GB2312" w:cs="Times New Roman"/>
                <w:sz w:val="16"/>
                <w:szCs w:val="16"/>
                <w:lang w:val="en-US" w:eastAsia="zh-CN" w:bidi="ar-SA"/>
              </w:rPr>
            </w:pPr>
            <w:r>
              <w:rPr>
                <w:rFonts w:eastAsia="仿宋_GB2312"/>
                <w:sz w:val="16"/>
                <w:szCs w:val="16"/>
              </w:rPr>
              <w:t>2018.09.19</w:t>
            </w:r>
          </w:p>
        </w:tc>
        <w:tc>
          <w:tcPr>
            <w:tcW w:w="425" w:type="pct"/>
            <w:vAlign w:val="center"/>
          </w:tcPr>
          <w:p>
            <w:pPr>
              <w:jc w:val="center"/>
              <w:textAlignment w:val="center"/>
              <w:rPr>
                <w:rFonts w:ascii="Times New Roman" w:hAnsi="Times New Roman" w:eastAsia="仿宋_GB2312" w:cs="Times New Roman"/>
                <w:sz w:val="16"/>
                <w:szCs w:val="16"/>
                <w:lang w:val="en-US" w:eastAsia="zh-CN" w:bidi="ar-SA"/>
              </w:rPr>
            </w:pPr>
            <w:r>
              <w:rPr>
                <w:rFonts w:eastAsia="仿宋_GB2312"/>
                <w:sz w:val="16"/>
                <w:szCs w:val="16"/>
              </w:rPr>
              <w:t>Yan Zhu</w:t>
            </w:r>
          </w:p>
        </w:tc>
        <w:tc>
          <w:tcPr>
            <w:tcW w:w="338" w:type="pct"/>
            <w:vAlign w:val="center"/>
          </w:tcPr>
          <w:p>
            <w:pPr>
              <w:jc w:val="center"/>
              <w:textAlignment w:val="center"/>
              <w:rPr>
                <w:rFonts w:ascii="Times New Roman" w:hAnsi="Times New Roman" w:eastAsia="仿宋_GB2312" w:cs="Times New Roman"/>
                <w:sz w:val="16"/>
                <w:szCs w:val="16"/>
                <w:lang w:val="en-US" w:eastAsia="zh-CN" w:bidi="ar-SA"/>
              </w:rPr>
            </w:pPr>
            <w:r>
              <w:rPr>
                <w:rFonts w:eastAsia="仿宋_GB2312"/>
                <w:sz w:val="16"/>
                <w:szCs w:val="16"/>
              </w:rPr>
              <w:t>Nadeem Muhammad</w:t>
            </w:r>
          </w:p>
        </w:tc>
        <w:tc>
          <w:tcPr>
            <w:tcW w:w="637" w:type="pct"/>
            <w:vAlign w:val="center"/>
          </w:tcPr>
          <w:p>
            <w:pPr>
              <w:jc w:val="center"/>
              <w:textAlignment w:val="center"/>
              <w:rPr>
                <w:rFonts w:ascii="Times New Roman" w:hAnsi="Times New Roman" w:eastAsia="仿宋_GB2312" w:cs="Times New Roman"/>
                <w:kern w:val="2"/>
                <w:sz w:val="16"/>
                <w:szCs w:val="16"/>
                <w:lang w:val="en-US" w:eastAsia="zh-CN" w:bidi="ar-SA"/>
              </w:rPr>
            </w:pPr>
            <w:r>
              <w:rPr>
                <w:rFonts w:eastAsia="仿宋_GB2312"/>
                <w:sz w:val="16"/>
                <w:szCs w:val="16"/>
              </w:rPr>
              <w:t>Nadeem Muhammad,</w:t>
            </w:r>
            <w:r>
              <w:rPr>
                <w:rFonts w:eastAsia="仿宋_GB2312"/>
                <w:kern w:val="2"/>
                <w:sz w:val="16"/>
                <w:szCs w:val="16"/>
              </w:rPr>
              <w:t xml:space="preserve"> Yun Zhang, Weixia Li, Yong-Gang Zhao, Junwei Liu, Hairong Cui, Yan Zhu</w:t>
            </w:r>
          </w:p>
        </w:tc>
        <w:tc>
          <w:tcPr>
            <w:tcW w:w="204" w:type="pct"/>
            <w:vAlign w:val="center"/>
          </w:tcPr>
          <w:p>
            <w:pPr>
              <w:jc w:val="center"/>
              <w:textAlignment w:val="center"/>
              <w:rPr>
                <w:rFonts w:ascii="Times New Roman" w:hAnsi="Times New Roman" w:eastAsia="仿宋_GB2312" w:cs="Times New Roman"/>
                <w:kern w:val="2"/>
                <w:sz w:val="16"/>
                <w:szCs w:val="16"/>
                <w:lang w:val="en-US" w:eastAsia="zh-CN" w:bidi="ar-SA"/>
              </w:rPr>
            </w:pPr>
            <w:r>
              <w:rPr>
                <w:rFonts w:eastAsia="仿宋_GB2312"/>
                <w:kern w:val="2"/>
                <w:sz w:val="16"/>
                <w:szCs w:val="16"/>
              </w:rPr>
              <w:t>22</w:t>
            </w:r>
          </w:p>
        </w:tc>
        <w:tc>
          <w:tcPr>
            <w:tcW w:w="285" w:type="pct"/>
            <w:vAlign w:val="top"/>
          </w:tcPr>
          <w:p>
            <w:pPr>
              <w:jc w:val="center"/>
              <w:textAlignment w:val="center"/>
              <w:rPr>
                <w:rFonts w:ascii="Times New Roman" w:hAnsi="Times New Roman" w:eastAsia="仿宋_GB2312" w:cs="Times New Roman"/>
                <w:sz w:val="16"/>
                <w:szCs w:val="16"/>
                <w:lang w:val="en-US" w:eastAsia="zh-CN" w:bidi="ar-SA"/>
              </w:rPr>
            </w:pPr>
            <w:r>
              <w:rPr>
                <w:rFonts w:eastAsia="仿宋_GB2312"/>
                <w:sz w:val="16"/>
                <w:szCs w:val="16"/>
              </w:rPr>
              <w:t>Google Scholar</w:t>
            </w:r>
          </w:p>
        </w:tc>
        <w:tc>
          <w:tcPr>
            <w:tcW w:w="203" w:type="pct"/>
            <w:vAlign w:val="center"/>
          </w:tcPr>
          <w:p>
            <w:pPr>
              <w:jc w:val="center"/>
              <w:textAlignment w:val="center"/>
              <w:rPr>
                <w:rFonts w:ascii="Times New Roman" w:hAnsi="Times New Roman" w:eastAsia="仿宋_GB2312" w:cs="Times New Roman"/>
                <w:sz w:val="16"/>
                <w:szCs w:val="16"/>
                <w:lang w:val="en-US" w:eastAsia="zh-CN" w:bidi="ar-SA"/>
              </w:rPr>
            </w:pPr>
            <w:r>
              <w:rPr>
                <w:rFonts w:eastAsia="仿宋_GB2312"/>
                <w:sz w:val="16"/>
                <w:szCs w:val="16"/>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trPr>
        <w:tc>
          <w:tcPr>
            <w:tcW w:w="207" w:type="pct"/>
            <w:vAlign w:val="center"/>
          </w:tcPr>
          <w:p>
            <w:pPr>
              <w:jc w:val="center"/>
              <w:textAlignment w:val="center"/>
              <w:rPr>
                <w:rFonts w:hint="eastAsia" w:eastAsia="仿宋_GB2312"/>
                <w:kern w:val="2"/>
                <w:sz w:val="16"/>
                <w:szCs w:val="16"/>
                <w:lang w:eastAsia="zh-CN"/>
              </w:rPr>
            </w:pPr>
            <w:r>
              <w:rPr>
                <w:rFonts w:hint="eastAsia" w:eastAsia="仿宋_GB2312"/>
                <w:kern w:val="2"/>
                <w:sz w:val="16"/>
                <w:szCs w:val="16"/>
                <w:lang w:val="en-US" w:eastAsia="zh-CN"/>
              </w:rPr>
              <w:t>7</w:t>
            </w:r>
          </w:p>
        </w:tc>
        <w:tc>
          <w:tcPr>
            <w:tcW w:w="1623" w:type="pct"/>
            <w:vAlign w:val="center"/>
          </w:tcPr>
          <w:p>
            <w:pPr>
              <w:jc w:val="both"/>
              <w:textAlignment w:val="center"/>
              <w:rPr>
                <w:rFonts w:eastAsia="仿宋_GB2312"/>
                <w:kern w:val="2"/>
                <w:sz w:val="16"/>
                <w:szCs w:val="16"/>
              </w:rPr>
            </w:pPr>
            <w:r>
              <w:rPr>
                <w:rFonts w:eastAsia="仿宋_GB2312"/>
                <w:kern w:val="2"/>
                <w:sz w:val="16"/>
                <w:szCs w:val="16"/>
              </w:rPr>
              <w:t>Comparative steam distillation based digestion of complex inorganic copper concentrates samples followed by ion chromatographic determination of halogen.</w:t>
            </w:r>
          </w:p>
          <w:p>
            <w:pPr>
              <w:jc w:val="both"/>
              <w:textAlignment w:val="center"/>
              <w:rPr>
                <w:rFonts w:eastAsia="仿宋_GB2312"/>
                <w:kern w:val="2"/>
                <w:sz w:val="16"/>
                <w:szCs w:val="16"/>
              </w:rPr>
            </w:pPr>
            <w:r>
              <w:rPr>
                <w:rFonts w:eastAsia="仿宋_GB2312"/>
                <w:b/>
                <w:bCs/>
                <w:i/>
                <w:iCs/>
                <w:kern w:val="2"/>
                <w:sz w:val="16"/>
                <w:szCs w:val="16"/>
              </w:rPr>
              <w:t>Microchem. J</w:t>
            </w:r>
            <w:r>
              <w:rPr>
                <w:rFonts w:eastAsia="仿宋_GB2312"/>
                <w:kern w:val="2"/>
                <w:sz w:val="16"/>
                <w:szCs w:val="16"/>
              </w:rPr>
              <w:t>/Nadeem Muhammad, Yun Zhang, Qamar Subhani, Azeem Intisar, Ye Mingli, Hairong Cui, Yan Zhu.</w:t>
            </w:r>
          </w:p>
        </w:tc>
        <w:tc>
          <w:tcPr>
            <w:tcW w:w="635" w:type="pct"/>
            <w:vAlign w:val="center"/>
          </w:tcPr>
          <w:p>
            <w:pPr>
              <w:widowControl w:val="0"/>
              <w:wordWrap w:val="0"/>
              <w:jc w:val="center"/>
              <w:textAlignment w:val="center"/>
              <w:rPr>
                <w:rFonts w:eastAsia="仿宋_GB2312"/>
                <w:kern w:val="2"/>
                <w:sz w:val="16"/>
                <w:szCs w:val="16"/>
              </w:rPr>
            </w:pPr>
            <w:r>
              <w:rPr>
                <w:rFonts w:eastAsia="仿宋_GB2312"/>
                <w:kern w:val="2"/>
                <w:sz w:val="16"/>
                <w:szCs w:val="16"/>
              </w:rPr>
              <w:t>2020, 158, 105176</w:t>
            </w:r>
          </w:p>
        </w:tc>
        <w:tc>
          <w:tcPr>
            <w:tcW w:w="436" w:type="pct"/>
            <w:vAlign w:val="center"/>
          </w:tcPr>
          <w:p>
            <w:pPr>
              <w:jc w:val="center"/>
              <w:textAlignment w:val="center"/>
              <w:rPr>
                <w:rFonts w:eastAsia="仿宋_GB2312"/>
                <w:kern w:val="2"/>
                <w:sz w:val="16"/>
                <w:szCs w:val="16"/>
              </w:rPr>
            </w:pPr>
            <w:r>
              <w:rPr>
                <w:rFonts w:eastAsia="仿宋_GB2312"/>
                <w:kern w:val="2"/>
                <w:sz w:val="16"/>
                <w:szCs w:val="16"/>
              </w:rPr>
              <w:t>2020.06.27</w:t>
            </w:r>
          </w:p>
        </w:tc>
        <w:tc>
          <w:tcPr>
            <w:tcW w:w="425" w:type="pct"/>
            <w:vAlign w:val="center"/>
          </w:tcPr>
          <w:p>
            <w:pPr>
              <w:jc w:val="center"/>
              <w:textAlignment w:val="center"/>
              <w:rPr>
                <w:rFonts w:eastAsia="仿宋_GB2312"/>
                <w:kern w:val="2"/>
                <w:sz w:val="16"/>
                <w:szCs w:val="16"/>
              </w:rPr>
            </w:pPr>
            <w:r>
              <w:rPr>
                <w:rFonts w:eastAsia="仿宋_GB2312"/>
                <w:kern w:val="2"/>
                <w:sz w:val="16"/>
                <w:szCs w:val="16"/>
              </w:rPr>
              <w:t>Nadeem Muhammad,  Qamar Subhani,</w:t>
            </w:r>
          </w:p>
          <w:p>
            <w:pPr>
              <w:jc w:val="center"/>
              <w:textAlignment w:val="center"/>
              <w:rPr>
                <w:rFonts w:eastAsia="仿宋_GB2312"/>
                <w:kern w:val="2"/>
                <w:sz w:val="16"/>
                <w:szCs w:val="16"/>
              </w:rPr>
            </w:pPr>
            <w:r>
              <w:rPr>
                <w:rFonts w:eastAsia="仿宋_GB2312"/>
                <w:kern w:val="2"/>
                <w:sz w:val="16"/>
                <w:szCs w:val="16"/>
              </w:rPr>
              <w:t>Hairong Cui</w:t>
            </w:r>
          </w:p>
        </w:tc>
        <w:tc>
          <w:tcPr>
            <w:tcW w:w="338" w:type="pct"/>
            <w:vAlign w:val="center"/>
          </w:tcPr>
          <w:p>
            <w:pPr>
              <w:jc w:val="center"/>
              <w:textAlignment w:val="center"/>
              <w:rPr>
                <w:rFonts w:eastAsia="仿宋_GB2312"/>
                <w:kern w:val="2"/>
                <w:sz w:val="16"/>
                <w:szCs w:val="16"/>
              </w:rPr>
            </w:pPr>
            <w:r>
              <w:rPr>
                <w:rFonts w:eastAsia="仿宋_GB2312"/>
                <w:kern w:val="2"/>
                <w:sz w:val="16"/>
                <w:szCs w:val="16"/>
              </w:rPr>
              <w:t>Nadeem Muhammad</w:t>
            </w:r>
          </w:p>
        </w:tc>
        <w:tc>
          <w:tcPr>
            <w:tcW w:w="637" w:type="pct"/>
            <w:vAlign w:val="center"/>
          </w:tcPr>
          <w:p>
            <w:pPr>
              <w:jc w:val="center"/>
              <w:textAlignment w:val="center"/>
              <w:rPr>
                <w:rFonts w:eastAsia="仿宋_GB2312"/>
                <w:kern w:val="2"/>
                <w:sz w:val="16"/>
                <w:szCs w:val="16"/>
              </w:rPr>
            </w:pPr>
            <w:r>
              <w:rPr>
                <w:rFonts w:eastAsia="仿宋_GB2312"/>
                <w:kern w:val="2"/>
                <w:sz w:val="16"/>
                <w:szCs w:val="16"/>
              </w:rPr>
              <w:t>Yun Zhang,</w:t>
            </w:r>
          </w:p>
          <w:p>
            <w:pPr>
              <w:jc w:val="center"/>
              <w:textAlignment w:val="center"/>
              <w:rPr>
                <w:rFonts w:eastAsia="仿宋_GB2312"/>
                <w:kern w:val="2"/>
                <w:sz w:val="16"/>
                <w:szCs w:val="16"/>
              </w:rPr>
            </w:pPr>
            <w:r>
              <w:rPr>
                <w:rFonts w:eastAsia="仿宋_GB2312"/>
                <w:kern w:val="2"/>
                <w:sz w:val="16"/>
                <w:szCs w:val="16"/>
              </w:rPr>
              <w:t>Ye Mingli, Hairong Cui, Yan Zhu</w:t>
            </w:r>
          </w:p>
        </w:tc>
        <w:tc>
          <w:tcPr>
            <w:tcW w:w="204" w:type="pct"/>
            <w:vAlign w:val="center"/>
          </w:tcPr>
          <w:p>
            <w:pPr>
              <w:jc w:val="center"/>
              <w:textAlignment w:val="center"/>
              <w:rPr>
                <w:rFonts w:eastAsia="仿宋_GB2312"/>
                <w:kern w:val="2"/>
                <w:sz w:val="16"/>
                <w:szCs w:val="16"/>
              </w:rPr>
            </w:pPr>
            <w:r>
              <w:rPr>
                <w:rFonts w:eastAsia="仿宋_GB2312"/>
                <w:kern w:val="2"/>
                <w:sz w:val="16"/>
                <w:szCs w:val="16"/>
              </w:rPr>
              <w:t>15</w:t>
            </w:r>
          </w:p>
        </w:tc>
        <w:tc>
          <w:tcPr>
            <w:tcW w:w="285" w:type="pct"/>
          </w:tcPr>
          <w:p>
            <w:pPr>
              <w:jc w:val="center"/>
              <w:textAlignment w:val="center"/>
              <w:rPr>
                <w:rFonts w:eastAsia="仿宋_GB2312"/>
                <w:kern w:val="2"/>
                <w:sz w:val="16"/>
                <w:szCs w:val="16"/>
              </w:rPr>
            </w:pPr>
            <w:r>
              <w:rPr>
                <w:rFonts w:eastAsia="仿宋_GB2312"/>
                <w:kern w:val="2"/>
                <w:sz w:val="16"/>
                <w:szCs w:val="16"/>
              </w:rPr>
              <w:t>Google Scholar</w:t>
            </w:r>
          </w:p>
        </w:tc>
        <w:tc>
          <w:tcPr>
            <w:tcW w:w="203" w:type="pct"/>
            <w:vAlign w:val="center"/>
          </w:tcPr>
          <w:p>
            <w:pPr>
              <w:jc w:val="center"/>
              <w:textAlignment w:val="center"/>
              <w:rPr>
                <w:rFonts w:eastAsia="仿宋_GB2312"/>
                <w:kern w:val="2"/>
                <w:sz w:val="16"/>
                <w:szCs w:val="16"/>
              </w:rPr>
            </w:pPr>
            <w:r>
              <w:rPr>
                <w:rFonts w:eastAsia="仿宋_GB2312"/>
                <w:kern w:val="2"/>
                <w:sz w:val="16"/>
                <w:szCs w:val="16"/>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trPr>
        <w:tc>
          <w:tcPr>
            <w:tcW w:w="207" w:type="pct"/>
            <w:vAlign w:val="center"/>
          </w:tcPr>
          <w:p>
            <w:pPr>
              <w:jc w:val="center"/>
              <w:textAlignment w:val="center"/>
              <w:rPr>
                <w:rFonts w:hint="eastAsia" w:eastAsia="仿宋_GB2312"/>
                <w:kern w:val="2"/>
                <w:sz w:val="16"/>
                <w:szCs w:val="16"/>
                <w:lang w:eastAsia="zh-CN"/>
              </w:rPr>
            </w:pPr>
            <w:r>
              <w:rPr>
                <w:rFonts w:hint="eastAsia" w:eastAsia="仿宋_GB2312"/>
                <w:kern w:val="2"/>
                <w:sz w:val="16"/>
                <w:szCs w:val="16"/>
                <w:lang w:val="en-US" w:eastAsia="zh-CN"/>
              </w:rPr>
              <w:t>8</w:t>
            </w:r>
          </w:p>
        </w:tc>
        <w:tc>
          <w:tcPr>
            <w:tcW w:w="1623" w:type="pct"/>
            <w:vAlign w:val="center"/>
          </w:tcPr>
          <w:p>
            <w:pPr>
              <w:pStyle w:val="3"/>
              <w:shd w:val="clear" w:color="auto" w:fill="FFFFFF"/>
              <w:spacing w:before="0" w:beforeAutospacing="0" w:after="0" w:afterAutospacing="0"/>
              <w:jc w:val="both"/>
              <w:textAlignment w:val="center"/>
              <w:rPr>
                <w:rFonts w:eastAsia="仿宋_GB2312"/>
                <w:b w:val="0"/>
                <w:bCs w:val="0"/>
                <w:kern w:val="2"/>
                <w:sz w:val="16"/>
                <w:szCs w:val="16"/>
              </w:rPr>
            </w:pPr>
            <w:r>
              <w:rPr>
                <w:rFonts w:eastAsia="仿宋_GB2312"/>
                <w:b w:val="0"/>
                <w:bCs w:val="0"/>
                <w:kern w:val="2"/>
                <w:sz w:val="16"/>
                <w:szCs w:val="16"/>
              </w:rPr>
              <w:t>Simultaneous determination of fluoride and chloride in iron ore by steam distillation followed by ion chromatography.</w:t>
            </w:r>
          </w:p>
          <w:p>
            <w:pPr>
              <w:pStyle w:val="3"/>
              <w:shd w:val="clear" w:color="auto" w:fill="FFFFFF"/>
              <w:spacing w:before="0" w:beforeAutospacing="0" w:after="0" w:afterAutospacing="0"/>
              <w:jc w:val="both"/>
              <w:textAlignment w:val="center"/>
              <w:rPr>
                <w:rFonts w:eastAsia="仿宋_GB2312"/>
                <w:b w:val="0"/>
                <w:bCs w:val="0"/>
                <w:kern w:val="2"/>
                <w:sz w:val="16"/>
                <w:szCs w:val="16"/>
              </w:rPr>
            </w:pPr>
            <w:r>
              <w:rPr>
                <w:rFonts w:eastAsia="仿宋_GB2312"/>
                <w:i/>
                <w:iCs/>
                <w:kern w:val="2"/>
                <w:sz w:val="16"/>
                <w:szCs w:val="16"/>
              </w:rPr>
              <w:t>Chromatographia</w:t>
            </w:r>
            <w:r>
              <w:rPr>
                <w:rFonts w:eastAsia="仿宋_GB2312"/>
                <w:b w:val="0"/>
                <w:bCs w:val="0"/>
                <w:kern w:val="2"/>
                <w:sz w:val="16"/>
                <w:szCs w:val="16"/>
              </w:rPr>
              <w:t>/Nadeem Muhammad, Lehua Lao, Azeem Intisar, Hairong Cui, Yan Zhu</w:t>
            </w:r>
          </w:p>
        </w:tc>
        <w:tc>
          <w:tcPr>
            <w:tcW w:w="635" w:type="pct"/>
            <w:vAlign w:val="center"/>
          </w:tcPr>
          <w:p>
            <w:pPr>
              <w:widowControl w:val="0"/>
              <w:wordWrap w:val="0"/>
              <w:jc w:val="center"/>
              <w:textAlignment w:val="center"/>
              <w:rPr>
                <w:rFonts w:eastAsia="仿宋_GB2312"/>
                <w:kern w:val="2"/>
                <w:sz w:val="16"/>
                <w:szCs w:val="16"/>
              </w:rPr>
            </w:pPr>
            <w:r>
              <w:rPr>
                <w:rFonts w:eastAsia="仿宋_GB2312"/>
                <w:kern w:val="2"/>
                <w:sz w:val="16"/>
                <w:szCs w:val="16"/>
              </w:rPr>
              <w:t>2019, 82, 1839</w:t>
            </w:r>
            <w:r>
              <w:rPr>
                <w:rFonts w:eastAsia="微软雅黑"/>
                <w:kern w:val="2"/>
                <w:sz w:val="16"/>
                <w:szCs w:val="16"/>
              </w:rPr>
              <w:t>-</w:t>
            </w:r>
            <w:r>
              <w:rPr>
                <w:rFonts w:eastAsia="仿宋_GB2312"/>
                <w:kern w:val="2"/>
                <w:sz w:val="16"/>
                <w:szCs w:val="16"/>
              </w:rPr>
              <w:t>1844</w:t>
            </w:r>
          </w:p>
        </w:tc>
        <w:tc>
          <w:tcPr>
            <w:tcW w:w="436" w:type="pct"/>
            <w:vAlign w:val="center"/>
          </w:tcPr>
          <w:p>
            <w:pPr>
              <w:jc w:val="center"/>
              <w:textAlignment w:val="center"/>
              <w:rPr>
                <w:rFonts w:eastAsia="仿宋_GB2312"/>
                <w:kern w:val="2"/>
                <w:sz w:val="16"/>
                <w:szCs w:val="16"/>
              </w:rPr>
            </w:pPr>
            <w:r>
              <w:rPr>
                <w:rFonts w:eastAsia="仿宋_GB2312"/>
                <w:kern w:val="2"/>
                <w:sz w:val="16"/>
                <w:szCs w:val="16"/>
              </w:rPr>
              <w:t>2019.08.31</w:t>
            </w:r>
          </w:p>
        </w:tc>
        <w:tc>
          <w:tcPr>
            <w:tcW w:w="425" w:type="pct"/>
            <w:vAlign w:val="center"/>
          </w:tcPr>
          <w:p>
            <w:pPr>
              <w:jc w:val="center"/>
              <w:textAlignment w:val="center"/>
              <w:rPr>
                <w:rFonts w:eastAsia="仿宋_GB2312"/>
                <w:kern w:val="2"/>
                <w:sz w:val="16"/>
                <w:szCs w:val="16"/>
              </w:rPr>
            </w:pPr>
            <w:r>
              <w:rPr>
                <w:rFonts w:eastAsia="仿宋_GB2312"/>
                <w:kern w:val="2"/>
                <w:sz w:val="16"/>
                <w:szCs w:val="16"/>
              </w:rPr>
              <w:t>Nadeem Muhammad, Hairong Cui</w:t>
            </w:r>
          </w:p>
        </w:tc>
        <w:tc>
          <w:tcPr>
            <w:tcW w:w="338" w:type="pct"/>
            <w:vAlign w:val="center"/>
          </w:tcPr>
          <w:p>
            <w:pPr>
              <w:jc w:val="center"/>
              <w:textAlignment w:val="center"/>
              <w:rPr>
                <w:rFonts w:eastAsia="仿宋_GB2312"/>
                <w:kern w:val="2"/>
                <w:sz w:val="16"/>
                <w:szCs w:val="16"/>
              </w:rPr>
            </w:pPr>
            <w:r>
              <w:rPr>
                <w:rFonts w:eastAsia="仿宋_GB2312"/>
                <w:kern w:val="2"/>
                <w:sz w:val="16"/>
                <w:szCs w:val="16"/>
              </w:rPr>
              <w:t>Nadeem Muhammad</w:t>
            </w:r>
          </w:p>
        </w:tc>
        <w:tc>
          <w:tcPr>
            <w:tcW w:w="637" w:type="pct"/>
            <w:vAlign w:val="center"/>
          </w:tcPr>
          <w:p>
            <w:pPr>
              <w:jc w:val="center"/>
              <w:textAlignment w:val="center"/>
              <w:rPr>
                <w:rFonts w:eastAsia="仿宋_GB2312"/>
                <w:kern w:val="2"/>
                <w:sz w:val="16"/>
                <w:szCs w:val="16"/>
              </w:rPr>
            </w:pPr>
            <w:r>
              <w:rPr>
                <w:rFonts w:eastAsia="仿宋_GB2312"/>
                <w:kern w:val="2"/>
                <w:sz w:val="16"/>
                <w:szCs w:val="16"/>
              </w:rPr>
              <w:t>Lehua Lao, Hairong Cui, Yan Zhu</w:t>
            </w:r>
          </w:p>
        </w:tc>
        <w:tc>
          <w:tcPr>
            <w:tcW w:w="204" w:type="pct"/>
            <w:vAlign w:val="center"/>
          </w:tcPr>
          <w:p>
            <w:pPr>
              <w:jc w:val="center"/>
              <w:textAlignment w:val="center"/>
              <w:rPr>
                <w:rFonts w:eastAsia="仿宋_GB2312"/>
                <w:kern w:val="2"/>
                <w:sz w:val="16"/>
                <w:szCs w:val="16"/>
              </w:rPr>
            </w:pPr>
            <w:r>
              <w:rPr>
                <w:rFonts w:eastAsia="仿宋_GB2312"/>
                <w:kern w:val="2"/>
                <w:sz w:val="16"/>
                <w:szCs w:val="16"/>
              </w:rPr>
              <w:t>11</w:t>
            </w:r>
          </w:p>
        </w:tc>
        <w:tc>
          <w:tcPr>
            <w:tcW w:w="285" w:type="pct"/>
          </w:tcPr>
          <w:p>
            <w:pPr>
              <w:jc w:val="center"/>
              <w:textAlignment w:val="center"/>
              <w:rPr>
                <w:rFonts w:eastAsia="仿宋_GB2312"/>
                <w:kern w:val="2"/>
                <w:sz w:val="16"/>
                <w:szCs w:val="16"/>
              </w:rPr>
            </w:pPr>
            <w:r>
              <w:rPr>
                <w:rFonts w:eastAsia="仿宋_GB2312"/>
                <w:kern w:val="2"/>
                <w:sz w:val="16"/>
                <w:szCs w:val="16"/>
              </w:rPr>
              <w:t>Google Scholar</w:t>
            </w:r>
          </w:p>
        </w:tc>
        <w:tc>
          <w:tcPr>
            <w:tcW w:w="203" w:type="pct"/>
            <w:vAlign w:val="center"/>
          </w:tcPr>
          <w:p>
            <w:pPr>
              <w:jc w:val="center"/>
              <w:textAlignment w:val="center"/>
              <w:rPr>
                <w:rFonts w:eastAsia="仿宋_GB2312"/>
                <w:kern w:val="2"/>
                <w:sz w:val="16"/>
                <w:szCs w:val="16"/>
              </w:rPr>
            </w:pPr>
            <w:r>
              <w:rPr>
                <w:rFonts w:eastAsia="仿宋_GB2312"/>
                <w:kern w:val="2"/>
                <w:sz w:val="16"/>
                <w:szCs w:val="16"/>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trPr>
        <w:tc>
          <w:tcPr>
            <w:tcW w:w="207" w:type="pct"/>
            <w:vAlign w:val="center"/>
          </w:tcPr>
          <w:p>
            <w:pPr>
              <w:jc w:val="center"/>
              <w:textAlignment w:val="center"/>
              <w:rPr>
                <w:rFonts w:hint="eastAsia" w:eastAsia="仿宋_GB2312"/>
                <w:kern w:val="2"/>
                <w:sz w:val="16"/>
                <w:szCs w:val="16"/>
                <w:lang w:eastAsia="zh-CN"/>
              </w:rPr>
            </w:pPr>
            <w:r>
              <w:rPr>
                <w:rFonts w:hint="eastAsia" w:eastAsia="仿宋_GB2312"/>
                <w:kern w:val="2"/>
                <w:sz w:val="16"/>
                <w:szCs w:val="16"/>
                <w:lang w:val="en-US" w:eastAsia="zh-CN"/>
              </w:rPr>
              <w:t>9</w:t>
            </w:r>
          </w:p>
        </w:tc>
        <w:tc>
          <w:tcPr>
            <w:tcW w:w="1623" w:type="pct"/>
            <w:vAlign w:val="center"/>
          </w:tcPr>
          <w:p>
            <w:pPr>
              <w:pStyle w:val="7"/>
              <w:ind w:firstLine="320"/>
              <w:jc w:val="both"/>
              <w:rPr>
                <w:rFonts w:eastAsia="仿宋_GB2312"/>
                <w:sz w:val="16"/>
                <w:szCs w:val="16"/>
              </w:rPr>
            </w:pPr>
            <w:r>
              <w:rPr>
                <w:rFonts w:eastAsia="仿宋_GB2312"/>
                <w:sz w:val="16"/>
                <w:szCs w:val="16"/>
              </w:rPr>
              <w:t>Simultaneous Determination of Organic and Cationic Species in Explosives Residues with Column-Switching Liquid Chromatography-Ion Chromatography System.</w:t>
            </w:r>
          </w:p>
          <w:p>
            <w:pPr>
              <w:pStyle w:val="7"/>
              <w:jc w:val="both"/>
              <w:rPr>
                <w:rFonts w:eastAsia="仿宋_GB2312"/>
              </w:rPr>
            </w:pPr>
            <w:r>
              <w:rPr>
                <w:rFonts w:eastAsia="仿宋_GB2312"/>
                <w:b/>
                <w:bCs/>
                <w:i/>
                <w:iCs/>
                <w:sz w:val="16"/>
                <w:szCs w:val="16"/>
              </w:rPr>
              <w:t>J. CHROMATOGR.SCI.</w:t>
            </w:r>
            <w:r>
              <w:rPr>
                <w:rFonts w:eastAsia="仿宋_GB2312"/>
                <w:i/>
                <w:iCs/>
                <w:sz w:val="16"/>
                <w:szCs w:val="16"/>
              </w:rPr>
              <w:t>/</w:t>
            </w:r>
            <w:r>
              <w:rPr>
                <w:rFonts w:eastAsia="仿宋_GB2312"/>
                <w:sz w:val="16"/>
                <w:szCs w:val="16"/>
              </w:rPr>
              <w:t>Peijin Xie, Jingang Xu, Zhenzhen Hu, Fawzi El-Sepai, Peimin Zhang, Yan Zhu.</w:t>
            </w:r>
          </w:p>
        </w:tc>
        <w:tc>
          <w:tcPr>
            <w:tcW w:w="635" w:type="pct"/>
            <w:vAlign w:val="center"/>
          </w:tcPr>
          <w:p>
            <w:pPr>
              <w:pStyle w:val="2"/>
              <w:spacing w:before="0"/>
              <w:jc w:val="center"/>
              <w:rPr>
                <w:rFonts w:ascii="Times New Roman" w:hAnsi="Times New Roman" w:eastAsia="仿宋_GB2312" w:cs="Times New Roman"/>
                <w:color w:val="auto"/>
                <w:sz w:val="16"/>
                <w:szCs w:val="16"/>
              </w:rPr>
            </w:pPr>
            <w:r>
              <w:rPr>
                <w:rFonts w:ascii="Times New Roman" w:hAnsi="Times New Roman" w:eastAsia="仿宋_GB2312" w:cs="Times New Roman"/>
                <w:color w:val="auto"/>
                <w:sz w:val="16"/>
                <w:szCs w:val="16"/>
              </w:rPr>
              <w:t>2011, 49, 622-627</w:t>
            </w:r>
          </w:p>
        </w:tc>
        <w:tc>
          <w:tcPr>
            <w:tcW w:w="436" w:type="pct"/>
            <w:vAlign w:val="center"/>
          </w:tcPr>
          <w:p>
            <w:pPr>
              <w:pStyle w:val="2"/>
              <w:spacing w:before="0"/>
              <w:jc w:val="center"/>
              <w:rPr>
                <w:rFonts w:ascii="Times New Roman" w:hAnsi="Times New Roman" w:eastAsia="仿宋_GB2312" w:cs="Times New Roman"/>
                <w:color w:val="auto"/>
                <w:sz w:val="16"/>
                <w:szCs w:val="16"/>
              </w:rPr>
            </w:pPr>
            <w:r>
              <w:rPr>
                <w:rFonts w:ascii="Times New Roman" w:hAnsi="Times New Roman" w:eastAsia="仿宋_GB2312" w:cs="Times New Roman"/>
                <w:color w:val="auto"/>
                <w:sz w:val="16"/>
                <w:szCs w:val="16"/>
              </w:rPr>
              <w:t>2011.09.01</w:t>
            </w:r>
          </w:p>
        </w:tc>
        <w:tc>
          <w:tcPr>
            <w:tcW w:w="425" w:type="pct"/>
            <w:vAlign w:val="center"/>
          </w:tcPr>
          <w:p>
            <w:pPr>
              <w:pStyle w:val="2"/>
              <w:spacing w:before="0"/>
              <w:jc w:val="center"/>
              <w:rPr>
                <w:rFonts w:ascii="Times New Roman" w:hAnsi="Times New Roman" w:eastAsia="仿宋_GB2312" w:cs="Times New Roman"/>
                <w:color w:val="auto"/>
                <w:sz w:val="16"/>
                <w:szCs w:val="16"/>
              </w:rPr>
            </w:pPr>
            <w:r>
              <w:rPr>
                <w:rFonts w:ascii="Times New Roman" w:hAnsi="Times New Roman" w:eastAsia="仿宋_GB2312" w:cs="Times New Roman"/>
                <w:color w:val="auto"/>
                <w:sz w:val="16"/>
                <w:szCs w:val="16"/>
              </w:rPr>
              <w:t>Peimin Zhang, Yan Zhu</w:t>
            </w:r>
          </w:p>
        </w:tc>
        <w:tc>
          <w:tcPr>
            <w:tcW w:w="338" w:type="pct"/>
            <w:vAlign w:val="center"/>
          </w:tcPr>
          <w:p>
            <w:pPr>
              <w:pStyle w:val="2"/>
              <w:spacing w:before="0"/>
              <w:jc w:val="center"/>
              <w:rPr>
                <w:rFonts w:ascii="Times New Roman" w:hAnsi="Times New Roman" w:eastAsia="仿宋_GB2312" w:cs="Times New Roman"/>
                <w:color w:val="auto"/>
                <w:sz w:val="16"/>
                <w:szCs w:val="16"/>
              </w:rPr>
            </w:pPr>
            <w:r>
              <w:rPr>
                <w:rFonts w:ascii="Times New Roman" w:hAnsi="Times New Roman" w:eastAsia="仿宋_GB2312" w:cs="Times New Roman"/>
                <w:color w:val="auto"/>
                <w:sz w:val="16"/>
                <w:szCs w:val="16"/>
              </w:rPr>
              <w:t>Peijin Xie</w:t>
            </w:r>
          </w:p>
        </w:tc>
        <w:tc>
          <w:tcPr>
            <w:tcW w:w="637" w:type="pct"/>
            <w:vAlign w:val="center"/>
          </w:tcPr>
          <w:p>
            <w:pPr>
              <w:pStyle w:val="2"/>
              <w:spacing w:before="0"/>
              <w:jc w:val="center"/>
              <w:rPr>
                <w:rFonts w:ascii="Times New Roman" w:hAnsi="Times New Roman" w:eastAsia="仿宋_GB2312" w:cs="Times New Roman"/>
                <w:color w:val="auto"/>
                <w:sz w:val="16"/>
                <w:szCs w:val="16"/>
              </w:rPr>
            </w:pPr>
            <w:r>
              <w:rPr>
                <w:rFonts w:ascii="Times New Roman" w:hAnsi="Times New Roman" w:eastAsia="仿宋_GB2312" w:cs="Times New Roman"/>
                <w:color w:val="auto"/>
                <w:sz w:val="16"/>
                <w:szCs w:val="16"/>
              </w:rPr>
              <w:t>Peijin Xie, Jingang Xu, Zhenzhen Hu, Fawzi El-Sepai, Peimin  Zhang, Yan Zhu</w:t>
            </w:r>
          </w:p>
        </w:tc>
        <w:tc>
          <w:tcPr>
            <w:tcW w:w="204" w:type="pct"/>
            <w:vAlign w:val="center"/>
          </w:tcPr>
          <w:p>
            <w:pPr>
              <w:pStyle w:val="2"/>
              <w:spacing w:before="0"/>
              <w:jc w:val="center"/>
              <w:rPr>
                <w:rFonts w:ascii="Times New Roman" w:hAnsi="Times New Roman" w:eastAsia="仿宋_GB2312" w:cs="Times New Roman"/>
                <w:color w:val="auto"/>
                <w:sz w:val="16"/>
                <w:szCs w:val="16"/>
              </w:rPr>
            </w:pPr>
            <w:r>
              <w:rPr>
                <w:rFonts w:ascii="Times New Roman" w:hAnsi="Times New Roman" w:eastAsia="仿宋_GB2312" w:cs="Times New Roman"/>
                <w:color w:val="auto"/>
                <w:sz w:val="16"/>
                <w:szCs w:val="16"/>
              </w:rPr>
              <w:t>7</w:t>
            </w:r>
          </w:p>
        </w:tc>
        <w:tc>
          <w:tcPr>
            <w:tcW w:w="285" w:type="pct"/>
          </w:tcPr>
          <w:p>
            <w:pPr>
              <w:pStyle w:val="2"/>
              <w:spacing w:before="0"/>
              <w:jc w:val="center"/>
              <w:rPr>
                <w:rFonts w:ascii="Times New Roman" w:hAnsi="Times New Roman" w:eastAsia="仿宋_GB2312" w:cs="Times New Roman"/>
                <w:color w:val="auto"/>
                <w:sz w:val="16"/>
                <w:szCs w:val="16"/>
              </w:rPr>
            </w:pPr>
            <w:r>
              <w:rPr>
                <w:rFonts w:ascii="Times New Roman" w:hAnsi="Times New Roman" w:eastAsia="仿宋_GB2312" w:cs="Times New Roman"/>
                <w:color w:val="auto"/>
                <w:sz w:val="16"/>
                <w:szCs w:val="16"/>
              </w:rPr>
              <w:t>Google Scholar</w:t>
            </w:r>
          </w:p>
        </w:tc>
        <w:tc>
          <w:tcPr>
            <w:tcW w:w="203" w:type="pct"/>
            <w:vAlign w:val="center"/>
          </w:tcPr>
          <w:p>
            <w:pPr>
              <w:pStyle w:val="2"/>
              <w:spacing w:before="0"/>
              <w:jc w:val="center"/>
              <w:rPr>
                <w:rFonts w:ascii="Times New Roman" w:hAnsi="Times New Roman" w:eastAsia="仿宋_GB2312" w:cs="Times New Roman"/>
                <w:color w:val="auto"/>
                <w:sz w:val="16"/>
                <w:szCs w:val="16"/>
              </w:rPr>
            </w:pPr>
            <w:r>
              <w:rPr>
                <w:rFonts w:ascii="Times New Roman" w:hAnsi="Times New Roman" w:eastAsia="仿宋_GB2312" w:cs="Times New Roman"/>
                <w:color w:val="auto"/>
                <w:sz w:val="16"/>
                <w:szCs w:val="16"/>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3" w:hRule="atLeast"/>
        </w:trPr>
        <w:tc>
          <w:tcPr>
            <w:tcW w:w="207" w:type="pct"/>
            <w:vAlign w:val="center"/>
          </w:tcPr>
          <w:p>
            <w:pPr>
              <w:pStyle w:val="2"/>
              <w:spacing w:before="0"/>
              <w:jc w:val="center"/>
              <w:rPr>
                <w:rFonts w:ascii="Times New Roman" w:hAnsi="Times New Roman" w:eastAsia="仿宋_GB2312" w:cs="Times New Roman"/>
                <w:color w:val="auto"/>
                <w:sz w:val="16"/>
                <w:szCs w:val="16"/>
              </w:rPr>
            </w:pPr>
            <w:r>
              <w:rPr>
                <w:rFonts w:ascii="Times New Roman" w:hAnsi="Times New Roman" w:eastAsia="仿宋_GB2312" w:cs="Times New Roman"/>
                <w:color w:val="auto"/>
                <w:sz w:val="16"/>
                <w:szCs w:val="16"/>
              </w:rPr>
              <w:t>10</w:t>
            </w:r>
          </w:p>
        </w:tc>
        <w:tc>
          <w:tcPr>
            <w:tcW w:w="1623" w:type="pct"/>
            <w:vAlign w:val="center"/>
          </w:tcPr>
          <w:p>
            <w:pPr>
              <w:pStyle w:val="7"/>
              <w:jc w:val="both"/>
              <w:rPr>
                <w:rFonts w:eastAsia="仿宋_GB2312"/>
                <w:sz w:val="16"/>
                <w:szCs w:val="16"/>
              </w:rPr>
            </w:pPr>
            <w:r>
              <w:rPr>
                <w:rFonts w:eastAsia="仿宋_GB2312"/>
                <w:sz w:val="16"/>
                <w:szCs w:val="16"/>
              </w:rPr>
              <w:t>两性化合物与离子对试剂的混合物作流动相的流动相离子色谱法测定气溶胶中水溶性阴离子.</w:t>
            </w:r>
          </w:p>
          <w:p>
            <w:pPr>
              <w:pStyle w:val="7"/>
              <w:jc w:val="both"/>
              <w:rPr>
                <w:rFonts w:eastAsia="仿宋_GB2312"/>
                <w:sz w:val="16"/>
                <w:szCs w:val="16"/>
              </w:rPr>
            </w:pPr>
            <w:r>
              <w:rPr>
                <w:rFonts w:eastAsia="仿宋_GB2312"/>
                <w:b/>
                <w:bCs/>
                <w:i/>
                <w:iCs/>
                <w:sz w:val="16"/>
                <w:szCs w:val="16"/>
              </w:rPr>
              <w:t>分析化学</w:t>
            </w:r>
            <w:r>
              <w:rPr>
                <w:rFonts w:eastAsia="仿宋_GB2312"/>
                <w:sz w:val="16"/>
                <w:szCs w:val="16"/>
              </w:rPr>
              <w:t>/朱岩, 凌艳艳, 陈建芳</w:t>
            </w:r>
          </w:p>
        </w:tc>
        <w:tc>
          <w:tcPr>
            <w:tcW w:w="635" w:type="pct"/>
            <w:vAlign w:val="center"/>
          </w:tcPr>
          <w:p>
            <w:pPr>
              <w:pStyle w:val="2"/>
              <w:spacing w:before="0"/>
              <w:jc w:val="center"/>
              <w:rPr>
                <w:rFonts w:ascii="Times New Roman" w:hAnsi="Times New Roman" w:eastAsia="仿宋_GB2312" w:cs="Times New Roman"/>
                <w:color w:val="auto"/>
                <w:sz w:val="16"/>
                <w:szCs w:val="16"/>
              </w:rPr>
            </w:pPr>
            <w:r>
              <w:rPr>
                <w:rFonts w:ascii="Times New Roman" w:hAnsi="Times New Roman" w:eastAsia="仿宋_GB2312" w:cs="Times New Roman"/>
                <w:color w:val="auto"/>
                <w:sz w:val="16"/>
                <w:szCs w:val="16"/>
              </w:rPr>
              <w:t>2004, 01, 79-82.</w:t>
            </w:r>
          </w:p>
        </w:tc>
        <w:tc>
          <w:tcPr>
            <w:tcW w:w="436" w:type="pct"/>
            <w:vAlign w:val="center"/>
          </w:tcPr>
          <w:p>
            <w:pPr>
              <w:pStyle w:val="2"/>
              <w:spacing w:before="0"/>
              <w:jc w:val="center"/>
              <w:rPr>
                <w:rFonts w:ascii="Times New Roman" w:hAnsi="Times New Roman" w:eastAsia="仿宋_GB2312" w:cs="Times New Roman"/>
                <w:color w:val="auto"/>
                <w:sz w:val="16"/>
                <w:szCs w:val="16"/>
              </w:rPr>
            </w:pPr>
            <w:r>
              <w:rPr>
                <w:rFonts w:ascii="Times New Roman" w:hAnsi="Times New Roman" w:eastAsia="仿宋_GB2312" w:cs="Times New Roman"/>
                <w:color w:val="auto"/>
                <w:sz w:val="16"/>
                <w:szCs w:val="16"/>
              </w:rPr>
              <w:t>2004.01.25</w:t>
            </w:r>
          </w:p>
        </w:tc>
        <w:tc>
          <w:tcPr>
            <w:tcW w:w="425" w:type="pct"/>
            <w:vAlign w:val="center"/>
          </w:tcPr>
          <w:p>
            <w:pPr>
              <w:pStyle w:val="2"/>
              <w:spacing w:before="0"/>
              <w:jc w:val="center"/>
              <w:rPr>
                <w:rFonts w:ascii="Times New Roman" w:hAnsi="Times New Roman" w:eastAsia="仿宋_GB2312" w:cs="Times New Roman"/>
                <w:color w:val="auto"/>
                <w:sz w:val="16"/>
                <w:szCs w:val="16"/>
              </w:rPr>
            </w:pPr>
            <w:r>
              <w:rPr>
                <w:rFonts w:ascii="Times New Roman" w:hAnsi="Times New Roman" w:eastAsia="仿宋_GB2312" w:cs="Times New Roman"/>
                <w:color w:val="auto"/>
                <w:sz w:val="16"/>
                <w:szCs w:val="16"/>
              </w:rPr>
              <w:t>朱岩</w:t>
            </w:r>
          </w:p>
        </w:tc>
        <w:tc>
          <w:tcPr>
            <w:tcW w:w="338" w:type="pct"/>
            <w:vAlign w:val="center"/>
          </w:tcPr>
          <w:p>
            <w:pPr>
              <w:pStyle w:val="2"/>
              <w:spacing w:before="0"/>
              <w:jc w:val="center"/>
              <w:rPr>
                <w:rFonts w:ascii="Times New Roman" w:hAnsi="Times New Roman" w:eastAsia="仿宋_GB2312" w:cs="Times New Roman"/>
                <w:color w:val="auto"/>
                <w:sz w:val="16"/>
                <w:szCs w:val="16"/>
              </w:rPr>
            </w:pPr>
            <w:r>
              <w:rPr>
                <w:rFonts w:ascii="Times New Roman" w:hAnsi="Times New Roman" w:eastAsia="仿宋_GB2312" w:cs="Times New Roman"/>
                <w:color w:val="auto"/>
                <w:sz w:val="16"/>
                <w:szCs w:val="16"/>
              </w:rPr>
              <w:t>朱岩</w:t>
            </w:r>
          </w:p>
        </w:tc>
        <w:tc>
          <w:tcPr>
            <w:tcW w:w="637" w:type="pct"/>
            <w:vAlign w:val="center"/>
          </w:tcPr>
          <w:p>
            <w:pPr>
              <w:pStyle w:val="2"/>
              <w:spacing w:before="0"/>
              <w:jc w:val="center"/>
              <w:rPr>
                <w:rFonts w:ascii="Times New Roman" w:hAnsi="Times New Roman" w:eastAsia="仿宋_GB2312" w:cs="Times New Roman"/>
                <w:color w:val="auto"/>
                <w:sz w:val="16"/>
                <w:szCs w:val="16"/>
              </w:rPr>
            </w:pPr>
            <w:r>
              <w:rPr>
                <w:rFonts w:ascii="Times New Roman" w:hAnsi="Times New Roman" w:eastAsia="仿宋_GB2312" w:cs="Times New Roman"/>
                <w:color w:val="auto"/>
                <w:sz w:val="16"/>
                <w:szCs w:val="16"/>
              </w:rPr>
              <w:t>朱岩, 凌艳艳, 陈建芳.</w:t>
            </w:r>
          </w:p>
        </w:tc>
        <w:tc>
          <w:tcPr>
            <w:tcW w:w="204" w:type="pct"/>
            <w:vAlign w:val="center"/>
          </w:tcPr>
          <w:p>
            <w:pPr>
              <w:pStyle w:val="2"/>
              <w:spacing w:before="0"/>
              <w:jc w:val="center"/>
              <w:rPr>
                <w:rFonts w:ascii="Times New Roman" w:hAnsi="Times New Roman" w:eastAsia="仿宋_GB2312" w:cs="Times New Roman"/>
                <w:color w:val="auto"/>
                <w:sz w:val="16"/>
                <w:szCs w:val="16"/>
              </w:rPr>
            </w:pPr>
          </w:p>
        </w:tc>
        <w:tc>
          <w:tcPr>
            <w:tcW w:w="285" w:type="pct"/>
          </w:tcPr>
          <w:p>
            <w:pPr>
              <w:pStyle w:val="2"/>
              <w:spacing w:before="0"/>
              <w:jc w:val="center"/>
              <w:rPr>
                <w:rFonts w:ascii="Times New Roman" w:hAnsi="Times New Roman" w:eastAsia="仿宋_GB2312" w:cs="Times New Roman"/>
                <w:color w:val="auto"/>
                <w:sz w:val="16"/>
                <w:szCs w:val="16"/>
              </w:rPr>
            </w:pPr>
            <w:r>
              <w:rPr>
                <w:rFonts w:ascii="Times New Roman" w:hAnsi="Times New Roman" w:eastAsia="仿宋_GB2312" w:cs="Times New Roman"/>
                <w:color w:val="auto"/>
                <w:sz w:val="16"/>
                <w:szCs w:val="16"/>
              </w:rPr>
              <w:t>知网</w:t>
            </w:r>
          </w:p>
        </w:tc>
        <w:tc>
          <w:tcPr>
            <w:tcW w:w="203" w:type="pct"/>
            <w:vAlign w:val="center"/>
          </w:tcPr>
          <w:p>
            <w:pPr>
              <w:pStyle w:val="2"/>
              <w:spacing w:before="0"/>
              <w:jc w:val="center"/>
              <w:rPr>
                <w:rFonts w:ascii="Times New Roman" w:hAnsi="Times New Roman" w:eastAsia="仿宋_GB2312" w:cs="Times New Roman"/>
                <w:color w:val="auto"/>
                <w:sz w:val="16"/>
                <w:szCs w:val="16"/>
              </w:rPr>
            </w:pPr>
            <w:r>
              <w:rPr>
                <w:rFonts w:ascii="Times New Roman" w:hAnsi="Times New Roman" w:eastAsia="仿宋_GB2312" w:cs="Times New Roman"/>
                <w:color w:val="auto"/>
                <w:sz w:val="16"/>
                <w:szCs w:val="16"/>
              </w:rPr>
              <w:t>否</w:t>
            </w:r>
          </w:p>
        </w:tc>
      </w:tr>
    </w:tbl>
    <w:p>
      <w:pPr>
        <w:jc w:val="both"/>
        <w:rPr>
          <w:rFonts w:eastAsia="仿宋_GB2312"/>
          <w:b/>
          <w:sz w:val="16"/>
          <w:szCs w:val="16"/>
        </w:rPr>
      </w:pPr>
    </w:p>
    <w:p>
      <w:pPr>
        <w:jc w:val="both"/>
        <w:rPr>
          <w:rFonts w:eastAsia="仿宋_GB2312"/>
          <w:b/>
          <w:sz w:val="16"/>
          <w:szCs w:val="16"/>
        </w:rPr>
      </w:pPr>
    </w:p>
    <w:p>
      <w:pPr>
        <w:jc w:val="both"/>
        <w:rPr>
          <w:rFonts w:eastAsia="仿宋"/>
          <w:b/>
          <w:sz w:val="16"/>
          <w:szCs w:val="16"/>
        </w:rPr>
      </w:pPr>
    </w:p>
    <w:sectPr>
      <w:pgSz w:w="11906" w:h="16838"/>
      <w:pgMar w:top="1440" w:right="1416" w:bottom="198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4NzE1YTIzOWQzN2EwMDExOThjYzZhNDJiOTE3ODYifQ=="/>
  </w:docVars>
  <w:rsids>
    <w:rsidRoot w:val="00A61D53"/>
    <w:rsid w:val="000004AD"/>
    <w:rsid w:val="00000546"/>
    <w:rsid w:val="000028AE"/>
    <w:rsid w:val="0000727B"/>
    <w:rsid w:val="00007423"/>
    <w:rsid w:val="0002039D"/>
    <w:rsid w:val="00020AF5"/>
    <w:rsid w:val="0002192E"/>
    <w:rsid w:val="000264B3"/>
    <w:rsid w:val="00026690"/>
    <w:rsid w:val="00043F72"/>
    <w:rsid w:val="00046C2E"/>
    <w:rsid w:val="00052ECE"/>
    <w:rsid w:val="00053257"/>
    <w:rsid w:val="00057CED"/>
    <w:rsid w:val="000760EF"/>
    <w:rsid w:val="00076AA9"/>
    <w:rsid w:val="00092D1D"/>
    <w:rsid w:val="000A5118"/>
    <w:rsid w:val="000B4E82"/>
    <w:rsid w:val="000B6237"/>
    <w:rsid w:val="000C10C0"/>
    <w:rsid w:val="000D72BB"/>
    <w:rsid w:val="000E3B95"/>
    <w:rsid w:val="00100CEE"/>
    <w:rsid w:val="00101813"/>
    <w:rsid w:val="001129E7"/>
    <w:rsid w:val="001174A7"/>
    <w:rsid w:val="001463CE"/>
    <w:rsid w:val="00162641"/>
    <w:rsid w:val="00164B9C"/>
    <w:rsid w:val="001650D5"/>
    <w:rsid w:val="00183FF8"/>
    <w:rsid w:val="001A4FC2"/>
    <w:rsid w:val="001A6695"/>
    <w:rsid w:val="001B130F"/>
    <w:rsid w:val="002134F0"/>
    <w:rsid w:val="002209C6"/>
    <w:rsid w:val="00270090"/>
    <w:rsid w:val="002766C0"/>
    <w:rsid w:val="00281DD3"/>
    <w:rsid w:val="00291A3E"/>
    <w:rsid w:val="00293234"/>
    <w:rsid w:val="0029340E"/>
    <w:rsid w:val="002B26EE"/>
    <w:rsid w:val="002B67AD"/>
    <w:rsid w:val="002C3C62"/>
    <w:rsid w:val="002D04B8"/>
    <w:rsid w:val="002D591D"/>
    <w:rsid w:val="002F420E"/>
    <w:rsid w:val="0030511A"/>
    <w:rsid w:val="00306D7E"/>
    <w:rsid w:val="00311816"/>
    <w:rsid w:val="00312B72"/>
    <w:rsid w:val="00315D9F"/>
    <w:rsid w:val="00347D16"/>
    <w:rsid w:val="00350827"/>
    <w:rsid w:val="00355084"/>
    <w:rsid w:val="003811CD"/>
    <w:rsid w:val="003812CF"/>
    <w:rsid w:val="00384377"/>
    <w:rsid w:val="003917FF"/>
    <w:rsid w:val="003A599A"/>
    <w:rsid w:val="003C4A79"/>
    <w:rsid w:val="003D0AF8"/>
    <w:rsid w:val="003D1557"/>
    <w:rsid w:val="003D2DFA"/>
    <w:rsid w:val="003D44B7"/>
    <w:rsid w:val="003E58A3"/>
    <w:rsid w:val="003F1F5A"/>
    <w:rsid w:val="003F4B83"/>
    <w:rsid w:val="003F68F2"/>
    <w:rsid w:val="00412FAF"/>
    <w:rsid w:val="004310B1"/>
    <w:rsid w:val="00440FDA"/>
    <w:rsid w:val="004438C0"/>
    <w:rsid w:val="00464E3E"/>
    <w:rsid w:val="00474C8D"/>
    <w:rsid w:val="0048113B"/>
    <w:rsid w:val="004837F3"/>
    <w:rsid w:val="00484749"/>
    <w:rsid w:val="004B2C7D"/>
    <w:rsid w:val="004B3FFE"/>
    <w:rsid w:val="004C0065"/>
    <w:rsid w:val="004C131D"/>
    <w:rsid w:val="004D28EF"/>
    <w:rsid w:val="004E29CF"/>
    <w:rsid w:val="004F65F3"/>
    <w:rsid w:val="0050007D"/>
    <w:rsid w:val="00505ADA"/>
    <w:rsid w:val="00506A9D"/>
    <w:rsid w:val="00513247"/>
    <w:rsid w:val="0052655A"/>
    <w:rsid w:val="005426E4"/>
    <w:rsid w:val="00543594"/>
    <w:rsid w:val="005443C6"/>
    <w:rsid w:val="00546F94"/>
    <w:rsid w:val="0056036B"/>
    <w:rsid w:val="005839D1"/>
    <w:rsid w:val="0059234A"/>
    <w:rsid w:val="00593321"/>
    <w:rsid w:val="0059376E"/>
    <w:rsid w:val="005943F9"/>
    <w:rsid w:val="005A2F96"/>
    <w:rsid w:val="005C6D56"/>
    <w:rsid w:val="005D6063"/>
    <w:rsid w:val="00612A43"/>
    <w:rsid w:val="0062071D"/>
    <w:rsid w:val="00636F24"/>
    <w:rsid w:val="00641F30"/>
    <w:rsid w:val="00644BD4"/>
    <w:rsid w:val="00670746"/>
    <w:rsid w:val="0067236D"/>
    <w:rsid w:val="006760CB"/>
    <w:rsid w:val="00677022"/>
    <w:rsid w:val="00680C65"/>
    <w:rsid w:val="00691610"/>
    <w:rsid w:val="0069365F"/>
    <w:rsid w:val="0069725B"/>
    <w:rsid w:val="006B26DE"/>
    <w:rsid w:val="006C1176"/>
    <w:rsid w:val="006C668D"/>
    <w:rsid w:val="006C7262"/>
    <w:rsid w:val="006D2629"/>
    <w:rsid w:val="006F704A"/>
    <w:rsid w:val="00702560"/>
    <w:rsid w:val="007025A9"/>
    <w:rsid w:val="00704AE6"/>
    <w:rsid w:val="00705CAC"/>
    <w:rsid w:val="0072275F"/>
    <w:rsid w:val="007311C1"/>
    <w:rsid w:val="0073476C"/>
    <w:rsid w:val="007357F5"/>
    <w:rsid w:val="00737C3A"/>
    <w:rsid w:val="00743D99"/>
    <w:rsid w:val="00747852"/>
    <w:rsid w:val="00766DBA"/>
    <w:rsid w:val="0077347F"/>
    <w:rsid w:val="00777EDE"/>
    <w:rsid w:val="0078224D"/>
    <w:rsid w:val="00785ED0"/>
    <w:rsid w:val="00787510"/>
    <w:rsid w:val="007A40A1"/>
    <w:rsid w:val="007B3ABD"/>
    <w:rsid w:val="007B705A"/>
    <w:rsid w:val="007D79B1"/>
    <w:rsid w:val="00801EA8"/>
    <w:rsid w:val="00802779"/>
    <w:rsid w:val="0081154E"/>
    <w:rsid w:val="00826A7A"/>
    <w:rsid w:val="00836031"/>
    <w:rsid w:val="00843EF3"/>
    <w:rsid w:val="008476EA"/>
    <w:rsid w:val="008740BF"/>
    <w:rsid w:val="008A3152"/>
    <w:rsid w:val="008A6D5E"/>
    <w:rsid w:val="008B7E75"/>
    <w:rsid w:val="008C75E7"/>
    <w:rsid w:val="008D15A3"/>
    <w:rsid w:val="008D23BE"/>
    <w:rsid w:val="008D3F11"/>
    <w:rsid w:val="008D71F1"/>
    <w:rsid w:val="008E2701"/>
    <w:rsid w:val="008E4A0E"/>
    <w:rsid w:val="008E6A22"/>
    <w:rsid w:val="009066FF"/>
    <w:rsid w:val="009112EC"/>
    <w:rsid w:val="00912017"/>
    <w:rsid w:val="00915AD4"/>
    <w:rsid w:val="00926B52"/>
    <w:rsid w:val="009321A4"/>
    <w:rsid w:val="009679EE"/>
    <w:rsid w:val="009712ED"/>
    <w:rsid w:val="009806B4"/>
    <w:rsid w:val="00980B55"/>
    <w:rsid w:val="009960E8"/>
    <w:rsid w:val="009C46F0"/>
    <w:rsid w:val="009C4DD9"/>
    <w:rsid w:val="009C577F"/>
    <w:rsid w:val="009D4B2C"/>
    <w:rsid w:val="009D7493"/>
    <w:rsid w:val="00A02F36"/>
    <w:rsid w:val="00A039E0"/>
    <w:rsid w:val="00A06759"/>
    <w:rsid w:val="00A14023"/>
    <w:rsid w:val="00A24CE7"/>
    <w:rsid w:val="00A34485"/>
    <w:rsid w:val="00A34826"/>
    <w:rsid w:val="00A37557"/>
    <w:rsid w:val="00A4481A"/>
    <w:rsid w:val="00A479F1"/>
    <w:rsid w:val="00A54553"/>
    <w:rsid w:val="00A554F4"/>
    <w:rsid w:val="00A61D53"/>
    <w:rsid w:val="00A670D3"/>
    <w:rsid w:val="00A737D4"/>
    <w:rsid w:val="00A95FE1"/>
    <w:rsid w:val="00AB5C4F"/>
    <w:rsid w:val="00AC75B0"/>
    <w:rsid w:val="00AD7DCA"/>
    <w:rsid w:val="00B038E4"/>
    <w:rsid w:val="00B1631D"/>
    <w:rsid w:val="00B25B2A"/>
    <w:rsid w:val="00B271F8"/>
    <w:rsid w:val="00B707D5"/>
    <w:rsid w:val="00B76B88"/>
    <w:rsid w:val="00B95477"/>
    <w:rsid w:val="00BA4EA4"/>
    <w:rsid w:val="00BA5970"/>
    <w:rsid w:val="00BB2087"/>
    <w:rsid w:val="00BB2A1C"/>
    <w:rsid w:val="00BB3844"/>
    <w:rsid w:val="00BC0505"/>
    <w:rsid w:val="00BD00E1"/>
    <w:rsid w:val="00BE019B"/>
    <w:rsid w:val="00BE6C09"/>
    <w:rsid w:val="00BF4DC5"/>
    <w:rsid w:val="00C00C76"/>
    <w:rsid w:val="00C37C3E"/>
    <w:rsid w:val="00C60EC5"/>
    <w:rsid w:val="00C64868"/>
    <w:rsid w:val="00C711E1"/>
    <w:rsid w:val="00C77566"/>
    <w:rsid w:val="00C8284C"/>
    <w:rsid w:val="00CA26BB"/>
    <w:rsid w:val="00CB0DC2"/>
    <w:rsid w:val="00CC6B38"/>
    <w:rsid w:val="00CD16CA"/>
    <w:rsid w:val="00CE15B7"/>
    <w:rsid w:val="00CF2AAD"/>
    <w:rsid w:val="00D02364"/>
    <w:rsid w:val="00D0237D"/>
    <w:rsid w:val="00D02ECF"/>
    <w:rsid w:val="00D162F5"/>
    <w:rsid w:val="00D17F64"/>
    <w:rsid w:val="00D201B4"/>
    <w:rsid w:val="00D3494E"/>
    <w:rsid w:val="00D36DA0"/>
    <w:rsid w:val="00D4497C"/>
    <w:rsid w:val="00D639C2"/>
    <w:rsid w:val="00D67DBD"/>
    <w:rsid w:val="00D736F0"/>
    <w:rsid w:val="00D84409"/>
    <w:rsid w:val="00D90120"/>
    <w:rsid w:val="00D94C42"/>
    <w:rsid w:val="00DA71A3"/>
    <w:rsid w:val="00DB7B6B"/>
    <w:rsid w:val="00DC1795"/>
    <w:rsid w:val="00DC1B04"/>
    <w:rsid w:val="00DD45A6"/>
    <w:rsid w:val="00DE501C"/>
    <w:rsid w:val="00E043F5"/>
    <w:rsid w:val="00E27DFE"/>
    <w:rsid w:val="00E41634"/>
    <w:rsid w:val="00E53129"/>
    <w:rsid w:val="00E542BA"/>
    <w:rsid w:val="00E7279F"/>
    <w:rsid w:val="00E90FCE"/>
    <w:rsid w:val="00EA29D4"/>
    <w:rsid w:val="00EB02AC"/>
    <w:rsid w:val="00EB283A"/>
    <w:rsid w:val="00EC592A"/>
    <w:rsid w:val="00ED1656"/>
    <w:rsid w:val="00ED2C3E"/>
    <w:rsid w:val="00EF1116"/>
    <w:rsid w:val="00F016FE"/>
    <w:rsid w:val="00F16FB9"/>
    <w:rsid w:val="00F3493B"/>
    <w:rsid w:val="00F42885"/>
    <w:rsid w:val="00F71844"/>
    <w:rsid w:val="00F719A3"/>
    <w:rsid w:val="00F82575"/>
    <w:rsid w:val="00F97DA1"/>
    <w:rsid w:val="00FB0D49"/>
    <w:rsid w:val="00FB3A07"/>
    <w:rsid w:val="00FB406F"/>
    <w:rsid w:val="00FD739B"/>
    <w:rsid w:val="00FE6B8A"/>
    <w:rsid w:val="00FF2622"/>
    <w:rsid w:val="00FF7C7C"/>
    <w:rsid w:val="019920D5"/>
    <w:rsid w:val="05776F0D"/>
    <w:rsid w:val="09366A22"/>
    <w:rsid w:val="1034624A"/>
    <w:rsid w:val="1DD566D9"/>
    <w:rsid w:val="22A44FB2"/>
    <w:rsid w:val="23BC33AA"/>
    <w:rsid w:val="2C5052E7"/>
    <w:rsid w:val="32262C16"/>
    <w:rsid w:val="43CD7545"/>
    <w:rsid w:val="441E3B32"/>
    <w:rsid w:val="468A5BDC"/>
    <w:rsid w:val="46E479C6"/>
    <w:rsid w:val="47FF0A02"/>
    <w:rsid w:val="4B4F0B9C"/>
    <w:rsid w:val="5269677A"/>
    <w:rsid w:val="550220FC"/>
    <w:rsid w:val="58C8603A"/>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basedOn w:val="1"/>
    <w:link w:val="29"/>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link w:val="22"/>
    <w:qFormat/>
    <w:uiPriority w:val="9"/>
    <w:pPr>
      <w:spacing w:before="100" w:beforeAutospacing="1" w:after="100" w:afterAutospacing="1"/>
      <w:outlineLvl w:val="1"/>
    </w:pPr>
    <w:rPr>
      <w:b/>
      <w:bCs/>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5"/>
    <w:qFormat/>
    <w:uiPriority w:val="99"/>
    <w:pPr>
      <w:spacing w:line="360" w:lineRule="auto"/>
      <w:ind w:firstLine="480" w:firstLineChars="200"/>
    </w:pPr>
    <w:rPr>
      <w:rFonts w:ascii="仿宋_GB2312"/>
    </w:r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style>
  <w:style w:type="character" w:styleId="10">
    <w:name w:val="Strong"/>
    <w:basedOn w:val="9"/>
    <w:qFormat/>
    <w:uiPriority w:val="22"/>
    <w:rPr>
      <w:b/>
      <w:bCs/>
    </w:rPr>
  </w:style>
  <w:style w:type="character" w:styleId="11">
    <w:name w:val="FollowedHyperlink"/>
    <w:basedOn w:val="9"/>
    <w:semiHidden/>
    <w:unhideWhenUsed/>
    <w:qFormat/>
    <w:uiPriority w:val="99"/>
    <w:rPr>
      <w:color w:val="954F72" w:themeColor="followedHyperlink"/>
      <w:u w:val="single"/>
      <w14:textFill>
        <w14:solidFill>
          <w14:schemeClr w14:val="folHlink"/>
        </w14:solidFill>
      </w14:textFill>
    </w:rPr>
  </w:style>
  <w:style w:type="character" w:styleId="12">
    <w:name w:val="Hyperlink"/>
    <w:basedOn w:val="9"/>
    <w:semiHidden/>
    <w:unhideWhenUsed/>
    <w:qFormat/>
    <w:uiPriority w:val="99"/>
    <w:rPr>
      <w:color w:val="0563C1" w:themeColor="hyperlink"/>
      <w:u w:val="single"/>
      <w14:textFill>
        <w14:solidFill>
          <w14:schemeClr w14:val="hlink"/>
        </w14:solidFill>
      </w14:textFill>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纯文本 字符"/>
    <w:link w:val="4"/>
    <w:qFormat/>
    <w:uiPriority w:val="99"/>
    <w:rPr>
      <w:rFonts w:ascii="仿宋_GB2312"/>
      <w:kern w:val="2"/>
      <w:sz w:val="24"/>
      <w:szCs w:val="22"/>
    </w:rPr>
  </w:style>
  <w:style w:type="paragraph" w:styleId="16">
    <w:name w:val="List Paragraph"/>
    <w:basedOn w:val="1"/>
    <w:unhideWhenUsed/>
    <w:qFormat/>
    <w:uiPriority w:val="99"/>
    <w:pPr>
      <w:ind w:firstLine="420" w:firstLineChars="200"/>
    </w:pPr>
  </w:style>
  <w:style w:type="character" w:customStyle="1" w:styleId="17">
    <w:name w:val="button-link-text"/>
    <w:basedOn w:val="9"/>
    <w:qFormat/>
    <w:uiPriority w:val="0"/>
  </w:style>
  <w:style w:type="character" w:customStyle="1" w:styleId="18">
    <w:name w:val="react-xocs-alternative-link"/>
    <w:basedOn w:val="9"/>
    <w:qFormat/>
    <w:uiPriority w:val="0"/>
  </w:style>
  <w:style w:type="character" w:customStyle="1" w:styleId="19">
    <w:name w:val="given-name"/>
    <w:basedOn w:val="9"/>
    <w:qFormat/>
    <w:uiPriority w:val="0"/>
  </w:style>
  <w:style w:type="character" w:customStyle="1" w:styleId="20">
    <w:name w:val="text"/>
    <w:basedOn w:val="9"/>
    <w:qFormat/>
    <w:uiPriority w:val="0"/>
  </w:style>
  <w:style w:type="character" w:customStyle="1" w:styleId="21">
    <w:name w:val="author-ref"/>
    <w:basedOn w:val="9"/>
    <w:qFormat/>
    <w:uiPriority w:val="0"/>
  </w:style>
  <w:style w:type="character" w:customStyle="1" w:styleId="22">
    <w:name w:val="标题 2 字符"/>
    <w:basedOn w:val="9"/>
    <w:link w:val="3"/>
    <w:qFormat/>
    <w:uiPriority w:val="9"/>
    <w:rPr>
      <w:rFonts w:ascii="Times New Roman" w:hAnsi="Times New Roman" w:eastAsia="Times New Roman" w:cs="Times New Roman"/>
      <w:b/>
      <w:bCs/>
      <w:sz w:val="36"/>
      <w:szCs w:val="36"/>
    </w:rPr>
  </w:style>
  <w:style w:type="character" w:customStyle="1" w:styleId="23">
    <w:name w:val="article__author-link"/>
    <w:basedOn w:val="9"/>
    <w:qFormat/>
    <w:uiPriority w:val="0"/>
  </w:style>
  <w:style w:type="paragraph" w:customStyle="1" w:styleId="24">
    <w:name w:val="volume-issue"/>
    <w:basedOn w:val="1"/>
    <w:qFormat/>
    <w:uiPriority w:val="0"/>
    <w:pPr>
      <w:spacing w:before="100" w:beforeAutospacing="1" w:after="100" w:afterAutospacing="1"/>
    </w:pPr>
  </w:style>
  <w:style w:type="character" w:customStyle="1" w:styleId="25">
    <w:name w:val="val"/>
    <w:basedOn w:val="9"/>
    <w:qFormat/>
    <w:uiPriority w:val="0"/>
  </w:style>
  <w:style w:type="paragraph" w:customStyle="1" w:styleId="26">
    <w:name w:val="page-range"/>
    <w:basedOn w:val="1"/>
    <w:qFormat/>
    <w:uiPriority w:val="0"/>
    <w:pPr>
      <w:spacing w:before="100" w:beforeAutospacing="1" w:after="100" w:afterAutospacing="1"/>
    </w:pPr>
  </w:style>
  <w:style w:type="character" w:customStyle="1" w:styleId="27">
    <w:name w:val="anchor-text"/>
    <w:basedOn w:val="9"/>
    <w:qFormat/>
    <w:uiPriority w:val="0"/>
  </w:style>
  <w:style w:type="character" w:customStyle="1" w:styleId="28">
    <w:name w:val="u-visually-hidden"/>
    <w:basedOn w:val="9"/>
    <w:qFormat/>
    <w:uiPriority w:val="0"/>
  </w:style>
  <w:style w:type="character" w:customStyle="1" w:styleId="29">
    <w:name w:val="标题 1 字符"/>
    <w:basedOn w:val="9"/>
    <w:link w:val="2"/>
    <w:qFormat/>
    <w:uiPriority w:val="9"/>
    <w:rPr>
      <w:rFonts w:asciiTheme="majorHAnsi" w:hAnsiTheme="majorHAnsi" w:eastAsiaTheme="majorEastAsia" w:cstheme="majorBidi"/>
      <w:color w:val="2E75B6" w:themeColor="accent1" w:themeShade="BF"/>
      <w:sz w:val="32"/>
      <w:szCs w:val="32"/>
    </w:rPr>
  </w:style>
  <w:style w:type="character" w:customStyle="1" w:styleId="30">
    <w:name w:val="title-text"/>
    <w:basedOn w:val="9"/>
    <w:qFormat/>
    <w:uiPriority w:val="0"/>
  </w:style>
  <w:style w:type="character" w:customStyle="1" w:styleId="31">
    <w:name w:val="volume_issue"/>
    <w:basedOn w:val="9"/>
    <w:qFormat/>
    <w:uiPriority w:val="0"/>
  </w:style>
  <w:style w:type="character" w:customStyle="1" w:styleId="32">
    <w:name w:val="page_range"/>
    <w:basedOn w:val="9"/>
    <w:qFormat/>
    <w:uiPriority w:val="0"/>
  </w:style>
  <w:style w:type="character" w:customStyle="1" w:styleId="33">
    <w:name w:val="contribdegrees"/>
    <w:basedOn w:val="9"/>
    <w:qFormat/>
    <w:uiPriority w:val="0"/>
  </w:style>
  <w:style w:type="character" w:customStyle="1" w:styleId="34">
    <w:name w:val="orcid"/>
    <w:basedOn w:val="9"/>
    <w:qFormat/>
    <w:uiPriority w:val="0"/>
  </w:style>
  <w:style w:type="paragraph" w:customStyle="1" w:styleId="35">
    <w:name w:val="Revision"/>
    <w:hidden/>
    <w:unhideWhenUsed/>
    <w:qFormat/>
    <w:uiPriority w:val="99"/>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747</Words>
  <Characters>4259</Characters>
  <Lines>35</Lines>
  <Paragraphs>9</Paragraphs>
  <TotalTime>11</TotalTime>
  <ScaleCrop>false</ScaleCrop>
  <LinksUpToDate>false</LinksUpToDate>
  <CharactersWithSpaces>4997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2023-11-13T07:40:00Z</dcterms:created>
  <dc:creator>微软用户</dc:creator>
  <cp:lastModifiedBy>碧海蓝天</cp:lastModifiedBy>
  <cp:lastPrinted>2023-11-12T01:54:00Z</cp:lastPrinted>
  <dcterms:modified xsi:type="dcterms:W3CDTF">2023-11-13T09:13:59Z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2D68FFE201AE4F96A735C2D6B5656DAC_13</vt:lpwstr>
  </property>
</Properties>
</file>