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51EEA" w14:textId="77777777" w:rsidR="00DE0297" w:rsidRDefault="00000000">
      <w:pPr>
        <w:spacing w:beforeLines="100" w:before="312"/>
        <w:rPr>
          <w:rFonts w:ascii="方正小标宋简体" w:eastAsia="方正小标宋简体" w:hAnsi="仿宋" w:hint="eastAsia"/>
          <w:b/>
          <w:sz w:val="40"/>
          <w:szCs w:val="32"/>
        </w:rPr>
      </w:pPr>
      <w:r>
        <w:rPr>
          <w:rFonts w:ascii="方正小标宋简体" w:eastAsia="方正小标宋简体" w:hAnsi="仿宋" w:hint="eastAsia"/>
          <w:b/>
          <w:sz w:val="40"/>
          <w:szCs w:val="32"/>
        </w:rPr>
        <w:t>2025年度广东省科学技术奖提名公示内容（科技进步奖）</w:t>
      </w:r>
    </w:p>
    <w:p w14:paraId="0EBFE4DB" w14:textId="77777777" w:rsidR="00DE0297" w:rsidRDefault="00000000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一、项目名称</w:t>
      </w:r>
    </w:p>
    <w:p w14:paraId="72BB641F" w14:textId="77777777" w:rsidR="00DE0297" w:rsidRDefault="00000000">
      <w:pPr>
        <w:spacing w:beforeLines="100" w:before="312" w:line="54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高血压相关血管功能障碍的防治体系构建与推广应用</w:t>
      </w:r>
    </w:p>
    <w:p w14:paraId="19FCECCE" w14:textId="77777777" w:rsidR="00DE0297" w:rsidRDefault="00000000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bookmarkStart w:id="0" w:name="OLE_LINK4"/>
      <w:r>
        <w:rPr>
          <w:rFonts w:ascii="黑体" w:eastAsia="黑体" w:hAnsi="黑体" w:hint="eastAsia"/>
          <w:sz w:val="32"/>
          <w:szCs w:val="32"/>
        </w:rPr>
        <w:t>二、</w:t>
      </w:r>
      <w:r>
        <w:rPr>
          <w:rFonts w:ascii="黑体" w:eastAsia="黑体" w:hAnsi="黑体" w:hint="eastAsia"/>
          <w:b/>
          <w:sz w:val="32"/>
          <w:szCs w:val="32"/>
        </w:rPr>
        <w:t>提名单位/提名专家（工作单位）</w:t>
      </w:r>
    </w:p>
    <w:bookmarkEnd w:id="0"/>
    <w:p w14:paraId="0D021592" w14:textId="77777777" w:rsidR="00DE0297" w:rsidRDefault="00000000">
      <w:pPr>
        <w:spacing w:beforeLines="100" w:before="312" w:line="54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广东省卫健委</w:t>
      </w:r>
    </w:p>
    <w:p w14:paraId="59054CE5" w14:textId="77777777" w:rsidR="00DE0297" w:rsidRDefault="00000000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三、主要知识产权和标准规范等目录</w:t>
      </w:r>
    </w:p>
    <w:tbl>
      <w:tblPr>
        <w:tblW w:w="1022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560"/>
        <w:gridCol w:w="795"/>
        <w:gridCol w:w="850"/>
        <w:gridCol w:w="906"/>
        <w:gridCol w:w="992"/>
        <w:gridCol w:w="1560"/>
        <w:gridCol w:w="1559"/>
        <w:gridCol w:w="880"/>
      </w:tblGrid>
      <w:tr w:rsidR="00DE0297" w14:paraId="619086D4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3B63CFB9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知识产权</w:t>
            </w: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（标准）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类别</w:t>
            </w:r>
          </w:p>
        </w:tc>
        <w:tc>
          <w:tcPr>
            <w:tcW w:w="1560" w:type="dxa"/>
            <w:vAlign w:val="center"/>
          </w:tcPr>
          <w:p w14:paraId="7F24C093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知识产权</w:t>
            </w: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（标准）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具体名称</w:t>
            </w:r>
          </w:p>
        </w:tc>
        <w:tc>
          <w:tcPr>
            <w:tcW w:w="795" w:type="dxa"/>
            <w:vAlign w:val="center"/>
          </w:tcPr>
          <w:p w14:paraId="3FFCB579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国家（地区）</w:t>
            </w:r>
          </w:p>
        </w:tc>
        <w:tc>
          <w:tcPr>
            <w:tcW w:w="850" w:type="dxa"/>
            <w:vAlign w:val="center"/>
          </w:tcPr>
          <w:p w14:paraId="5CCAB65A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授权号</w:t>
            </w:r>
          </w:p>
          <w:p w14:paraId="67C27AE7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（标准编号）</w:t>
            </w:r>
          </w:p>
        </w:tc>
        <w:tc>
          <w:tcPr>
            <w:tcW w:w="906" w:type="dxa"/>
            <w:vAlign w:val="center"/>
          </w:tcPr>
          <w:p w14:paraId="2AF1D273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授权（标准发布）日期</w:t>
            </w:r>
          </w:p>
        </w:tc>
        <w:tc>
          <w:tcPr>
            <w:tcW w:w="992" w:type="dxa"/>
            <w:vAlign w:val="center"/>
          </w:tcPr>
          <w:p w14:paraId="1A235A26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证书编号（标准批准发布部门）</w:t>
            </w:r>
          </w:p>
        </w:tc>
        <w:tc>
          <w:tcPr>
            <w:tcW w:w="1560" w:type="dxa"/>
            <w:vAlign w:val="center"/>
          </w:tcPr>
          <w:p w14:paraId="59462B83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权利人</w:t>
            </w: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（标准起草单位）</w:t>
            </w:r>
          </w:p>
        </w:tc>
        <w:tc>
          <w:tcPr>
            <w:tcW w:w="1559" w:type="dxa"/>
            <w:vAlign w:val="center"/>
          </w:tcPr>
          <w:p w14:paraId="740013E8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发明人</w:t>
            </w: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（标准起草人）</w:t>
            </w:r>
          </w:p>
        </w:tc>
        <w:tc>
          <w:tcPr>
            <w:tcW w:w="880" w:type="dxa"/>
            <w:vAlign w:val="center"/>
          </w:tcPr>
          <w:p w14:paraId="4208AAE2" w14:textId="77777777" w:rsidR="00DE0297" w:rsidRDefault="00000000">
            <w:pPr>
              <w:spacing w:line="280" w:lineRule="exact"/>
              <w:jc w:val="center"/>
              <w:rPr>
                <w:rFonts w:ascii="Times New Roman" w:eastAsia="宋体" w:hAnsi="Times New Roman" w:cs="Times New Roman"/>
                <w:b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szCs w:val="21"/>
              </w:rPr>
              <w:t>发明专利</w:t>
            </w:r>
            <w:r>
              <w:rPr>
                <w:rFonts w:ascii="Times New Roman" w:eastAsia="宋体" w:hAnsi="Times New Roman" w:cs="Times New Roman" w:hint="eastAsia"/>
                <w:b/>
                <w:szCs w:val="21"/>
              </w:rPr>
              <w:t>（标准）</w:t>
            </w:r>
            <w:r>
              <w:rPr>
                <w:rFonts w:ascii="Times New Roman" w:eastAsia="宋体" w:hAnsi="Times New Roman" w:cs="Times New Roman"/>
                <w:b/>
                <w:szCs w:val="21"/>
              </w:rPr>
              <w:t>有效状态</w:t>
            </w:r>
          </w:p>
        </w:tc>
      </w:tr>
      <w:tr w:rsidR="00DE0297" w14:paraId="5714B2CE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00914DFC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61695D4A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USE OF [1,2,4] TRIAZOLO [4,3-B] PYRIDAZINE DERIVATIVE FOR PREVENTING AND TREATING SENESCENCE AND SENESCENCE-RELATED DISEASES</w:t>
            </w:r>
          </w:p>
        </w:tc>
        <w:tc>
          <w:tcPr>
            <w:tcW w:w="795" w:type="dxa"/>
            <w:vAlign w:val="center"/>
          </w:tcPr>
          <w:p w14:paraId="222CC830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澳大利亚</w:t>
            </w:r>
          </w:p>
        </w:tc>
        <w:tc>
          <w:tcPr>
            <w:tcW w:w="850" w:type="dxa"/>
            <w:vAlign w:val="center"/>
          </w:tcPr>
          <w:p w14:paraId="2B089262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2024200217</w:t>
            </w:r>
          </w:p>
        </w:tc>
        <w:tc>
          <w:tcPr>
            <w:tcW w:w="906" w:type="dxa"/>
            <w:vAlign w:val="center"/>
          </w:tcPr>
          <w:p w14:paraId="02E4953E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2024/9/19</w:t>
            </w:r>
          </w:p>
        </w:tc>
        <w:tc>
          <w:tcPr>
            <w:tcW w:w="992" w:type="dxa"/>
            <w:vAlign w:val="center"/>
          </w:tcPr>
          <w:p w14:paraId="163E249F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AU2024200217</w:t>
            </w:r>
          </w:p>
        </w:tc>
        <w:tc>
          <w:tcPr>
            <w:tcW w:w="1560" w:type="dxa"/>
            <w:vAlign w:val="center"/>
          </w:tcPr>
          <w:p w14:paraId="690FAAF9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</w:tc>
        <w:tc>
          <w:tcPr>
            <w:tcW w:w="1559" w:type="dxa"/>
            <w:vAlign w:val="center"/>
          </w:tcPr>
          <w:p w14:paraId="191F00AE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黄辉，谢晨，陈艳莲，张亭亭</w:t>
            </w:r>
          </w:p>
        </w:tc>
        <w:tc>
          <w:tcPr>
            <w:tcW w:w="880" w:type="dxa"/>
            <w:vAlign w:val="center"/>
          </w:tcPr>
          <w:p w14:paraId="5569CE1B" w14:textId="5877F3A3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3B514D82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501C703C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6E0AA11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老化及び老化関連疾患の予防及び治療における［１，２，４］トリアゾロ［４，３－Ｂ］ピリダジン誘導体の使用</w:t>
            </w:r>
          </w:p>
        </w:tc>
        <w:tc>
          <w:tcPr>
            <w:tcW w:w="795" w:type="dxa"/>
            <w:vAlign w:val="center"/>
          </w:tcPr>
          <w:p w14:paraId="28D39DEB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日本</w:t>
            </w:r>
          </w:p>
        </w:tc>
        <w:tc>
          <w:tcPr>
            <w:tcW w:w="850" w:type="dxa"/>
            <w:vAlign w:val="center"/>
          </w:tcPr>
          <w:p w14:paraId="595E05D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76964</w:t>
            </w: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906" w:type="dxa"/>
            <w:vAlign w:val="center"/>
          </w:tcPr>
          <w:p w14:paraId="07127E78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2025/6/12</w:t>
            </w:r>
          </w:p>
        </w:tc>
        <w:tc>
          <w:tcPr>
            <w:tcW w:w="992" w:type="dxa"/>
            <w:vAlign w:val="center"/>
          </w:tcPr>
          <w:p w14:paraId="6B8A7D02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7696462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3AEAB781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</w:tc>
        <w:tc>
          <w:tcPr>
            <w:tcW w:w="1559" w:type="dxa"/>
            <w:vAlign w:val="center"/>
          </w:tcPr>
          <w:p w14:paraId="598E9A6A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陈艳莲；谢晨</w:t>
            </w:r>
            <w:r>
              <w:rPr>
                <w:rFonts w:ascii="Times New Roman" w:hAnsi="Times New Roman" w:cs="Times New Roman" w:hint="eastAsia"/>
                <w:szCs w:val="21"/>
              </w:rPr>
              <w:t>；黄辉；张亭亭</w:t>
            </w:r>
          </w:p>
        </w:tc>
        <w:tc>
          <w:tcPr>
            <w:tcW w:w="880" w:type="dxa"/>
            <w:vAlign w:val="center"/>
          </w:tcPr>
          <w:p w14:paraId="4EC6CA72" w14:textId="5196024F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70682B56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391742C1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4C68A760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核苷类逆转录酶抑制剂在制备抗血管钙化药物中的应用</w:t>
            </w:r>
          </w:p>
        </w:tc>
        <w:tc>
          <w:tcPr>
            <w:tcW w:w="795" w:type="dxa"/>
            <w:vAlign w:val="center"/>
          </w:tcPr>
          <w:p w14:paraId="65E9EFBB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5A9EBB50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ZL202311497090.5</w:t>
            </w:r>
          </w:p>
        </w:tc>
        <w:tc>
          <w:tcPr>
            <w:tcW w:w="906" w:type="dxa"/>
            <w:vAlign w:val="center"/>
          </w:tcPr>
          <w:p w14:paraId="1684D8D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2024/3/12</w:t>
            </w:r>
          </w:p>
        </w:tc>
        <w:tc>
          <w:tcPr>
            <w:tcW w:w="992" w:type="dxa"/>
            <w:vAlign w:val="center"/>
          </w:tcPr>
          <w:p w14:paraId="01803FE0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6778630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5DA2F001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  <w:p w14:paraId="301F2096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24692BF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黄辉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马建帅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贺大雨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谢晨</w:t>
            </w:r>
          </w:p>
          <w:p w14:paraId="3531D46A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80" w:type="dxa"/>
            <w:vAlign w:val="center"/>
          </w:tcPr>
          <w:p w14:paraId="53AEB525" w14:textId="5A0FD1B3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2E693485" w14:textId="77777777">
        <w:trPr>
          <w:trHeight w:val="933"/>
          <w:jc w:val="center"/>
        </w:trPr>
        <w:tc>
          <w:tcPr>
            <w:tcW w:w="1124" w:type="dxa"/>
            <w:vAlign w:val="center"/>
          </w:tcPr>
          <w:p w14:paraId="67537122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发明专利</w:t>
            </w:r>
          </w:p>
        </w:tc>
        <w:tc>
          <w:tcPr>
            <w:tcW w:w="1560" w:type="dxa"/>
            <w:vAlign w:val="center"/>
          </w:tcPr>
          <w:p w14:paraId="07281EF7" w14:textId="197085D4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血压计算方法及血压测量装置</w:t>
            </w:r>
          </w:p>
        </w:tc>
        <w:tc>
          <w:tcPr>
            <w:tcW w:w="795" w:type="dxa"/>
            <w:vAlign w:val="center"/>
          </w:tcPr>
          <w:p w14:paraId="293895A4" w14:textId="444A673A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7AD178FC" w14:textId="097DCF70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ZL201910794834.7</w:t>
            </w:r>
          </w:p>
        </w:tc>
        <w:tc>
          <w:tcPr>
            <w:tcW w:w="906" w:type="dxa"/>
            <w:vAlign w:val="center"/>
          </w:tcPr>
          <w:p w14:paraId="511B5588" w14:textId="4DE21B25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2022/03/08</w:t>
            </w:r>
          </w:p>
        </w:tc>
        <w:tc>
          <w:tcPr>
            <w:tcW w:w="992" w:type="dxa"/>
            <w:vAlign w:val="center"/>
          </w:tcPr>
          <w:p w14:paraId="20AD1128" w14:textId="5B9A7F4F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第</w:t>
            </w:r>
            <w:r>
              <w:rPr>
                <w:rFonts w:ascii="Times New Roman" w:hAnsi="Times New Roman" w:cs="Times New Roman" w:hint="eastAsia"/>
                <w:szCs w:val="21"/>
              </w:rPr>
              <w:t>4980490</w:t>
            </w:r>
            <w:r>
              <w:rPr>
                <w:rFonts w:ascii="Times New Roman" w:hAnsi="Times New Roman" w:cs="Times New Roman" w:hint="eastAsia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7D630A88" w14:textId="74CB51BB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bookmarkStart w:id="1" w:name="_Hlk216815322"/>
            <w:r>
              <w:rPr>
                <w:rFonts w:ascii="Times New Roman" w:hAnsi="Times New Roman" w:cs="Times New Roman" w:hint="eastAsia"/>
                <w:szCs w:val="21"/>
              </w:rPr>
              <w:t>北京麦邦光电仪器有限公司</w:t>
            </w:r>
            <w:bookmarkEnd w:id="1"/>
          </w:p>
        </w:tc>
        <w:tc>
          <w:tcPr>
            <w:tcW w:w="1559" w:type="dxa"/>
            <w:vAlign w:val="center"/>
          </w:tcPr>
          <w:p w14:paraId="58E60585" w14:textId="23CA5FE3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bookmarkStart w:id="2" w:name="_Hlk216815398"/>
            <w:r>
              <w:rPr>
                <w:rFonts w:ascii="Times New Roman" w:hAnsi="Times New Roman" w:cs="Times New Roman" w:hint="eastAsia"/>
                <w:szCs w:val="21"/>
              </w:rPr>
              <w:t>刘忠英、丁兆彩、</w:t>
            </w:r>
            <w:bookmarkEnd w:id="2"/>
            <w:r>
              <w:rPr>
                <w:rFonts w:ascii="Times New Roman" w:hAnsi="Times New Roman" w:cs="Times New Roman" w:hint="eastAsia"/>
                <w:szCs w:val="21"/>
              </w:rPr>
              <w:t>李亮亮、杨世胜</w:t>
            </w:r>
          </w:p>
        </w:tc>
        <w:tc>
          <w:tcPr>
            <w:tcW w:w="880" w:type="dxa"/>
            <w:vAlign w:val="center"/>
          </w:tcPr>
          <w:p w14:paraId="0B6EA2D3" w14:textId="671907E9" w:rsidR="00DE0297" w:rsidRDefault="005F1C4F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2BB8A810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1510B12E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3C69E38A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1-</w:t>
            </w:r>
            <w:r>
              <w:rPr>
                <w:rFonts w:ascii="Times New Roman" w:hAnsi="Times New Roman" w:cs="Times New Roman"/>
                <w:szCs w:val="21"/>
              </w:rPr>
              <w:t>甲基烟酰胺在制备抗血管钙化药物中的应用</w:t>
            </w:r>
          </w:p>
        </w:tc>
        <w:tc>
          <w:tcPr>
            <w:tcW w:w="795" w:type="dxa"/>
            <w:vAlign w:val="center"/>
          </w:tcPr>
          <w:p w14:paraId="454AF6F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67F0D5F7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ZL202310133152.8</w:t>
            </w:r>
          </w:p>
        </w:tc>
        <w:tc>
          <w:tcPr>
            <w:tcW w:w="906" w:type="dxa"/>
            <w:vAlign w:val="center"/>
          </w:tcPr>
          <w:p w14:paraId="1D4D511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2023/5/16</w:t>
            </w:r>
          </w:p>
        </w:tc>
        <w:tc>
          <w:tcPr>
            <w:tcW w:w="992" w:type="dxa"/>
            <w:vAlign w:val="center"/>
          </w:tcPr>
          <w:p w14:paraId="3A2C38C5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5971076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40FEEC4F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  <w:p w14:paraId="72D34BA8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A88E689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黄辉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朱慧瑾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陈艳莲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谢晨</w:t>
            </w:r>
          </w:p>
        </w:tc>
        <w:tc>
          <w:tcPr>
            <w:tcW w:w="880" w:type="dxa"/>
            <w:vAlign w:val="center"/>
          </w:tcPr>
          <w:p w14:paraId="5100EE09" w14:textId="5EDB0648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241DA025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66142AA7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2EB5356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矢车菊素在防治血管钙化中的应用</w:t>
            </w:r>
          </w:p>
        </w:tc>
        <w:tc>
          <w:tcPr>
            <w:tcW w:w="795" w:type="dxa"/>
            <w:vAlign w:val="center"/>
          </w:tcPr>
          <w:p w14:paraId="78CE064E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12D4DB65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ZL202210160209.9</w:t>
            </w:r>
          </w:p>
        </w:tc>
        <w:tc>
          <w:tcPr>
            <w:tcW w:w="906" w:type="dxa"/>
            <w:vAlign w:val="center"/>
          </w:tcPr>
          <w:p w14:paraId="0AF16B51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2023/5/9</w:t>
            </w:r>
          </w:p>
        </w:tc>
        <w:tc>
          <w:tcPr>
            <w:tcW w:w="992" w:type="dxa"/>
            <w:vAlign w:val="center"/>
          </w:tcPr>
          <w:p w14:paraId="6AAEA9B0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5949944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47FCBD45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  <w:p w14:paraId="64C95BC8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18D07E12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黄辉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尹力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张郑志鹏</w:t>
            </w:r>
          </w:p>
        </w:tc>
        <w:tc>
          <w:tcPr>
            <w:tcW w:w="880" w:type="dxa"/>
            <w:vAlign w:val="center"/>
          </w:tcPr>
          <w:p w14:paraId="11813010" w14:textId="05C3577C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542EE30F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1F95661D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417B22A1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1,2,4</w:t>
            </w:r>
            <w:r>
              <w:rPr>
                <w:rFonts w:ascii="Times New Roman" w:hAnsi="Times New Roman" w:cs="Times New Roman"/>
                <w:szCs w:val="21"/>
              </w:rPr>
              <w:t>三唑并</w:t>
            </w:r>
            <w:r>
              <w:rPr>
                <w:rFonts w:ascii="Times New Roman" w:hAnsi="Times New Roman" w:cs="Times New Roman"/>
                <w:szCs w:val="21"/>
              </w:rPr>
              <w:t>4,3-B</w:t>
            </w:r>
            <w:r>
              <w:rPr>
                <w:rFonts w:ascii="Times New Roman" w:hAnsi="Times New Roman" w:cs="Times New Roman"/>
                <w:szCs w:val="21"/>
              </w:rPr>
              <w:t>哒嗪衍生物在制备抗衰老药物中的应用</w:t>
            </w:r>
          </w:p>
        </w:tc>
        <w:tc>
          <w:tcPr>
            <w:tcW w:w="795" w:type="dxa"/>
            <w:vAlign w:val="center"/>
          </w:tcPr>
          <w:p w14:paraId="2BEC47E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228EC1A8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ZL202310133147.7</w:t>
            </w:r>
          </w:p>
        </w:tc>
        <w:tc>
          <w:tcPr>
            <w:tcW w:w="906" w:type="dxa"/>
            <w:vAlign w:val="center"/>
          </w:tcPr>
          <w:p w14:paraId="59A81CFA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2023/4/25</w:t>
            </w:r>
          </w:p>
        </w:tc>
        <w:tc>
          <w:tcPr>
            <w:tcW w:w="992" w:type="dxa"/>
            <w:vAlign w:val="center"/>
          </w:tcPr>
          <w:p w14:paraId="216C7F95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5912725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419E0208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  <w:p w14:paraId="7027108C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47DC544D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陈艳莲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谢晨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黄辉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马建帅</w:t>
            </w:r>
          </w:p>
        </w:tc>
        <w:tc>
          <w:tcPr>
            <w:tcW w:w="880" w:type="dxa"/>
            <w:vAlign w:val="center"/>
          </w:tcPr>
          <w:p w14:paraId="6A9AEACE" w14:textId="307241FE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4310A01C" w14:textId="77777777">
        <w:trPr>
          <w:trHeight w:val="502"/>
          <w:jc w:val="center"/>
        </w:trPr>
        <w:tc>
          <w:tcPr>
            <w:tcW w:w="1124" w:type="dxa"/>
            <w:vAlign w:val="center"/>
          </w:tcPr>
          <w:p w14:paraId="25C9AAD1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44AACAC6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1,2,4</w:t>
            </w:r>
            <w:r>
              <w:rPr>
                <w:rFonts w:ascii="Times New Roman" w:hAnsi="Times New Roman" w:cs="Times New Roman"/>
                <w:szCs w:val="21"/>
              </w:rPr>
              <w:t>三唑并</w:t>
            </w:r>
            <w:r>
              <w:rPr>
                <w:rFonts w:ascii="Times New Roman" w:hAnsi="Times New Roman" w:cs="Times New Roman"/>
                <w:szCs w:val="21"/>
              </w:rPr>
              <w:t>4,3-B</w:t>
            </w:r>
            <w:r>
              <w:rPr>
                <w:rFonts w:ascii="Times New Roman" w:hAnsi="Times New Roman" w:cs="Times New Roman"/>
                <w:szCs w:val="21"/>
              </w:rPr>
              <w:t>哒嗪衍生物在制备治疗慢性肾病的药物中的应用</w:t>
            </w:r>
          </w:p>
        </w:tc>
        <w:tc>
          <w:tcPr>
            <w:tcW w:w="795" w:type="dxa"/>
            <w:vAlign w:val="center"/>
          </w:tcPr>
          <w:p w14:paraId="6731E645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005BC4D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ZL202310133146.2</w:t>
            </w:r>
          </w:p>
        </w:tc>
        <w:tc>
          <w:tcPr>
            <w:tcW w:w="906" w:type="dxa"/>
            <w:vAlign w:val="center"/>
          </w:tcPr>
          <w:p w14:paraId="5B9AB1B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2023/4/25</w:t>
            </w:r>
          </w:p>
        </w:tc>
        <w:tc>
          <w:tcPr>
            <w:tcW w:w="992" w:type="dxa"/>
            <w:vAlign w:val="center"/>
          </w:tcPr>
          <w:p w14:paraId="7918184D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5912863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  <w:p w14:paraId="58A16665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1061166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  <w:p w14:paraId="613B5DE3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73D4DF6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黄辉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谢晨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陈艳莲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李晓雪</w:t>
            </w:r>
          </w:p>
        </w:tc>
        <w:tc>
          <w:tcPr>
            <w:tcW w:w="880" w:type="dxa"/>
            <w:vAlign w:val="center"/>
          </w:tcPr>
          <w:p w14:paraId="488C2267" w14:textId="116A9D20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11876377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6FDB3214" w14:textId="77777777" w:rsidR="00DE0297" w:rsidRDefault="00000000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471D1649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基于胸部动脉钙化对主要不良心血管事件的预测模型及构建方法</w:t>
            </w:r>
          </w:p>
        </w:tc>
        <w:tc>
          <w:tcPr>
            <w:tcW w:w="795" w:type="dxa"/>
            <w:vAlign w:val="center"/>
          </w:tcPr>
          <w:p w14:paraId="41ECD373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3578AFF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ZL202110847786.0</w:t>
            </w:r>
          </w:p>
        </w:tc>
        <w:tc>
          <w:tcPr>
            <w:tcW w:w="906" w:type="dxa"/>
            <w:vAlign w:val="center"/>
          </w:tcPr>
          <w:p w14:paraId="720300E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2024/11/1</w:t>
            </w:r>
          </w:p>
        </w:tc>
        <w:tc>
          <w:tcPr>
            <w:tcW w:w="992" w:type="dxa"/>
            <w:vAlign w:val="center"/>
          </w:tcPr>
          <w:p w14:paraId="1535523C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>
              <w:rPr>
                <w:rFonts w:ascii="Times New Roman" w:hAnsi="Times New Roman" w:cs="Times New Roman"/>
                <w:szCs w:val="21"/>
              </w:rPr>
              <w:t>7489706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  <w:p w14:paraId="78476367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37C47477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中山大学附属第八医院（深圳福田）</w:t>
            </w:r>
          </w:p>
          <w:p w14:paraId="6B9AB967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59" w:type="dxa"/>
            <w:vAlign w:val="center"/>
          </w:tcPr>
          <w:p w14:paraId="5AA6B024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黄辉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朱永俊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王秋雨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韩峰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马祥园</w:t>
            </w:r>
            <w:r>
              <w:rPr>
                <w:rFonts w:ascii="Times New Roman" w:hAnsi="Times New Roman" w:cs="Times New Roman"/>
                <w:szCs w:val="21"/>
              </w:rPr>
              <w:t>;</w:t>
            </w:r>
            <w:r>
              <w:rPr>
                <w:rFonts w:ascii="Times New Roman" w:hAnsi="Times New Roman" w:cs="Times New Roman"/>
                <w:szCs w:val="21"/>
              </w:rPr>
              <w:t>陈洁</w:t>
            </w:r>
          </w:p>
          <w:p w14:paraId="2E5BB068" w14:textId="77777777" w:rsidR="00DE0297" w:rsidRDefault="00DE0297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880" w:type="dxa"/>
            <w:vAlign w:val="center"/>
          </w:tcPr>
          <w:p w14:paraId="0E8B4FF7" w14:textId="0F28E5AE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  <w:tr w:rsidR="00DE0297" w14:paraId="4168DF06" w14:textId="77777777">
        <w:trPr>
          <w:trHeight w:val="510"/>
          <w:jc w:val="center"/>
        </w:trPr>
        <w:tc>
          <w:tcPr>
            <w:tcW w:w="1124" w:type="dxa"/>
            <w:vAlign w:val="center"/>
          </w:tcPr>
          <w:p w14:paraId="11FF9091" w14:textId="7C2814B9" w:rsidR="00DE0297" w:rsidRDefault="00242395">
            <w:pPr>
              <w:spacing w:line="260" w:lineRule="exact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发明专利</w:t>
            </w:r>
          </w:p>
        </w:tc>
        <w:tc>
          <w:tcPr>
            <w:tcW w:w="1560" w:type="dxa"/>
            <w:vAlign w:val="center"/>
          </w:tcPr>
          <w:p w14:paraId="1459D755" w14:textId="599BDBDA" w:rsidR="00DE0297" w:rsidRDefault="00242395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动脉压力波传导速度的量化指标的获取方法及装置</w:t>
            </w:r>
          </w:p>
        </w:tc>
        <w:tc>
          <w:tcPr>
            <w:tcW w:w="795" w:type="dxa"/>
            <w:vAlign w:val="center"/>
          </w:tcPr>
          <w:p w14:paraId="55A68463" w14:textId="77777777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中国</w:t>
            </w:r>
          </w:p>
        </w:tc>
        <w:tc>
          <w:tcPr>
            <w:tcW w:w="850" w:type="dxa"/>
            <w:vAlign w:val="center"/>
          </w:tcPr>
          <w:p w14:paraId="70319FC1" w14:textId="298C32D3" w:rsidR="00DE0297" w:rsidRDefault="00242395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ZL202111546664.4</w:t>
            </w:r>
          </w:p>
        </w:tc>
        <w:tc>
          <w:tcPr>
            <w:tcW w:w="906" w:type="dxa"/>
            <w:vAlign w:val="center"/>
          </w:tcPr>
          <w:p w14:paraId="3ACAAE7E" w14:textId="4E60121E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202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2/03/05</w:t>
            </w:r>
          </w:p>
        </w:tc>
        <w:tc>
          <w:tcPr>
            <w:tcW w:w="992" w:type="dxa"/>
            <w:vAlign w:val="center"/>
          </w:tcPr>
          <w:p w14:paraId="0C94E986" w14:textId="46A0FC60" w:rsidR="00DE0297" w:rsidRDefault="00000000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第</w:t>
            </w:r>
            <w:r w:rsidR="00242395">
              <w:rPr>
                <w:rFonts w:ascii="Times New Roman" w:hAnsi="Times New Roman" w:cs="Times New Roman" w:hint="eastAsia"/>
                <w:szCs w:val="21"/>
              </w:rPr>
              <w:t>5070251</w:t>
            </w:r>
            <w:r>
              <w:rPr>
                <w:rFonts w:ascii="Times New Roman" w:hAnsi="Times New Roman" w:cs="Times New Roman"/>
                <w:szCs w:val="21"/>
              </w:rPr>
              <w:t>号</w:t>
            </w:r>
          </w:p>
        </w:tc>
        <w:tc>
          <w:tcPr>
            <w:tcW w:w="1560" w:type="dxa"/>
            <w:vAlign w:val="center"/>
          </w:tcPr>
          <w:p w14:paraId="22F6FB16" w14:textId="3E90B782" w:rsidR="00DE0297" w:rsidRDefault="00242395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北京麦邦光电仪器有限公司</w:t>
            </w:r>
          </w:p>
        </w:tc>
        <w:tc>
          <w:tcPr>
            <w:tcW w:w="1559" w:type="dxa"/>
            <w:vAlign w:val="center"/>
          </w:tcPr>
          <w:p w14:paraId="7C957DF3" w14:textId="144D7F63" w:rsidR="00DE0297" w:rsidRDefault="00242395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刘成一、丁兆彩、桂鹏凯</w:t>
            </w:r>
          </w:p>
        </w:tc>
        <w:tc>
          <w:tcPr>
            <w:tcW w:w="880" w:type="dxa"/>
            <w:vAlign w:val="center"/>
          </w:tcPr>
          <w:p w14:paraId="0E0DC5C5" w14:textId="70F4F4E3" w:rsidR="00DE0297" w:rsidRDefault="00242395">
            <w:pPr>
              <w:spacing w:line="260" w:lineRule="exact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专利权</w:t>
            </w:r>
            <w:r>
              <w:rPr>
                <w:rFonts w:ascii="Times New Roman" w:hAnsi="Times New Roman" w:cs="Times New Roman" w:hint="eastAsia"/>
                <w:szCs w:val="21"/>
              </w:rPr>
              <w:t>有效</w:t>
            </w:r>
          </w:p>
        </w:tc>
      </w:tr>
    </w:tbl>
    <w:p w14:paraId="3D38B066" w14:textId="77777777" w:rsidR="00DE0297" w:rsidRDefault="00000000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四、代表性论文（专著）目录</w:t>
      </w:r>
    </w:p>
    <w:tbl>
      <w:tblPr>
        <w:tblW w:w="922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968"/>
        <w:gridCol w:w="1276"/>
        <w:gridCol w:w="1701"/>
        <w:gridCol w:w="1842"/>
        <w:gridCol w:w="1843"/>
      </w:tblGrid>
      <w:tr w:rsidR="00DE0297" w14:paraId="297ECE86" w14:textId="77777777">
        <w:trPr>
          <w:trHeight w:val="1218"/>
        </w:trPr>
        <w:tc>
          <w:tcPr>
            <w:tcW w:w="594" w:type="dxa"/>
            <w:vAlign w:val="center"/>
          </w:tcPr>
          <w:p w14:paraId="15C15806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序号</w:t>
            </w:r>
          </w:p>
        </w:tc>
        <w:tc>
          <w:tcPr>
            <w:tcW w:w="1968" w:type="dxa"/>
            <w:vAlign w:val="center"/>
          </w:tcPr>
          <w:p w14:paraId="00D09581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 xml:space="preserve"> 论文（专著）</w:t>
            </w:r>
          </w:p>
          <w:p w14:paraId="4800CACF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名称/刊名</w:t>
            </w:r>
          </w:p>
        </w:tc>
        <w:tc>
          <w:tcPr>
            <w:tcW w:w="1276" w:type="dxa"/>
            <w:vAlign w:val="center"/>
          </w:tcPr>
          <w:p w14:paraId="3185115C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bookmarkStart w:id="3" w:name="OLE_LINK1"/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年卷页码</w:t>
            </w:r>
          </w:p>
          <w:p w14:paraId="38CAF272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（xx年xx卷xx页）</w:t>
            </w:r>
            <w:bookmarkEnd w:id="3"/>
          </w:p>
        </w:tc>
        <w:tc>
          <w:tcPr>
            <w:tcW w:w="1701" w:type="dxa"/>
            <w:vAlign w:val="center"/>
          </w:tcPr>
          <w:p w14:paraId="17D0BEDF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发表时间（年月日）</w:t>
            </w:r>
          </w:p>
        </w:tc>
        <w:tc>
          <w:tcPr>
            <w:tcW w:w="1842" w:type="dxa"/>
            <w:vAlign w:val="center"/>
          </w:tcPr>
          <w:p w14:paraId="54E95D72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通讯作者</w:t>
            </w:r>
          </w:p>
          <w:p w14:paraId="336F3A4B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（含共同）</w:t>
            </w:r>
          </w:p>
        </w:tc>
        <w:tc>
          <w:tcPr>
            <w:tcW w:w="1843" w:type="dxa"/>
            <w:vAlign w:val="center"/>
          </w:tcPr>
          <w:p w14:paraId="476E725B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第一作者</w:t>
            </w:r>
          </w:p>
          <w:p w14:paraId="0BC87CCE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eastAsia="仿宋_GB2312" w:hint="eastAsia"/>
                <w:b/>
                <w:bCs/>
                <w:color w:val="000000"/>
                <w:sz w:val="21"/>
                <w:szCs w:val="28"/>
              </w:rPr>
              <w:t>（含共同）</w:t>
            </w:r>
          </w:p>
        </w:tc>
      </w:tr>
      <w:tr w:rsidR="00DE0297" w14:paraId="39EDD2BD" w14:textId="77777777">
        <w:trPr>
          <w:trHeight w:val="1218"/>
        </w:trPr>
        <w:tc>
          <w:tcPr>
            <w:tcW w:w="594" w:type="dxa"/>
            <w:vAlign w:val="center"/>
          </w:tcPr>
          <w:p w14:paraId="0BFE1F47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1</w:t>
            </w:r>
          </w:p>
        </w:tc>
        <w:tc>
          <w:tcPr>
            <w:tcW w:w="1968" w:type="dxa"/>
            <w:vAlign w:val="center"/>
          </w:tcPr>
          <w:p w14:paraId="52FC5625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t xml:space="preserve">Inhibition of long interspersed nuclear element-1 by nucleoside reverse transcriptase inhibitors attenuates vascular calcification. </w:t>
            </w:r>
          </w:p>
          <w:p w14:paraId="2F029E64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ascii="Times New Roman"/>
                <w:i/>
                <w:iCs/>
                <w:color w:val="000000"/>
                <w:sz w:val="21"/>
                <w:szCs w:val="28"/>
              </w:rPr>
              <w:t>Signal Transduct Target Ther.</w:t>
            </w:r>
            <w:r>
              <w:rPr>
                <w:rFonts w:ascii="Times New Roman"/>
                <w:color w:val="000000"/>
                <w:sz w:val="21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128333A1" w14:textId="24C2C869" w:rsidR="00DE0297" w:rsidRDefault="004F756E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 w:rsidRPr="004F756E">
              <w:rPr>
                <w:rFonts w:ascii="Times New Roman" w:hint="eastAsia"/>
                <w:color w:val="000000"/>
                <w:sz w:val="21"/>
                <w:szCs w:val="28"/>
              </w:rPr>
              <w:t>2025</w:t>
            </w:r>
            <w:r w:rsidRPr="004F756E">
              <w:rPr>
                <w:rFonts w:ascii="Times New Roman" w:hint="eastAsia"/>
                <w:color w:val="000000"/>
                <w:sz w:val="21"/>
                <w:szCs w:val="28"/>
              </w:rPr>
              <w:t>年</w:t>
            </w:r>
            <w:r w:rsidRPr="004F756E">
              <w:rPr>
                <w:rFonts w:ascii="Times New Roman" w:hint="eastAsia"/>
                <w:color w:val="000000"/>
                <w:sz w:val="21"/>
                <w:szCs w:val="28"/>
              </w:rPr>
              <w:t>10</w:t>
            </w:r>
            <w:r w:rsidRPr="004F756E">
              <w:rPr>
                <w:rFonts w:ascii="Times New Roman" w:hint="eastAsia"/>
                <w:color w:val="000000"/>
                <w:sz w:val="21"/>
                <w:szCs w:val="28"/>
              </w:rPr>
              <w:t>卷</w:t>
            </w:r>
            <w:r w:rsidRPr="004F756E">
              <w:rPr>
                <w:rFonts w:ascii="Times New Roman" w:hint="eastAsia"/>
                <w:color w:val="000000"/>
                <w:sz w:val="21"/>
                <w:szCs w:val="28"/>
              </w:rPr>
              <w:t>321</w:t>
            </w:r>
            <w:r w:rsidRPr="004F756E">
              <w:rPr>
                <w:rFonts w:ascii="Times New Roman" w:hint="eastAsia"/>
                <w:color w:val="000000"/>
                <w:sz w:val="21"/>
                <w:szCs w:val="28"/>
              </w:rPr>
              <w:t>页</w:t>
            </w:r>
          </w:p>
        </w:tc>
        <w:tc>
          <w:tcPr>
            <w:tcW w:w="1701" w:type="dxa"/>
            <w:vAlign w:val="center"/>
          </w:tcPr>
          <w:p w14:paraId="4E605E09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2025.10.01</w:t>
            </w:r>
          </w:p>
        </w:tc>
        <w:tc>
          <w:tcPr>
            <w:tcW w:w="1842" w:type="dxa"/>
            <w:vAlign w:val="center"/>
          </w:tcPr>
          <w:p w14:paraId="62046219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黄辉；张亭亭</w:t>
            </w:r>
          </w:p>
        </w:tc>
        <w:tc>
          <w:tcPr>
            <w:tcW w:w="1843" w:type="dxa"/>
            <w:vAlign w:val="center"/>
          </w:tcPr>
          <w:p w14:paraId="5D344953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textAlignment w:val="center"/>
              <w:outlineLvl w:val="1"/>
              <w:rPr>
                <w:rFonts w:eastAsia="仿宋_GB2312"/>
                <w:b/>
                <w:bCs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马建帅；贺大雨；张铭烜；周紫婷；程锦坤</w:t>
            </w:r>
          </w:p>
        </w:tc>
      </w:tr>
      <w:tr w:rsidR="00DE0297" w14:paraId="5B3857EA" w14:textId="77777777">
        <w:trPr>
          <w:trHeight w:hRule="exact" w:val="3178"/>
        </w:trPr>
        <w:tc>
          <w:tcPr>
            <w:tcW w:w="594" w:type="dxa"/>
            <w:vAlign w:val="center"/>
          </w:tcPr>
          <w:p w14:paraId="6507317E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lastRenderedPageBreak/>
              <w:t>2</w:t>
            </w:r>
          </w:p>
        </w:tc>
        <w:tc>
          <w:tcPr>
            <w:tcW w:w="1968" w:type="dxa"/>
            <w:vAlign w:val="center"/>
          </w:tcPr>
          <w:p w14:paraId="74142631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i/>
                <w:iCs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t xml:space="preserve"> Integrin-YAP/TAZ-JNK cascade mediates atheroprotective effect of unidirectional shear flow.</w:t>
            </w:r>
            <w:r>
              <w:rPr>
                <w:rFonts w:ascii="Times New Roman"/>
                <w:i/>
                <w:iCs/>
                <w:color w:val="000000"/>
                <w:sz w:val="21"/>
                <w:szCs w:val="28"/>
              </w:rPr>
              <w:t xml:space="preserve"> </w:t>
            </w:r>
          </w:p>
          <w:p w14:paraId="58C50667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i/>
                <w:iCs/>
                <w:color w:val="000000"/>
                <w:sz w:val="21"/>
                <w:szCs w:val="28"/>
              </w:rPr>
              <w:t>Nature</w:t>
            </w:r>
            <w:r>
              <w:rPr>
                <w:rFonts w:ascii="Times New Roman"/>
                <w:color w:val="000000"/>
                <w:sz w:val="21"/>
                <w:szCs w:val="2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02E5AAD7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2016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年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540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卷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579-582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页</w:t>
            </w:r>
          </w:p>
        </w:tc>
        <w:tc>
          <w:tcPr>
            <w:tcW w:w="1701" w:type="dxa"/>
            <w:vAlign w:val="center"/>
          </w:tcPr>
          <w:p w14:paraId="35D5C440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2016.12.22</w:t>
            </w:r>
          </w:p>
        </w:tc>
        <w:tc>
          <w:tcPr>
            <w:tcW w:w="1842" w:type="dxa"/>
            <w:vAlign w:val="center"/>
          </w:tcPr>
          <w:p w14:paraId="5772DF11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黄聿；朱毅</w:t>
            </w:r>
          </w:p>
        </w:tc>
        <w:tc>
          <w:tcPr>
            <w:tcW w:w="1843" w:type="dxa"/>
            <w:vAlign w:val="center"/>
          </w:tcPr>
          <w:p w14:paraId="71309A50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王力</w:t>
            </w:r>
          </w:p>
        </w:tc>
      </w:tr>
      <w:tr w:rsidR="00DE0297" w14:paraId="696BDE89" w14:textId="77777777">
        <w:trPr>
          <w:trHeight w:hRule="exact" w:val="2971"/>
        </w:trPr>
        <w:tc>
          <w:tcPr>
            <w:tcW w:w="594" w:type="dxa"/>
            <w:vAlign w:val="center"/>
          </w:tcPr>
          <w:p w14:paraId="12ECE67A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3</w:t>
            </w:r>
          </w:p>
        </w:tc>
        <w:tc>
          <w:tcPr>
            <w:tcW w:w="1968" w:type="dxa"/>
            <w:vAlign w:val="center"/>
          </w:tcPr>
          <w:p w14:paraId="1B03537C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t xml:space="preserve">Unspliced XBP1 Counteracts β-Catenin to Inhibit Vascular Calcification. </w:t>
            </w:r>
          </w:p>
          <w:p w14:paraId="00D0D006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i/>
                <w:iCs/>
                <w:color w:val="000000"/>
                <w:sz w:val="21"/>
                <w:szCs w:val="28"/>
              </w:rPr>
              <w:t xml:space="preserve">Circ Res. </w:t>
            </w:r>
          </w:p>
        </w:tc>
        <w:tc>
          <w:tcPr>
            <w:tcW w:w="1276" w:type="dxa"/>
            <w:vAlign w:val="center"/>
          </w:tcPr>
          <w:p w14:paraId="72EAD1BF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2022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年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130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卷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213-229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页</w:t>
            </w:r>
          </w:p>
        </w:tc>
        <w:tc>
          <w:tcPr>
            <w:tcW w:w="1701" w:type="dxa"/>
            <w:vAlign w:val="center"/>
          </w:tcPr>
          <w:p w14:paraId="6388E2EC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2022.01.21</w:t>
            </w:r>
          </w:p>
        </w:tc>
        <w:tc>
          <w:tcPr>
            <w:tcW w:w="1842" w:type="dxa"/>
            <w:vAlign w:val="center"/>
          </w:tcPr>
          <w:p w14:paraId="24FC885C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孔炜；李芷晴；徐清波</w:t>
            </w:r>
          </w:p>
        </w:tc>
        <w:tc>
          <w:tcPr>
            <w:tcW w:w="1843" w:type="dxa"/>
            <w:vAlign w:val="center"/>
          </w:tcPr>
          <w:p w14:paraId="40F6362D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杨柳</w:t>
            </w:r>
          </w:p>
        </w:tc>
      </w:tr>
      <w:tr w:rsidR="00DE0297" w14:paraId="279606A4" w14:textId="77777777">
        <w:trPr>
          <w:trHeight w:hRule="exact" w:val="3979"/>
        </w:trPr>
        <w:tc>
          <w:tcPr>
            <w:tcW w:w="594" w:type="dxa"/>
            <w:vAlign w:val="center"/>
          </w:tcPr>
          <w:p w14:paraId="545F27CB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t>4</w:t>
            </w:r>
          </w:p>
        </w:tc>
        <w:tc>
          <w:tcPr>
            <w:tcW w:w="1968" w:type="dxa"/>
            <w:vAlign w:val="center"/>
          </w:tcPr>
          <w:p w14:paraId="31C93113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t>ALKBH1-demethylated DNA N6-methyladenine modification triggers vascular calcification via osteogenic reprogramming in chronic kidney disease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.</w:t>
            </w:r>
          </w:p>
          <w:p w14:paraId="3BA7E22E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 xml:space="preserve"> </w:t>
            </w:r>
            <w:r>
              <w:rPr>
                <w:rFonts w:ascii="Times New Roman"/>
                <w:i/>
                <w:iCs/>
                <w:color w:val="000000"/>
                <w:sz w:val="21"/>
                <w:szCs w:val="28"/>
              </w:rPr>
              <w:t>J Clin Invest.</w:t>
            </w:r>
          </w:p>
        </w:tc>
        <w:tc>
          <w:tcPr>
            <w:tcW w:w="1276" w:type="dxa"/>
            <w:vAlign w:val="center"/>
          </w:tcPr>
          <w:p w14:paraId="62751874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2021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年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131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卷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e146985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页</w:t>
            </w:r>
          </w:p>
        </w:tc>
        <w:tc>
          <w:tcPr>
            <w:tcW w:w="1701" w:type="dxa"/>
            <w:vAlign w:val="center"/>
          </w:tcPr>
          <w:p w14:paraId="2C271163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2021.07.15</w:t>
            </w:r>
          </w:p>
        </w:tc>
        <w:tc>
          <w:tcPr>
            <w:tcW w:w="1842" w:type="dxa"/>
            <w:vAlign w:val="center"/>
          </w:tcPr>
          <w:p w14:paraId="7FA792AC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黄辉</w:t>
            </w:r>
          </w:p>
        </w:tc>
        <w:tc>
          <w:tcPr>
            <w:tcW w:w="1843" w:type="dxa"/>
            <w:vAlign w:val="center"/>
          </w:tcPr>
          <w:p w14:paraId="71D4CDE8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欧阳柳；苏晓燕；黎文信；唐良秋</w:t>
            </w:r>
          </w:p>
        </w:tc>
      </w:tr>
      <w:tr w:rsidR="00DE0297" w14:paraId="63BEC6FD" w14:textId="77777777">
        <w:trPr>
          <w:trHeight w:hRule="exact" w:val="4186"/>
        </w:trPr>
        <w:tc>
          <w:tcPr>
            <w:tcW w:w="594" w:type="dxa"/>
            <w:vAlign w:val="center"/>
          </w:tcPr>
          <w:p w14:paraId="4FAB4ED5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lastRenderedPageBreak/>
              <w:t>5</w:t>
            </w:r>
          </w:p>
        </w:tc>
        <w:tc>
          <w:tcPr>
            <w:tcW w:w="1968" w:type="dxa"/>
            <w:vAlign w:val="center"/>
          </w:tcPr>
          <w:p w14:paraId="79635814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color w:val="000000"/>
                <w:sz w:val="21"/>
                <w:szCs w:val="28"/>
              </w:rPr>
              <w:t>SIRT6 protects vascular smooth muscle cells from osteogenic transdifferentiation via Runx2 in chronic kidney disease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 xml:space="preserve">.  </w:t>
            </w:r>
          </w:p>
          <w:p w14:paraId="62E64391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/>
                <w:i/>
                <w:iCs/>
                <w:color w:val="000000"/>
                <w:sz w:val="21"/>
                <w:szCs w:val="28"/>
              </w:rPr>
              <w:t>J Clin Invest.</w:t>
            </w:r>
          </w:p>
        </w:tc>
        <w:tc>
          <w:tcPr>
            <w:tcW w:w="1276" w:type="dxa"/>
            <w:vAlign w:val="center"/>
          </w:tcPr>
          <w:p w14:paraId="3A414AE1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2022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年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132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卷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e150051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页</w:t>
            </w:r>
          </w:p>
        </w:tc>
        <w:tc>
          <w:tcPr>
            <w:tcW w:w="1701" w:type="dxa"/>
            <w:vAlign w:val="center"/>
          </w:tcPr>
          <w:p w14:paraId="0880231E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2022.01.04</w:t>
            </w:r>
          </w:p>
        </w:tc>
        <w:tc>
          <w:tcPr>
            <w:tcW w:w="1842" w:type="dxa"/>
            <w:vAlign w:val="center"/>
          </w:tcPr>
          <w:p w14:paraId="7F1E0E8A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黄辉</w:t>
            </w:r>
          </w:p>
        </w:tc>
        <w:tc>
          <w:tcPr>
            <w:tcW w:w="1843" w:type="dxa"/>
            <w:vAlign w:val="center"/>
          </w:tcPr>
          <w:p w14:paraId="31EB3F7B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黎文信</w:t>
            </w:r>
            <w:r>
              <w:rPr>
                <w:rFonts w:ascii="Times New Roman" w:hint="eastAsia"/>
                <w:color w:val="000000"/>
                <w:sz w:val="21"/>
                <w:szCs w:val="28"/>
              </w:rPr>
              <w:t>;</w:t>
            </w:r>
          </w:p>
          <w:p w14:paraId="42E2FE95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冯伟镜；苏晓燕；</w:t>
            </w:r>
          </w:p>
          <w:p w14:paraId="08D9A0C3" w14:textId="77777777" w:rsidR="00DE0297" w:rsidRDefault="00000000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  <w:r>
              <w:rPr>
                <w:rFonts w:ascii="Times New Roman" w:hint="eastAsia"/>
                <w:color w:val="000000"/>
                <w:sz w:val="21"/>
                <w:szCs w:val="28"/>
              </w:rPr>
              <w:t>罗冬玲</w:t>
            </w:r>
          </w:p>
          <w:p w14:paraId="5926309F" w14:textId="77777777" w:rsidR="00DE0297" w:rsidRDefault="00DE0297">
            <w:pPr>
              <w:pStyle w:val="a5"/>
              <w:adjustRightInd w:val="0"/>
              <w:snapToGrid w:val="0"/>
              <w:spacing w:after="50" w:line="320" w:lineRule="exact"/>
              <w:ind w:firstLineChars="0" w:firstLine="0"/>
              <w:jc w:val="center"/>
              <w:outlineLvl w:val="1"/>
              <w:rPr>
                <w:rFonts w:ascii="Times New Roman"/>
                <w:color w:val="000000"/>
                <w:sz w:val="21"/>
                <w:szCs w:val="28"/>
              </w:rPr>
            </w:pPr>
          </w:p>
        </w:tc>
      </w:tr>
    </w:tbl>
    <w:p w14:paraId="618F1C35" w14:textId="77777777" w:rsidR="00DE0297" w:rsidRDefault="00000000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五、主要完成人</w:t>
      </w:r>
    </w:p>
    <w:p w14:paraId="7E27D690" w14:textId="1917E93A" w:rsidR="00DE0297" w:rsidRDefault="00000000">
      <w:pPr>
        <w:pStyle w:val="a0"/>
        <w:rPr>
          <w:rFonts w:ascii="黑体" w:eastAsia="黑体" w:hAnsi="黑体" w:hint="eastAsia"/>
          <w:b/>
          <w:sz w:val="32"/>
          <w:szCs w:val="32"/>
        </w:rPr>
      </w:pPr>
      <w:bookmarkStart w:id="4" w:name="OLE_LINK5"/>
      <w:r>
        <w:rPr>
          <w:rFonts w:ascii="黑体" w:eastAsia="黑体" w:hAnsi="黑体" w:hint="eastAsia"/>
          <w:b/>
          <w:sz w:val="32"/>
          <w:szCs w:val="32"/>
        </w:rPr>
        <w:t>黄辉、黄聿、孔炜、王力、李芷晴、陈艳莲、谢晨、马建帅、黎文信、欧阳柳、朱毅、徐清波</w:t>
      </w:r>
      <w:r w:rsidR="005F1C4F">
        <w:rPr>
          <w:rFonts w:ascii="黑体" w:eastAsia="黑体" w:hAnsi="黑体" w:hint="eastAsia"/>
          <w:b/>
          <w:sz w:val="32"/>
          <w:szCs w:val="32"/>
        </w:rPr>
        <w:t>、</w:t>
      </w:r>
      <w:r w:rsidR="00657A24">
        <w:rPr>
          <w:rFonts w:ascii="黑体" w:eastAsia="黑体" w:hAnsi="黑体" w:hint="eastAsia"/>
          <w:b/>
          <w:sz w:val="32"/>
          <w:szCs w:val="32"/>
        </w:rPr>
        <w:t>苏晓燕</w:t>
      </w:r>
      <w:r w:rsidR="00242395">
        <w:rPr>
          <w:rFonts w:ascii="黑体" w:eastAsia="黑体" w:hAnsi="黑体" w:hint="eastAsia"/>
          <w:b/>
          <w:sz w:val="32"/>
          <w:szCs w:val="32"/>
        </w:rPr>
        <w:t>、</w:t>
      </w:r>
      <w:r w:rsidR="005F1C4F" w:rsidRPr="005F1C4F">
        <w:rPr>
          <w:rFonts w:ascii="黑体" w:eastAsia="黑体" w:hAnsi="黑体" w:hint="eastAsia"/>
          <w:b/>
          <w:sz w:val="32"/>
          <w:szCs w:val="32"/>
        </w:rPr>
        <w:t>刘忠英、丁兆彩</w:t>
      </w:r>
    </w:p>
    <w:bookmarkEnd w:id="4"/>
    <w:p w14:paraId="39554C46" w14:textId="77777777" w:rsidR="00DE0297" w:rsidRDefault="00000000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六、主要完成单位</w:t>
      </w:r>
    </w:p>
    <w:p w14:paraId="46578AC2" w14:textId="4B52313B" w:rsidR="00DE0297" w:rsidRDefault="00000000" w:rsidP="00020082">
      <w:pPr>
        <w:spacing w:beforeLines="100" w:before="312" w:line="540" w:lineRule="exact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中山大学附属第八医院</w:t>
      </w:r>
      <w:r w:rsidR="008F4420">
        <w:rPr>
          <w:rFonts w:ascii="黑体" w:eastAsia="黑体" w:hAnsi="黑体" w:hint="eastAsia"/>
          <w:b/>
          <w:sz w:val="32"/>
          <w:szCs w:val="32"/>
        </w:rPr>
        <w:t>（深圳福田）</w:t>
      </w:r>
      <w:r>
        <w:rPr>
          <w:rFonts w:ascii="黑体" w:eastAsia="黑体" w:hAnsi="黑体" w:hint="eastAsia"/>
          <w:b/>
          <w:sz w:val="32"/>
          <w:szCs w:val="32"/>
        </w:rPr>
        <w:t>、香港中文大学、</w:t>
      </w:r>
      <w:r>
        <w:rPr>
          <w:rFonts w:ascii="黑体" w:eastAsia="黑体" w:hAnsi="黑体"/>
          <w:b/>
          <w:sz w:val="32"/>
          <w:szCs w:val="32"/>
        </w:rPr>
        <w:t>北京大学</w:t>
      </w:r>
      <w:r w:rsidR="005F1C4F">
        <w:rPr>
          <w:rFonts w:ascii="黑体" w:eastAsia="黑体" w:hAnsi="黑体" w:hint="eastAsia"/>
          <w:b/>
          <w:sz w:val="32"/>
          <w:szCs w:val="32"/>
        </w:rPr>
        <w:t>、</w:t>
      </w:r>
      <w:r w:rsidR="001759AC">
        <w:rPr>
          <w:rFonts w:ascii="黑体" w:eastAsia="黑体" w:hAnsi="黑体" w:hint="eastAsia"/>
          <w:b/>
          <w:sz w:val="32"/>
          <w:szCs w:val="32"/>
        </w:rPr>
        <w:t>天津医科大学、浙江大学、</w:t>
      </w:r>
      <w:r w:rsidR="00657A24" w:rsidRPr="00657A24">
        <w:rPr>
          <w:rFonts w:ascii="黑体" w:eastAsia="黑体" w:hAnsi="黑体" w:hint="eastAsia"/>
          <w:b/>
          <w:sz w:val="32"/>
          <w:szCs w:val="32"/>
        </w:rPr>
        <w:t>东莞东华医院有限公司</w:t>
      </w:r>
      <w:r w:rsidR="00657A24">
        <w:rPr>
          <w:rFonts w:ascii="黑体" w:eastAsia="黑体" w:hAnsi="黑体" w:hint="eastAsia"/>
          <w:b/>
          <w:sz w:val="32"/>
          <w:szCs w:val="32"/>
        </w:rPr>
        <w:t>、</w:t>
      </w:r>
      <w:r w:rsidR="005F1C4F" w:rsidRPr="005F1C4F">
        <w:rPr>
          <w:rFonts w:ascii="黑体" w:eastAsia="黑体" w:hAnsi="黑体" w:hint="eastAsia"/>
          <w:b/>
          <w:sz w:val="32"/>
          <w:szCs w:val="32"/>
        </w:rPr>
        <w:t>北京麦邦光电仪器有限公司</w:t>
      </w:r>
    </w:p>
    <w:sectPr w:rsidR="00DE029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34158" w14:textId="77777777" w:rsidR="00CB7EBD" w:rsidRDefault="00CB7EBD" w:rsidP="00020082">
      <w:r>
        <w:separator/>
      </w:r>
    </w:p>
  </w:endnote>
  <w:endnote w:type="continuationSeparator" w:id="0">
    <w:p w14:paraId="6BA5E28A" w14:textId="77777777" w:rsidR="00CB7EBD" w:rsidRDefault="00CB7EBD" w:rsidP="0002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B111F2-EA65-48F2-B3AA-C005311AFE0B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2" w:subsetted="1" w:fontKey="{F8CA2E69-4EDD-42D1-976E-3143EAC1B1B9}"/>
    <w:embedBold r:id="rId3" w:fontKey="{77EAF60A-D219-4B3D-B653-01CEE1D660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  <w:embedBold r:id="rId4" w:subsetted="1" w:fontKey="{2758C8D2-01A2-42A3-B3CC-871ADE8A8DE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89E9460-450D-42EA-ACA0-A7B656BEF66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AE07AAE4-2F70-40AC-B32D-3E004F2D8C26}"/>
    <w:embedBold r:id="rId7" w:subsetted="1" w:fontKey="{05B782BA-1DAD-4D73-A40C-76EC8C5FB1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5A0E313-386B-44DF-9208-A72CBC8378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10893" w14:textId="77777777" w:rsidR="00CB7EBD" w:rsidRDefault="00CB7EBD" w:rsidP="00020082">
      <w:r>
        <w:separator/>
      </w:r>
    </w:p>
  </w:footnote>
  <w:footnote w:type="continuationSeparator" w:id="0">
    <w:p w14:paraId="0158F9F6" w14:textId="77777777" w:rsidR="00CB7EBD" w:rsidRDefault="00CB7EBD" w:rsidP="00020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hjZmYxY2ZlNzIzYjJjNTEyMzk1ZTY0ZjU0MmViNjAifQ=="/>
  </w:docVars>
  <w:rsids>
    <w:rsidRoot w:val="00D05B8E"/>
    <w:rsid w:val="00001225"/>
    <w:rsid w:val="00001357"/>
    <w:rsid w:val="0001306A"/>
    <w:rsid w:val="00020082"/>
    <w:rsid w:val="00027EEA"/>
    <w:rsid w:val="0006326D"/>
    <w:rsid w:val="0006431C"/>
    <w:rsid w:val="00080D6E"/>
    <w:rsid w:val="00144FD4"/>
    <w:rsid w:val="00147547"/>
    <w:rsid w:val="001671F3"/>
    <w:rsid w:val="001759AC"/>
    <w:rsid w:val="00185911"/>
    <w:rsid w:val="001A2D83"/>
    <w:rsid w:val="001C771C"/>
    <w:rsid w:val="001F3D36"/>
    <w:rsid w:val="001F3E4D"/>
    <w:rsid w:val="00227468"/>
    <w:rsid w:val="0022762E"/>
    <w:rsid w:val="00230B8A"/>
    <w:rsid w:val="00240EB9"/>
    <w:rsid w:val="00242395"/>
    <w:rsid w:val="00267FBD"/>
    <w:rsid w:val="00274430"/>
    <w:rsid w:val="002837F0"/>
    <w:rsid w:val="002A2F82"/>
    <w:rsid w:val="002A3647"/>
    <w:rsid w:val="002C2715"/>
    <w:rsid w:val="00311836"/>
    <w:rsid w:val="003568C2"/>
    <w:rsid w:val="003725DA"/>
    <w:rsid w:val="00372EC6"/>
    <w:rsid w:val="003929DD"/>
    <w:rsid w:val="003C0C9E"/>
    <w:rsid w:val="003F56F4"/>
    <w:rsid w:val="00407364"/>
    <w:rsid w:val="00415332"/>
    <w:rsid w:val="00433A5D"/>
    <w:rsid w:val="00457337"/>
    <w:rsid w:val="004A5551"/>
    <w:rsid w:val="004B2EEC"/>
    <w:rsid w:val="004B46DB"/>
    <w:rsid w:val="004F756E"/>
    <w:rsid w:val="00505563"/>
    <w:rsid w:val="00563123"/>
    <w:rsid w:val="00573CFF"/>
    <w:rsid w:val="005937D6"/>
    <w:rsid w:val="005E4026"/>
    <w:rsid w:val="005F1C4F"/>
    <w:rsid w:val="006221A9"/>
    <w:rsid w:val="0063435B"/>
    <w:rsid w:val="00657A24"/>
    <w:rsid w:val="006D433A"/>
    <w:rsid w:val="006F58EC"/>
    <w:rsid w:val="006F5F01"/>
    <w:rsid w:val="006F79AC"/>
    <w:rsid w:val="007053E3"/>
    <w:rsid w:val="007A5E98"/>
    <w:rsid w:val="0080117F"/>
    <w:rsid w:val="008041C0"/>
    <w:rsid w:val="00807DB4"/>
    <w:rsid w:val="008463AC"/>
    <w:rsid w:val="00881181"/>
    <w:rsid w:val="00887AF2"/>
    <w:rsid w:val="008B665D"/>
    <w:rsid w:val="008D6ACB"/>
    <w:rsid w:val="008F4420"/>
    <w:rsid w:val="00955090"/>
    <w:rsid w:val="009710AF"/>
    <w:rsid w:val="00986BB9"/>
    <w:rsid w:val="009A7527"/>
    <w:rsid w:val="009B5AB5"/>
    <w:rsid w:val="009B642F"/>
    <w:rsid w:val="009E7DF4"/>
    <w:rsid w:val="00A13DF0"/>
    <w:rsid w:val="00A25056"/>
    <w:rsid w:val="00A414E9"/>
    <w:rsid w:val="00A55452"/>
    <w:rsid w:val="00A626AC"/>
    <w:rsid w:val="00AC5AC0"/>
    <w:rsid w:val="00AD5271"/>
    <w:rsid w:val="00B56886"/>
    <w:rsid w:val="00B97298"/>
    <w:rsid w:val="00BA6B8A"/>
    <w:rsid w:val="00BF0013"/>
    <w:rsid w:val="00C01229"/>
    <w:rsid w:val="00C12055"/>
    <w:rsid w:val="00C15B78"/>
    <w:rsid w:val="00C26E3B"/>
    <w:rsid w:val="00C35051"/>
    <w:rsid w:val="00C6398B"/>
    <w:rsid w:val="00C9592A"/>
    <w:rsid w:val="00C974F2"/>
    <w:rsid w:val="00CB7EBD"/>
    <w:rsid w:val="00CD0973"/>
    <w:rsid w:val="00D05B8E"/>
    <w:rsid w:val="00D16C5B"/>
    <w:rsid w:val="00D83FF9"/>
    <w:rsid w:val="00D86B86"/>
    <w:rsid w:val="00DA63D5"/>
    <w:rsid w:val="00DE0297"/>
    <w:rsid w:val="00E16A52"/>
    <w:rsid w:val="00E219CA"/>
    <w:rsid w:val="00E24FFE"/>
    <w:rsid w:val="00E35378"/>
    <w:rsid w:val="00E3546E"/>
    <w:rsid w:val="00E363AE"/>
    <w:rsid w:val="00E63443"/>
    <w:rsid w:val="00E873FD"/>
    <w:rsid w:val="00E87AAE"/>
    <w:rsid w:val="00E97E68"/>
    <w:rsid w:val="00EC0B7E"/>
    <w:rsid w:val="00EC35F9"/>
    <w:rsid w:val="00EE6CF2"/>
    <w:rsid w:val="00EF4FD2"/>
    <w:rsid w:val="00EF652D"/>
    <w:rsid w:val="00EF7DB2"/>
    <w:rsid w:val="00F1471F"/>
    <w:rsid w:val="00F26465"/>
    <w:rsid w:val="00F4087A"/>
    <w:rsid w:val="00FA2C4B"/>
    <w:rsid w:val="00FB14E9"/>
    <w:rsid w:val="098C6D55"/>
    <w:rsid w:val="1B0D0BF0"/>
    <w:rsid w:val="346F4C20"/>
    <w:rsid w:val="35DF4561"/>
    <w:rsid w:val="45866389"/>
    <w:rsid w:val="46E63622"/>
    <w:rsid w:val="61B653CF"/>
    <w:rsid w:val="65165ED0"/>
    <w:rsid w:val="7C026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6495C0"/>
  <w15:docId w15:val="{8BF0F098-1E26-4D55-9B15-3829358C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semiHidden/>
    <w:qFormat/>
    <w:pPr>
      <w:spacing w:after="120"/>
    </w:p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 w:eastAsia="宋体" w:hAnsi="Times New Roman" w:cs="Times New Roman"/>
      <w:sz w:val="24"/>
      <w:szCs w:val="20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Strong"/>
    <w:basedOn w:val="a1"/>
    <w:uiPriority w:val="22"/>
    <w:qFormat/>
    <w:rPr>
      <w:b/>
    </w:rPr>
  </w:style>
  <w:style w:type="character" w:customStyle="1" w:styleId="aa">
    <w:name w:val="页眉 字符"/>
    <w:basedOn w:val="a1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qFormat/>
    <w:rPr>
      <w:sz w:val="18"/>
      <w:szCs w:val="18"/>
    </w:rPr>
  </w:style>
  <w:style w:type="character" w:customStyle="1" w:styleId="Char">
    <w:name w:val="纯文本 Char"/>
    <w:basedOn w:val="a1"/>
    <w:uiPriority w:val="99"/>
    <w:semiHidden/>
    <w:qFormat/>
    <w:rPr>
      <w:rFonts w:ascii="宋体" w:eastAsia="宋体" w:hAnsi="Courier New" w:cs="Courier New"/>
      <w:szCs w:val="21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 w:eastAsia="宋体" w:hAnsi="Times New Roman" w:cs="Times New Roman"/>
      <w:sz w:val="24"/>
      <w:szCs w:val="20"/>
    </w:rPr>
  </w:style>
  <w:style w:type="character" w:customStyle="1" w:styleId="a6">
    <w:name w:val="纯文本 字符"/>
    <w:link w:val="a5"/>
    <w:qFormat/>
    <w:rPr>
      <w:rFonts w:ascii="仿宋_GB2312" w:eastAsia="宋体" w:hAnsi="Times New Roman" w:cs="Times New Roman"/>
      <w:sz w:val="24"/>
      <w:szCs w:val="20"/>
    </w:rPr>
  </w:style>
  <w:style w:type="character" w:customStyle="1" w:styleId="a4">
    <w:name w:val="正文文本 字符"/>
    <w:basedOn w:val="a1"/>
    <w:link w:val="a0"/>
    <w:uiPriority w:val="99"/>
    <w:semiHidden/>
    <w:qFormat/>
    <w:rPr>
      <w:kern w:val="2"/>
      <w:sz w:val="21"/>
      <w:szCs w:val="22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374</Words>
  <Characters>2137</Characters>
  <Application>Microsoft Office Word</Application>
  <DocSecurity>0</DocSecurity>
  <Lines>17</Lines>
  <Paragraphs>5</Paragraphs>
  <ScaleCrop>false</ScaleCrop>
  <Company>Microsoft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GFW</dc:creator>
  <cp:lastModifiedBy>奕非 阮</cp:lastModifiedBy>
  <cp:revision>9</cp:revision>
  <dcterms:created xsi:type="dcterms:W3CDTF">2025-12-16T06:35:00Z</dcterms:created>
  <dcterms:modified xsi:type="dcterms:W3CDTF">2025-12-18T02:05:00Z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3BCAA78E6BD14225B7081DBDC79B938C_13</vt:lpwstr>
  </property>
  <property fmtid="{D5CDD505-2E9C-101B-9397-08002B2CF9AE}" pid="4" name="KSOTemplateDocerSaveRecord">
    <vt:lpwstr>eyJoZGlkIjoiYWJmNTAxYTA0NTllZTU0OWY5NWY0MWNlMzBjNGU2OTYiLCJ1c2VySWQiOiI4MzU2MDU3NTUifQ==</vt:lpwstr>
  </property>
  <property fmtid="{D5CDD505-2E9C-101B-9397-08002B2CF9AE}" pid="5" name="GrammarlyDocumentId">
    <vt:lpwstr>923d5999-53b5-4266-a740-9b1cd78bfd72</vt:lpwstr>
  </property>
</Properties>
</file>