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47476">
      <w:pPr>
        <w:spacing w:before="217" w:beforeLines="50" w:after="217" w:afterLines="50" w:line="400" w:lineRule="exact"/>
        <w:jc w:val="center"/>
        <w:rPr>
          <w:rFonts w:ascii="方正小标宋简体" w:eastAsia="方正小标宋简体"/>
          <w:bCs/>
          <w:szCs w:val="21"/>
        </w:rPr>
      </w:pPr>
      <w:r>
        <w:rPr>
          <w:rFonts w:hint="eastAsia" w:ascii="方正小标宋简体" w:eastAsia="方正小标宋简体"/>
          <w:bCs/>
          <w:sz w:val="36"/>
          <w:szCs w:val="21"/>
        </w:rPr>
        <w:t>202</w:t>
      </w:r>
      <w:r>
        <w:rPr>
          <w:rFonts w:ascii="方正小标宋简体" w:eastAsia="方正小标宋简体"/>
          <w:bCs/>
          <w:sz w:val="36"/>
          <w:szCs w:val="21"/>
        </w:rPr>
        <w:t>5</w:t>
      </w:r>
      <w:r>
        <w:rPr>
          <w:rFonts w:hint="eastAsia" w:ascii="方正小标宋简体" w:eastAsia="方正小标宋简体"/>
          <w:bCs/>
          <w:sz w:val="36"/>
          <w:szCs w:val="21"/>
        </w:rPr>
        <w:t>年度安徽省自然科学奖提名项目公示内容</w:t>
      </w:r>
    </w:p>
    <w:tbl>
      <w:tblPr>
        <w:tblStyle w:val="6"/>
        <w:tblW w:w="14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8"/>
        <w:gridCol w:w="1608"/>
        <w:gridCol w:w="1383"/>
        <w:gridCol w:w="1985"/>
        <w:gridCol w:w="1275"/>
        <w:gridCol w:w="1418"/>
        <w:gridCol w:w="1417"/>
        <w:gridCol w:w="1701"/>
        <w:gridCol w:w="1701"/>
        <w:gridCol w:w="1524"/>
      </w:tblGrid>
      <w:tr w14:paraId="23E6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jc w:val="center"/>
        </w:trPr>
        <w:tc>
          <w:tcPr>
            <w:tcW w:w="2156" w:type="dxa"/>
            <w:gridSpan w:val="2"/>
            <w:vAlign w:val="center"/>
          </w:tcPr>
          <w:p w14:paraId="1E749E3F">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项目名称</w:t>
            </w:r>
          </w:p>
        </w:tc>
        <w:tc>
          <w:tcPr>
            <w:tcW w:w="12404" w:type="dxa"/>
            <w:gridSpan w:val="8"/>
            <w:vAlign w:val="center"/>
          </w:tcPr>
          <w:p w14:paraId="7AE7A662">
            <w:pPr>
              <w:adjustRightInd w:val="0"/>
              <w:snapToGrid w:val="0"/>
              <w:spacing w:line="240" w:lineRule="auto"/>
              <w:jc w:val="center"/>
              <w:rPr>
                <w:rFonts w:ascii="宋体" w:hAnsi="宋体" w:eastAsia="宋体" w:cs="黑体"/>
                <w:kern w:val="0"/>
                <w:sz w:val="21"/>
                <w:szCs w:val="21"/>
              </w:rPr>
            </w:pPr>
            <w:bookmarkStart w:id="1" w:name="_GoBack"/>
            <w:r>
              <w:rPr>
                <w:rFonts w:hint="eastAsia" w:ascii="宋体" w:hAnsi="宋体" w:eastAsia="宋体" w:cs="黑体"/>
                <w:kern w:val="0"/>
                <w:sz w:val="21"/>
                <w:szCs w:val="21"/>
              </w:rPr>
              <w:t>航空可持续燃料燃烧和微爆特性应用研究</w:t>
            </w:r>
            <w:bookmarkEnd w:id="1"/>
          </w:p>
        </w:tc>
      </w:tr>
      <w:tr w14:paraId="0122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jc w:val="center"/>
        </w:trPr>
        <w:tc>
          <w:tcPr>
            <w:tcW w:w="2156" w:type="dxa"/>
            <w:gridSpan w:val="2"/>
            <w:vAlign w:val="center"/>
          </w:tcPr>
          <w:p w14:paraId="6E088C00">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提名者</w:t>
            </w:r>
          </w:p>
        </w:tc>
        <w:tc>
          <w:tcPr>
            <w:tcW w:w="12404" w:type="dxa"/>
            <w:gridSpan w:val="8"/>
            <w:vAlign w:val="center"/>
          </w:tcPr>
          <w:p w14:paraId="58EFC340">
            <w:pPr>
              <w:adjustRightInd w:val="0"/>
              <w:snapToGrid w:val="0"/>
              <w:spacing w:line="240" w:lineRule="auto"/>
              <w:jc w:val="center"/>
              <w:rPr>
                <w:rFonts w:ascii="宋体" w:hAnsi="宋体" w:eastAsia="宋体"/>
                <w:kern w:val="0"/>
                <w:sz w:val="21"/>
                <w:szCs w:val="21"/>
              </w:rPr>
            </w:pPr>
            <w:r>
              <w:rPr>
                <w:rFonts w:hint="eastAsia" w:ascii="宋体" w:hAnsi="宋体" w:eastAsia="宋体"/>
                <w:kern w:val="0"/>
                <w:sz w:val="21"/>
                <w:szCs w:val="21"/>
              </w:rPr>
              <w:t>中国科学技术大学</w:t>
            </w:r>
          </w:p>
        </w:tc>
      </w:tr>
      <w:tr w14:paraId="7720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71" w:hRule="atLeast"/>
          <w:jc w:val="center"/>
        </w:trPr>
        <w:tc>
          <w:tcPr>
            <w:tcW w:w="2156" w:type="dxa"/>
            <w:gridSpan w:val="2"/>
            <w:vAlign w:val="center"/>
          </w:tcPr>
          <w:p w14:paraId="0806B7D8">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提名意见</w:t>
            </w:r>
          </w:p>
        </w:tc>
        <w:tc>
          <w:tcPr>
            <w:tcW w:w="12404" w:type="dxa"/>
            <w:gridSpan w:val="8"/>
            <w:vAlign w:val="center"/>
          </w:tcPr>
          <w:p w14:paraId="02DBB28B">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该项目面向航空业碳减排的“双碳”战略需求，针对可持续航空燃料雾化与燃烧效率远未达到理论预期的核心瓶颈，围绕液滴微爆特性量化与燃烧调控这一关键科学问题，开展了系统性、原创性研究。项目以典型可再生高氧燃料及其混合物为对象，通过实验测量与理论分析相结合的手段，揭示了气泡成核位置对微爆模式的支配机制，以及温度、</w:t>
            </w:r>
            <w:r>
              <w:rPr>
                <w:rFonts w:hint="eastAsia" w:ascii="宋体" w:hAnsi="宋体" w:eastAsia="宋体" w:cs="Times New Roman"/>
                <w:kern w:val="0"/>
                <w:sz w:val="21"/>
                <w:szCs w:val="21"/>
                <w:lang w:val="en-US" w:eastAsia="zh-CN"/>
              </w:rPr>
              <w:t>气体流量</w:t>
            </w:r>
            <w:r>
              <w:rPr>
                <w:rFonts w:hint="eastAsia" w:ascii="宋体" w:hAnsi="宋体" w:eastAsia="宋体" w:cs="Times New Roman"/>
                <w:kern w:val="0"/>
                <w:sz w:val="21"/>
                <w:szCs w:val="21"/>
              </w:rPr>
              <w:t>等外部参数和醇类掺混等内部组分因素对微爆强度的非线性调控规律，发现了液滴群相互作用对微爆行为的影响机制，建立了微爆强度定量计算模型与分级标准，构建了混合燃料液滴三阶段蒸发速率模型，形成了从微爆</w:t>
            </w:r>
            <w:r>
              <w:rPr>
                <w:rFonts w:hint="eastAsia" w:ascii="宋体" w:hAnsi="宋体" w:eastAsia="宋体" w:cs="Times New Roman"/>
                <w:kern w:val="0"/>
                <w:sz w:val="21"/>
                <w:szCs w:val="21"/>
                <w:lang w:val="en-US" w:eastAsia="zh-CN"/>
              </w:rPr>
              <w:t>特性</w:t>
            </w:r>
            <w:r>
              <w:rPr>
                <w:rFonts w:hint="eastAsia" w:ascii="宋体" w:hAnsi="宋体" w:eastAsia="宋体" w:cs="Times New Roman"/>
                <w:kern w:val="0"/>
                <w:sz w:val="21"/>
                <w:szCs w:val="21"/>
              </w:rPr>
              <w:t>机理揭示到定量表征的理论体系与评价方法，为航空可持续燃料的组分设计及燃烧室工况优化提供了理论依据。</w:t>
            </w:r>
          </w:p>
          <w:p w14:paraId="62B08CA1">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5篇代表性论文发表于Fuel、Renewable Energy及Physics of Fluids等国际权威期刊，获SCI他引百余次，得到国际同行正面评价和广泛引用。研究成果构建了面向航空可持续燃料的微爆性能理论框架与评价方法，填补了微爆强度与蒸发</w:t>
            </w:r>
            <w:r>
              <w:rPr>
                <w:rFonts w:hint="eastAsia" w:ascii="宋体" w:hAnsi="宋体" w:eastAsia="宋体" w:cs="Times New Roman"/>
                <w:kern w:val="0"/>
                <w:sz w:val="21"/>
                <w:szCs w:val="21"/>
                <w:lang w:val="en-US" w:eastAsia="zh-CN"/>
              </w:rPr>
              <w:t>及</w:t>
            </w:r>
            <w:r>
              <w:rPr>
                <w:rFonts w:hint="eastAsia" w:ascii="宋体" w:hAnsi="宋体" w:eastAsia="宋体" w:cs="Times New Roman"/>
                <w:kern w:val="0"/>
                <w:sz w:val="21"/>
                <w:szCs w:val="21"/>
              </w:rPr>
              <w:t>燃烧效率定量关联的空白，为微爆导向的SAF组分设计及燃烧室工况优化提供了理论基础，对我国突破航空替代燃料技术瓶颈具有重要支撑作用。</w:t>
            </w:r>
          </w:p>
          <w:p w14:paraId="04C7915F">
            <w:pPr>
              <w:adjustRightInd w:val="0"/>
              <w:snapToGrid w:val="0"/>
              <w:spacing w:line="240" w:lineRule="auto"/>
              <w:ind w:firstLine="420" w:firstLineChars="200"/>
              <w:jc w:val="both"/>
              <w:rPr>
                <w:rFonts w:ascii="宋体" w:hAnsi="宋体" w:eastAsia="宋体" w:cs="Times New Roman"/>
                <w:kern w:val="0"/>
                <w:sz w:val="21"/>
                <w:szCs w:val="21"/>
              </w:rPr>
            </w:pPr>
            <w:r>
              <w:rPr>
                <w:rFonts w:hint="eastAsia" w:ascii="宋体" w:hAnsi="宋体" w:eastAsia="宋体" w:cs="Times New Roman"/>
                <w:kern w:val="0"/>
                <w:sz w:val="21"/>
                <w:szCs w:val="21"/>
              </w:rPr>
              <w:t>提名该项目为国家自然科学奖</w:t>
            </w:r>
            <w:r>
              <w:rPr>
                <w:rFonts w:hint="eastAsia" w:ascii="宋体" w:hAnsi="宋体" w:eastAsia="宋体" w:cs="Times New Roman"/>
                <w:kern w:val="0"/>
                <w:sz w:val="21"/>
                <w:szCs w:val="21"/>
                <w:lang w:val="en-US" w:eastAsia="zh-CN"/>
              </w:rPr>
              <w:t>三</w:t>
            </w:r>
            <w:r>
              <w:rPr>
                <w:rFonts w:hint="eastAsia" w:ascii="宋体" w:hAnsi="宋体" w:eastAsia="宋体" w:cs="Times New Roman"/>
                <w:kern w:val="0"/>
                <w:sz w:val="21"/>
                <w:szCs w:val="21"/>
              </w:rPr>
              <w:t>等奖</w:t>
            </w:r>
            <w:r>
              <w:rPr>
                <w:rFonts w:hint="eastAsia" w:ascii="宋体" w:hAnsi="宋体" w:eastAsia="宋体" w:cs="Times New Roman"/>
                <w:kern w:val="0"/>
                <w:sz w:val="21"/>
                <w:szCs w:val="21"/>
                <w:lang w:val="en-US" w:eastAsia="zh-CN"/>
              </w:rPr>
              <w:t>及以上等次</w:t>
            </w:r>
            <w:r>
              <w:rPr>
                <w:rFonts w:hint="eastAsia" w:ascii="宋体" w:hAnsi="宋体" w:eastAsia="宋体" w:cs="Times New Roman"/>
                <w:kern w:val="0"/>
                <w:sz w:val="21"/>
                <w:szCs w:val="21"/>
              </w:rPr>
              <w:t>。</w:t>
            </w:r>
          </w:p>
        </w:tc>
      </w:tr>
      <w:tr w14:paraId="20E3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2156" w:type="dxa"/>
            <w:gridSpan w:val="2"/>
            <w:vAlign w:val="center"/>
          </w:tcPr>
          <w:p w14:paraId="2AB89A89">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项目简介</w:t>
            </w:r>
          </w:p>
        </w:tc>
        <w:tc>
          <w:tcPr>
            <w:tcW w:w="12404" w:type="dxa"/>
            <w:gridSpan w:val="8"/>
            <w:vAlign w:val="center"/>
          </w:tcPr>
          <w:p w14:paraId="742AF89E">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航空业碳减排是“双碳”战略实施的重点，其核心瓶颈在于可持续航空燃料雾化与燃烧效率远未达到理论预期。液滴微爆是突破上述瓶颈的前沿路径，但其发生强度与燃烧增益的定量关联长期缺失，导致燃料设计与调控缺乏理论支撑。该项目围绕液滴微爆特性量化与燃烧调控这一关键科学问题，揭示了微爆强度对液滴蒸发、着火燃烧及液滴群相互作用的调控机制，为燃烧过程控制、污染减排及SAF燃料开发提供了理论依据。</w:t>
            </w:r>
          </w:p>
          <w:p w14:paraId="2FE8D488">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一、主要研究内容：</w:t>
            </w:r>
          </w:p>
          <w:p w14:paraId="7384F2BD">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该项目研究了可再生高氧燃料及其混合物在模拟航空发动机典型工况下的微爆特性与燃烧机制，揭示了液滴内部传质传热及液滴群相互作用规律，构建了微爆强度量化理论体系。重点开展了三方面研究：（1）研究了温度、气体流量等参数对混合燃料液滴着火延迟、膨胀、喷射及微爆时间尺度的改变原因及机制，分析了液滴内部气泡成核与液滴生长、破碎过程的影响因素；（2）研究了微爆强度定量计算模型与分级标准，建立了不同比例混合燃料微爆强度的预测与验证方法；（3）研究了微爆强度对蒸发与燃烧速率的定量影响规律，分析了醇类掺混比对微爆强度的非线性调控机制。</w:t>
            </w:r>
          </w:p>
          <w:p w14:paraId="5BCD62C9">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二、科学发现点：</w:t>
            </w:r>
          </w:p>
          <w:p w14:paraId="6FC307AC">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1）发现了气泡“边缘-偏心-近心”三种生长模态，揭示了气泡成核位置主导微爆强度的内在机制。（2）建立了微爆强度定量计算模型与分级标准，解决了该领域长期缺乏统一判据的难题。（3）阐明了环境温度对微爆强度的非单调调控规律及液滴群相互作用对微爆行为的影响机制。（4）建立了混合燃料液滴三阶段蒸发速率模型，揭示了微爆强度与蒸发及燃烧速率之间的定量关联规律。（5）揭示了醇类掺混比对微爆特性的非线性调控规律，明确了微爆强度的最优掺混区间。</w:t>
            </w:r>
          </w:p>
          <w:p w14:paraId="593A192A">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三、科学价值：</w:t>
            </w:r>
          </w:p>
          <w:p w14:paraId="30F25F03">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项目成果在国家“双碳”战略及《“十四五”民航绿色发展专项规划》要求下，构建了面向航空可持续燃料的微爆性能理论框架与评价方法，填补了微爆强度与蒸发燃烧效率定量关联的空白，为微爆导向的SAF组分设计及燃烧室工况优化提供了理论基础，对我国突破航空替代燃料技术瓶颈具有重要支撑作用。</w:t>
            </w:r>
          </w:p>
          <w:p w14:paraId="272183AE">
            <w:pPr>
              <w:adjustRightInd w:val="0"/>
              <w:snapToGrid w:val="0"/>
              <w:spacing w:line="240" w:lineRule="auto"/>
              <w:ind w:firstLine="420" w:firstLineChars="200"/>
              <w:jc w:val="both"/>
              <w:rPr>
                <w:rFonts w:hint="eastAsia" w:ascii="宋体" w:hAnsi="宋体" w:eastAsia="宋体" w:cs="Times New Roman"/>
                <w:kern w:val="0"/>
                <w:sz w:val="21"/>
                <w:szCs w:val="21"/>
              </w:rPr>
            </w:pPr>
            <w:r>
              <w:rPr>
                <w:rFonts w:hint="eastAsia" w:ascii="宋体" w:hAnsi="宋体" w:eastAsia="宋体" w:cs="Times New Roman"/>
                <w:kern w:val="0"/>
                <w:sz w:val="21"/>
                <w:szCs w:val="21"/>
              </w:rPr>
              <w:t>四、同行引用及评价：</w:t>
            </w:r>
          </w:p>
          <w:p w14:paraId="070D362A">
            <w:pPr>
              <w:adjustRightInd w:val="0"/>
              <w:snapToGrid w:val="0"/>
              <w:spacing w:line="240" w:lineRule="auto"/>
              <w:ind w:firstLine="420" w:firstLineChars="200"/>
              <w:jc w:val="both"/>
              <w:rPr>
                <w:rFonts w:ascii="宋体" w:hAnsi="宋体" w:eastAsia="宋体" w:cs="Times New Roman"/>
                <w:kern w:val="0"/>
                <w:sz w:val="21"/>
                <w:szCs w:val="21"/>
              </w:rPr>
            </w:pPr>
            <w:r>
              <w:rPr>
                <w:rFonts w:hint="eastAsia" w:ascii="宋体" w:hAnsi="宋体" w:eastAsia="宋体" w:cs="Times New Roman"/>
                <w:kern w:val="0"/>
                <w:sz w:val="21"/>
                <w:szCs w:val="21"/>
              </w:rPr>
              <w:t>5篇代表性论文发表于Fuel、Renewable Energy等国际权威期刊，总他引</w:t>
            </w:r>
            <w:r>
              <w:rPr>
                <w:rFonts w:hint="eastAsia" w:ascii="宋体" w:hAnsi="宋体" w:eastAsia="宋体" w:cs="Times New Roman"/>
                <w:kern w:val="0"/>
                <w:sz w:val="21"/>
                <w:szCs w:val="21"/>
                <w:lang w:val="en-US" w:eastAsia="zh-CN"/>
              </w:rPr>
              <w:t>150余</w:t>
            </w:r>
            <w:r>
              <w:rPr>
                <w:rFonts w:hint="eastAsia" w:ascii="宋体" w:hAnsi="宋体" w:eastAsia="宋体" w:cs="Times New Roman"/>
                <w:kern w:val="0"/>
                <w:sz w:val="21"/>
                <w:szCs w:val="21"/>
              </w:rPr>
              <w:t>次。其中，Fuel期刊评价该系列研究“对多组分液滴在不同加热条件下的行为分析极具价值”；Journal of the Energy Institute认为“研究质量高、视角新颖，实验条件考虑全面”；Physics of Fluids指出“该研究对探讨长链醇作为替代燃料的可行性提供了详实依据，对发动机领域研究者具有重要意义”。</w:t>
            </w:r>
          </w:p>
        </w:tc>
      </w:tr>
      <w:tr w14:paraId="1A6E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jc w:val="center"/>
        </w:trPr>
        <w:tc>
          <w:tcPr>
            <w:tcW w:w="2156" w:type="dxa"/>
            <w:gridSpan w:val="2"/>
            <w:vAlign w:val="center"/>
          </w:tcPr>
          <w:p w14:paraId="7809A8E0">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主要完成人</w:t>
            </w:r>
          </w:p>
        </w:tc>
        <w:tc>
          <w:tcPr>
            <w:tcW w:w="12404" w:type="dxa"/>
            <w:gridSpan w:val="8"/>
            <w:vAlign w:val="center"/>
          </w:tcPr>
          <w:p w14:paraId="25A0872F">
            <w:pPr>
              <w:adjustRightInd w:val="0"/>
              <w:snapToGrid w:val="0"/>
              <w:spacing w:line="240" w:lineRule="auto"/>
              <w:ind w:firstLine="420" w:firstLineChars="200"/>
              <w:rPr>
                <w:rFonts w:ascii="宋体" w:hAnsi="宋体" w:eastAsia="宋体"/>
                <w:kern w:val="0"/>
                <w:sz w:val="21"/>
                <w:szCs w:val="21"/>
              </w:rPr>
            </w:pPr>
            <w:r>
              <w:rPr>
                <w:rFonts w:hint="eastAsia" w:ascii="宋体" w:hAnsi="宋体" w:eastAsia="宋体"/>
                <w:kern w:val="0"/>
                <w:sz w:val="21"/>
                <w:szCs w:val="21"/>
              </w:rPr>
              <w:t>林其钊、孟柯生、王高峰、倪战士</w:t>
            </w:r>
          </w:p>
        </w:tc>
      </w:tr>
      <w:tr w14:paraId="18E0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2156" w:type="dxa"/>
            <w:gridSpan w:val="2"/>
            <w:vAlign w:val="center"/>
          </w:tcPr>
          <w:p w14:paraId="7D3FF5DA">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主要完成单位</w:t>
            </w:r>
          </w:p>
        </w:tc>
        <w:tc>
          <w:tcPr>
            <w:tcW w:w="12404" w:type="dxa"/>
            <w:gridSpan w:val="8"/>
            <w:vAlign w:val="center"/>
          </w:tcPr>
          <w:p w14:paraId="19C7965F">
            <w:pPr>
              <w:adjustRightInd w:val="0"/>
              <w:snapToGrid w:val="0"/>
              <w:spacing w:line="240" w:lineRule="auto"/>
              <w:ind w:firstLine="420" w:firstLineChars="200"/>
              <w:rPr>
                <w:rFonts w:ascii="宋体" w:hAnsi="宋体" w:eastAsia="宋体"/>
                <w:kern w:val="0"/>
                <w:sz w:val="21"/>
                <w:szCs w:val="21"/>
              </w:rPr>
            </w:pPr>
            <w:r>
              <w:rPr>
                <w:rFonts w:hint="eastAsia" w:ascii="宋体" w:hAnsi="宋体" w:eastAsia="宋体"/>
                <w:kern w:val="0"/>
                <w:sz w:val="21"/>
                <w:szCs w:val="21"/>
              </w:rPr>
              <w:t>中国科学技术大学、安徽交通职业技术学院、浙江大学</w:t>
            </w:r>
          </w:p>
        </w:tc>
      </w:tr>
      <w:tr w14:paraId="1E57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2156" w:type="dxa"/>
            <w:gridSpan w:val="2"/>
            <w:vAlign w:val="center"/>
          </w:tcPr>
          <w:p w14:paraId="68F3286F">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5名论证专家</w:t>
            </w:r>
          </w:p>
        </w:tc>
        <w:tc>
          <w:tcPr>
            <w:tcW w:w="12404" w:type="dxa"/>
            <w:gridSpan w:val="8"/>
            <w:vAlign w:val="center"/>
          </w:tcPr>
          <w:p w14:paraId="24140F64">
            <w:pPr>
              <w:pStyle w:val="10"/>
              <w:numPr>
                <w:ilvl w:val="0"/>
                <w:numId w:val="1"/>
              </w:numPr>
              <w:adjustRightInd w:val="0"/>
              <w:snapToGrid w:val="0"/>
              <w:spacing w:line="240" w:lineRule="auto"/>
              <w:ind w:firstLineChars="0"/>
              <w:rPr>
                <w:rFonts w:ascii="宋体" w:hAnsi="宋体" w:eastAsia="宋体" w:cs="Times New Roman"/>
                <w:bCs/>
                <w:color w:val="000000"/>
                <w:kern w:val="0"/>
                <w:sz w:val="21"/>
                <w:szCs w:val="21"/>
              </w:rPr>
            </w:pPr>
            <w:r>
              <w:rPr>
                <w:rFonts w:hint="eastAsia" w:ascii="宋体" w:hAnsi="宋体" w:eastAsia="宋体" w:cs="Times New Roman"/>
                <w:bCs/>
                <w:color w:val="000000"/>
                <w:kern w:val="0"/>
                <w:sz w:val="21"/>
                <w:szCs w:val="21"/>
              </w:rPr>
              <w:t>程乐鸣</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rPr>
              <w:t>浙江大学</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lang w:val="en-US" w:eastAsia="zh-CN"/>
              </w:rPr>
              <w:t>教授</w:t>
            </w:r>
            <w:r>
              <w:rPr>
                <w:rFonts w:hint="eastAsia" w:ascii="宋体" w:hAnsi="宋体" w:eastAsia="宋体" w:cs="Times New Roman"/>
                <w:bCs/>
                <w:color w:val="000000"/>
                <w:kern w:val="0"/>
                <w:sz w:val="21"/>
                <w:szCs w:val="21"/>
              </w:rPr>
              <w:t>、能源动力</w:t>
            </w:r>
          </w:p>
          <w:p w14:paraId="309F474C">
            <w:pPr>
              <w:pStyle w:val="10"/>
              <w:numPr>
                <w:ilvl w:val="0"/>
                <w:numId w:val="1"/>
              </w:numPr>
              <w:adjustRightInd w:val="0"/>
              <w:snapToGrid w:val="0"/>
              <w:spacing w:line="240" w:lineRule="auto"/>
              <w:ind w:firstLineChars="0"/>
              <w:rPr>
                <w:rFonts w:ascii="宋体" w:hAnsi="宋体" w:eastAsia="宋体"/>
                <w:kern w:val="0"/>
                <w:sz w:val="21"/>
                <w:szCs w:val="21"/>
              </w:rPr>
            </w:pPr>
            <w:r>
              <w:rPr>
                <w:rFonts w:hint="eastAsia" w:ascii="宋体" w:hAnsi="宋体" w:eastAsia="宋体" w:cs="Times New Roman"/>
                <w:bCs/>
                <w:color w:val="000000"/>
                <w:kern w:val="0"/>
                <w:sz w:val="21"/>
                <w:szCs w:val="21"/>
              </w:rPr>
              <w:t>乔信起</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rPr>
              <w:t>上海交通大学</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lang w:val="en-US" w:eastAsia="zh-CN"/>
              </w:rPr>
              <w:t>教授</w:t>
            </w:r>
            <w:r>
              <w:rPr>
                <w:rFonts w:hint="eastAsia" w:ascii="宋体" w:hAnsi="宋体" w:eastAsia="宋体" w:cs="Times New Roman"/>
                <w:bCs/>
                <w:color w:val="000000"/>
                <w:kern w:val="0"/>
                <w:sz w:val="21"/>
                <w:szCs w:val="21"/>
              </w:rPr>
              <w:t>、工程热物理</w:t>
            </w:r>
          </w:p>
          <w:p w14:paraId="697EEB86">
            <w:pPr>
              <w:pStyle w:val="10"/>
              <w:numPr>
                <w:ilvl w:val="0"/>
                <w:numId w:val="1"/>
              </w:numPr>
              <w:adjustRightInd w:val="0"/>
              <w:snapToGrid w:val="0"/>
              <w:spacing w:line="240" w:lineRule="auto"/>
              <w:ind w:firstLineChars="0"/>
              <w:rPr>
                <w:rFonts w:ascii="宋体" w:hAnsi="宋体" w:eastAsia="宋体"/>
                <w:kern w:val="0"/>
                <w:sz w:val="21"/>
                <w:szCs w:val="21"/>
              </w:rPr>
            </w:pPr>
            <w:r>
              <w:rPr>
                <w:rFonts w:hint="eastAsia" w:ascii="宋体" w:hAnsi="宋体" w:eastAsia="宋体" w:cs="Times New Roman"/>
                <w:bCs/>
                <w:color w:val="000000"/>
                <w:kern w:val="0"/>
                <w:sz w:val="21"/>
                <w:szCs w:val="21"/>
              </w:rPr>
              <w:t>赵永椿</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rPr>
              <w:t>华中科技大学</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lang w:val="en-US" w:eastAsia="zh-CN"/>
              </w:rPr>
              <w:t>教授</w:t>
            </w:r>
            <w:r>
              <w:rPr>
                <w:rFonts w:hint="eastAsia" w:ascii="宋体" w:hAnsi="宋体" w:eastAsia="宋体" w:cs="Times New Roman"/>
                <w:bCs/>
                <w:color w:val="000000"/>
                <w:kern w:val="0"/>
                <w:sz w:val="21"/>
                <w:szCs w:val="21"/>
              </w:rPr>
              <w:t>、工程热物理</w:t>
            </w:r>
          </w:p>
          <w:p w14:paraId="347A2F58">
            <w:pPr>
              <w:pStyle w:val="10"/>
              <w:numPr>
                <w:ilvl w:val="0"/>
                <w:numId w:val="1"/>
              </w:numPr>
              <w:adjustRightInd w:val="0"/>
              <w:snapToGrid w:val="0"/>
              <w:spacing w:line="240" w:lineRule="auto"/>
              <w:ind w:firstLineChars="0"/>
              <w:rPr>
                <w:rFonts w:ascii="宋体" w:hAnsi="宋体" w:eastAsia="宋体"/>
                <w:kern w:val="0"/>
                <w:sz w:val="21"/>
                <w:szCs w:val="21"/>
              </w:rPr>
            </w:pPr>
            <w:r>
              <w:rPr>
                <w:rFonts w:hint="eastAsia" w:ascii="宋体" w:hAnsi="宋体" w:eastAsia="宋体" w:cs="Times New Roman"/>
                <w:bCs/>
                <w:color w:val="000000"/>
                <w:kern w:val="0"/>
                <w:sz w:val="21"/>
                <w:szCs w:val="21"/>
              </w:rPr>
              <w:t>裴程林</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rPr>
              <w:t>安徽海螺水泥股份有限公司</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lang w:val="en-US" w:eastAsia="zh-CN"/>
              </w:rPr>
              <w:t>高级工程师</w:t>
            </w:r>
            <w:r>
              <w:rPr>
                <w:rFonts w:hint="eastAsia" w:ascii="宋体" w:hAnsi="宋体" w:eastAsia="宋体" w:cs="Times New Roman"/>
                <w:bCs/>
                <w:color w:val="000000"/>
                <w:kern w:val="0"/>
                <w:sz w:val="21"/>
                <w:szCs w:val="21"/>
              </w:rPr>
              <w:t>、工程热物理</w:t>
            </w:r>
          </w:p>
          <w:p w14:paraId="53632A3A">
            <w:pPr>
              <w:pStyle w:val="10"/>
              <w:numPr>
                <w:ilvl w:val="0"/>
                <w:numId w:val="1"/>
              </w:numPr>
              <w:adjustRightInd w:val="0"/>
              <w:snapToGrid w:val="0"/>
              <w:spacing w:line="240" w:lineRule="auto"/>
              <w:ind w:firstLineChars="0"/>
              <w:rPr>
                <w:rFonts w:ascii="宋体" w:hAnsi="宋体" w:eastAsia="宋体"/>
                <w:kern w:val="0"/>
                <w:sz w:val="21"/>
                <w:szCs w:val="21"/>
              </w:rPr>
            </w:pPr>
            <w:r>
              <w:rPr>
                <w:rFonts w:hint="eastAsia" w:ascii="宋体" w:hAnsi="宋体" w:eastAsia="宋体" w:cs="Times New Roman"/>
                <w:bCs/>
                <w:color w:val="000000"/>
                <w:kern w:val="0"/>
                <w:sz w:val="21"/>
                <w:szCs w:val="21"/>
              </w:rPr>
              <w:t>徐搏超</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rPr>
              <w:t>安徽省能源集团有限公司</w:t>
            </w:r>
            <w:r>
              <w:rPr>
                <w:rFonts w:ascii="宋体" w:hAnsi="宋体" w:eastAsia="宋体" w:cs="Times New Roman"/>
                <w:bCs/>
                <w:color w:val="000000"/>
                <w:kern w:val="0"/>
                <w:sz w:val="21"/>
                <w:szCs w:val="21"/>
              </w:rPr>
              <w:t>、</w:t>
            </w:r>
            <w:r>
              <w:rPr>
                <w:rFonts w:hint="eastAsia" w:ascii="宋体" w:hAnsi="宋体" w:eastAsia="宋体" w:cs="Times New Roman"/>
                <w:bCs/>
                <w:color w:val="000000"/>
                <w:kern w:val="0"/>
                <w:sz w:val="21"/>
                <w:szCs w:val="21"/>
                <w:lang w:val="en-US" w:eastAsia="zh-CN"/>
              </w:rPr>
              <w:t>高级工程师</w:t>
            </w:r>
            <w:r>
              <w:rPr>
                <w:rFonts w:hint="eastAsia" w:ascii="宋体" w:hAnsi="宋体" w:eastAsia="宋体" w:cs="Times New Roman"/>
                <w:bCs/>
                <w:color w:val="000000"/>
                <w:kern w:val="0"/>
                <w:sz w:val="21"/>
                <w:szCs w:val="21"/>
              </w:rPr>
              <w:t>、热能工程</w:t>
            </w:r>
          </w:p>
        </w:tc>
      </w:tr>
      <w:tr w14:paraId="5CBC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14560" w:type="dxa"/>
            <w:gridSpan w:val="10"/>
            <w:vAlign w:val="center"/>
          </w:tcPr>
          <w:p w14:paraId="2B3649DB">
            <w:pPr>
              <w:pStyle w:val="4"/>
              <w:widowControl w:val="0"/>
              <w:adjustRightInd w:val="0"/>
              <w:spacing w:line="240" w:lineRule="exact"/>
              <w:jc w:val="center"/>
              <w:outlineLvl w:val="1"/>
              <w:rPr>
                <w:rFonts w:ascii="宋体" w:hAnsi="宋体" w:eastAsia="宋体" w:cs="宋体"/>
                <w:color w:val="000000"/>
                <w:kern w:val="0"/>
                <w:sz w:val="21"/>
                <w:szCs w:val="28"/>
                <w:lang w:bidi="ar"/>
              </w:rPr>
            </w:pPr>
            <w:r>
              <w:rPr>
                <w:rFonts w:hint="eastAsia" w:ascii="黑体" w:hAnsi="黑体" w:eastAsia="黑体" w:cs="黑体"/>
                <w:color w:val="000000"/>
                <w:kern w:val="0"/>
                <w:sz w:val="22"/>
                <w:szCs w:val="20"/>
                <w:lang w:bidi="ar"/>
              </w:rPr>
              <w:t>代表性论文（专著）目录</w:t>
            </w:r>
          </w:p>
        </w:tc>
      </w:tr>
      <w:tr w14:paraId="677A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1" w:hRule="atLeast"/>
          <w:jc w:val="center"/>
        </w:trPr>
        <w:tc>
          <w:tcPr>
            <w:tcW w:w="548" w:type="dxa"/>
            <w:vAlign w:val="center"/>
          </w:tcPr>
          <w:p w14:paraId="3923DB8A">
            <w:pPr>
              <w:pStyle w:val="4"/>
              <w:widowControl w:val="0"/>
              <w:adjustRightInd w:val="0"/>
              <w:spacing w:line="240" w:lineRule="exact"/>
              <w:jc w:val="center"/>
              <w:rPr>
                <w:rFonts w:ascii="黑体" w:hAnsi="黑体" w:eastAsia="黑体" w:cs="黑体"/>
                <w:color w:val="000000"/>
                <w:kern w:val="0"/>
                <w:sz w:val="18"/>
                <w:szCs w:val="18"/>
              </w:rPr>
            </w:pPr>
            <w:bookmarkStart w:id="0" w:name="_Hlk198482895"/>
            <w:r>
              <w:rPr>
                <w:rFonts w:hint="eastAsia" w:ascii="黑体" w:hAnsi="黑体" w:eastAsia="黑体" w:cs="黑体"/>
                <w:color w:val="000000"/>
                <w:kern w:val="0"/>
                <w:sz w:val="18"/>
                <w:szCs w:val="18"/>
                <w:lang w:bidi="ar"/>
              </w:rPr>
              <w:t>序号</w:t>
            </w:r>
          </w:p>
        </w:tc>
        <w:tc>
          <w:tcPr>
            <w:tcW w:w="2991" w:type="dxa"/>
            <w:gridSpan w:val="2"/>
            <w:vAlign w:val="center"/>
          </w:tcPr>
          <w:p w14:paraId="2FAA152D">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论文（专著）名称/刊名/作者</w:t>
            </w:r>
          </w:p>
        </w:tc>
        <w:tc>
          <w:tcPr>
            <w:tcW w:w="1985" w:type="dxa"/>
            <w:vAlign w:val="center"/>
          </w:tcPr>
          <w:p w14:paraId="2AFB233C">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年卷页码</w:t>
            </w:r>
          </w:p>
          <w:p w14:paraId="7F837E00">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（xx年xx卷xx页）</w:t>
            </w:r>
          </w:p>
        </w:tc>
        <w:tc>
          <w:tcPr>
            <w:tcW w:w="1275" w:type="dxa"/>
            <w:vAlign w:val="center"/>
          </w:tcPr>
          <w:p w14:paraId="7285B198">
            <w:pPr>
              <w:pStyle w:val="4"/>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发表时间</w:t>
            </w:r>
          </w:p>
          <w:p w14:paraId="0DFB0E21">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 年 月 日）</w:t>
            </w:r>
          </w:p>
        </w:tc>
        <w:tc>
          <w:tcPr>
            <w:tcW w:w="1418" w:type="dxa"/>
            <w:vAlign w:val="center"/>
          </w:tcPr>
          <w:p w14:paraId="7359CFD7">
            <w:pPr>
              <w:pStyle w:val="4"/>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通讯作者</w:t>
            </w:r>
          </w:p>
          <w:p w14:paraId="578772B9">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（含共同）</w:t>
            </w:r>
          </w:p>
        </w:tc>
        <w:tc>
          <w:tcPr>
            <w:tcW w:w="1417" w:type="dxa"/>
            <w:vAlign w:val="center"/>
          </w:tcPr>
          <w:p w14:paraId="02491AB9">
            <w:pPr>
              <w:pStyle w:val="4"/>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第一作者</w:t>
            </w:r>
          </w:p>
          <w:p w14:paraId="4992D3D1">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（含共同）</w:t>
            </w:r>
          </w:p>
        </w:tc>
        <w:tc>
          <w:tcPr>
            <w:tcW w:w="1701" w:type="dxa"/>
            <w:vAlign w:val="center"/>
          </w:tcPr>
          <w:p w14:paraId="20D4E401">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highlight w:val="none"/>
                <w:lang w:bidi="ar"/>
              </w:rPr>
              <w:t>国内作者</w:t>
            </w:r>
          </w:p>
        </w:tc>
        <w:tc>
          <w:tcPr>
            <w:tcW w:w="1701" w:type="dxa"/>
            <w:vAlign w:val="center"/>
          </w:tcPr>
          <w:p w14:paraId="3F60B024">
            <w:pPr>
              <w:pStyle w:val="4"/>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论文署名单位是否包含国外单位</w:t>
            </w:r>
          </w:p>
        </w:tc>
        <w:tc>
          <w:tcPr>
            <w:tcW w:w="1524" w:type="dxa"/>
            <w:vAlign w:val="center"/>
          </w:tcPr>
          <w:p w14:paraId="223BB423">
            <w:pPr>
              <w:pStyle w:val="4"/>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是否国内期刊</w:t>
            </w:r>
          </w:p>
        </w:tc>
      </w:tr>
      <w:tr w14:paraId="2F25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0" w:hRule="atLeast"/>
          <w:jc w:val="center"/>
        </w:trPr>
        <w:tc>
          <w:tcPr>
            <w:tcW w:w="548" w:type="dxa"/>
            <w:vAlign w:val="center"/>
          </w:tcPr>
          <w:p w14:paraId="5B8B847F">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1</w:t>
            </w:r>
          </w:p>
        </w:tc>
        <w:tc>
          <w:tcPr>
            <w:tcW w:w="2991" w:type="dxa"/>
            <w:gridSpan w:val="2"/>
            <w:vAlign w:val="center"/>
          </w:tcPr>
          <w:p w14:paraId="1266E9D6">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Study on micro-explosion intensity characteristics of biodiesel, RP-3 and ethanol mixed droplets / Fuel / Kesheng Meng, Wei Fu, Yanyan Lei, Dongmei Zhao, Qizhao Lin, Gaofeng Wang</w:t>
            </w:r>
          </w:p>
        </w:tc>
        <w:tc>
          <w:tcPr>
            <w:tcW w:w="1985" w:type="dxa"/>
            <w:vAlign w:val="center"/>
          </w:tcPr>
          <w:p w14:paraId="11256739">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2019</w:t>
            </w:r>
            <w:r>
              <w:rPr>
                <w:rFonts w:hint="eastAsia" w:eastAsia="宋体" w:cs="Times New Roman"/>
                <w:color w:val="000000"/>
                <w:kern w:val="0"/>
                <w:sz w:val="18"/>
                <w:szCs w:val="18"/>
                <w:lang w:val="en-US" w:eastAsia="zh-CN"/>
              </w:rPr>
              <w:t xml:space="preserve">, 256, </w:t>
            </w:r>
            <w:r>
              <w:rPr>
                <w:rFonts w:hint="eastAsia" w:eastAsia="宋体" w:cs="Times New Roman"/>
                <w:color w:val="000000"/>
                <w:kern w:val="0"/>
                <w:sz w:val="18"/>
                <w:szCs w:val="18"/>
              </w:rPr>
              <w:t>115942</w:t>
            </w:r>
          </w:p>
        </w:tc>
        <w:tc>
          <w:tcPr>
            <w:tcW w:w="1275" w:type="dxa"/>
            <w:vAlign w:val="center"/>
          </w:tcPr>
          <w:p w14:paraId="62F5BD30">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2019.08.01</w:t>
            </w:r>
          </w:p>
        </w:tc>
        <w:tc>
          <w:tcPr>
            <w:tcW w:w="1418" w:type="dxa"/>
            <w:vAlign w:val="center"/>
          </w:tcPr>
          <w:p w14:paraId="77F42998">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rPr>
              <w:t>Qizhao Lin</w:t>
            </w:r>
            <w:r>
              <w:rPr>
                <w:rFonts w:hint="eastAsia" w:eastAsia="宋体" w:cs="Times New Roman"/>
                <w:color w:val="000000"/>
                <w:kern w:val="0"/>
                <w:sz w:val="18"/>
                <w:szCs w:val="18"/>
                <w:lang w:val="en-US" w:eastAsia="zh-CN"/>
              </w:rPr>
              <w:t>,</w:t>
            </w:r>
          </w:p>
          <w:p w14:paraId="0867BF38">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Gaofeng Wang</w:t>
            </w:r>
          </w:p>
        </w:tc>
        <w:tc>
          <w:tcPr>
            <w:tcW w:w="1417" w:type="dxa"/>
            <w:vAlign w:val="center"/>
          </w:tcPr>
          <w:p w14:paraId="5115F697">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Kesheng Meng</w:t>
            </w:r>
          </w:p>
        </w:tc>
        <w:tc>
          <w:tcPr>
            <w:tcW w:w="1701" w:type="dxa"/>
            <w:vAlign w:val="center"/>
          </w:tcPr>
          <w:p w14:paraId="52A1E189">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孟柯生、付炜、雷炎炎、赵冬梅、林其钊、王高峰</w:t>
            </w:r>
          </w:p>
        </w:tc>
        <w:tc>
          <w:tcPr>
            <w:tcW w:w="1701" w:type="dxa"/>
            <w:vAlign w:val="center"/>
          </w:tcPr>
          <w:p w14:paraId="1B8E1728">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c>
          <w:tcPr>
            <w:tcW w:w="1524" w:type="dxa"/>
            <w:vAlign w:val="center"/>
          </w:tcPr>
          <w:p w14:paraId="27562714">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r>
      <w:tr w14:paraId="257F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8" w:hRule="atLeast"/>
          <w:jc w:val="center"/>
        </w:trPr>
        <w:tc>
          <w:tcPr>
            <w:tcW w:w="548" w:type="dxa"/>
            <w:vAlign w:val="center"/>
          </w:tcPr>
          <w:p w14:paraId="5A2187B1">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w:t>
            </w:r>
          </w:p>
        </w:tc>
        <w:tc>
          <w:tcPr>
            <w:tcW w:w="2991" w:type="dxa"/>
            <w:gridSpan w:val="2"/>
            <w:vAlign w:val="center"/>
          </w:tcPr>
          <w:p w14:paraId="624F6D1E">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Experimental study on the micro-explosion characteristics of biodiesel/1-pentanol and biodiesel/ methanol blended droplets</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Renewable Energy</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 Kai Han, Qizhao Lin, Minghou Liu, Kesheng Meng, Zhanshi Ni, Yu Liu, Junjian Tian, Zhicong Qiu</w:t>
            </w:r>
          </w:p>
        </w:tc>
        <w:tc>
          <w:tcPr>
            <w:tcW w:w="1985" w:type="dxa"/>
            <w:vAlign w:val="center"/>
          </w:tcPr>
          <w:p w14:paraId="40A62C88">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2022</w:t>
            </w:r>
            <w:r>
              <w:rPr>
                <w:rFonts w:hint="eastAsia" w:eastAsia="宋体" w:cs="Times New Roman"/>
                <w:color w:val="000000"/>
                <w:kern w:val="0"/>
                <w:sz w:val="18"/>
                <w:szCs w:val="18"/>
                <w:lang w:val="en-US" w:eastAsia="zh-CN"/>
              </w:rPr>
              <w:t xml:space="preserve">, 196, </w:t>
            </w:r>
            <w:r>
              <w:rPr>
                <w:rFonts w:hint="eastAsia" w:eastAsia="宋体" w:cs="Times New Roman"/>
                <w:color w:val="000000"/>
                <w:kern w:val="0"/>
                <w:sz w:val="18"/>
                <w:szCs w:val="18"/>
              </w:rPr>
              <w:t>261-277</w:t>
            </w:r>
          </w:p>
        </w:tc>
        <w:tc>
          <w:tcPr>
            <w:tcW w:w="1275" w:type="dxa"/>
            <w:vAlign w:val="center"/>
          </w:tcPr>
          <w:p w14:paraId="06CEF007">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2022.07.05</w:t>
            </w:r>
          </w:p>
        </w:tc>
        <w:tc>
          <w:tcPr>
            <w:tcW w:w="1418" w:type="dxa"/>
            <w:vAlign w:val="center"/>
          </w:tcPr>
          <w:p w14:paraId="0E2371E8">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rPr>
              <w:t>Qizhao Lin</w:t>
            </w:r>
            <w:r>
              <w:rPr>
                <w:rFonts w:hint="eastAsia" w:eastAsia="宋体" w:cs="Times New Roman"/>
                <w:color w:val="000000"/>
                <w:kern w:val="0"/>
                <w:sz w:val="18"/>
                <w:szCs w:val="18"/>
                <w:lang w:val="en-US" w:eastAsia="zh-CN"/>
              </w:rPr>
              <w:t>,</w:t>
            </w:r>
          </w:p>
          <w:p w14:paraId="39FD17D6">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rPr>
              <w:t>Minghou Liu</w:t>
            </w:r>
            <w:r>
              <w:rPr>
                <w:rFonts w:hint="eastAsia" w:eastAsia="宋体" w:cs="Times New Roman"/>
                <w:color w:val="000000"/>
                <w:kern w:val="0"/>
                <w:sz w:val="18"/>
                <w:szCs w:val="18"/>
                <w:lang w:val="en-US" w:eastAsia="zh-CN"/>
              </w:rPr>
              <w:t>,</w:t>
            </w:r>
          </w:p>
          <w:p w14:paraId="5433F4E3">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Kesheng Meng</w:t>
            </w:r>
          </w:p>
        </w:tc>
        <w:tc>
          <w:tcPr>
            <w:tcW w:w="1417" w:type="dxa"/>
            <w:vAlign w:val="center"/>
          </w:tcPr>
          <w:p w14:paraId="24D47F34">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Kai Han</w:t>
            </w:r>
          </w:p>
        </w:tc>
        <w:tc>
          <w:tcPr>
            <w:tcW w:w="1701" w:type="dxa"/>
            <w:vAlign w:val="center"/>
          </w:tcPr>
          <w:p w14:paraId="11DCB252">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韩凯、林其钊、刘明侯、孟柯生、倪战士、刘俞、田军见、邱志聪</w:t>
            </w:r>
          </w:p>
        </w:tc>
        <w:tc>
          <w:tcPr>
            <w:tcW w:w="1701" w:type="dxa"/>
            <w:vAlign w:val="center"/>
          </w:tcPr>
          <w:p w14:paraId="58277A21">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c>
          <w:tcPr>
            <w:tcW w:w="1524" w:type="dxa"/>
            <w:vAlign w:val="center"/>
          </w:tcPr>
          <w:p w14:paraId="6D604608">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r>
      <w:tr w14:paraId="7353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8" w:hRule="atLeast"/>
          <w:jc w:val="center"/>
        </w:trPr>
        <w:tc>
          <w:tcPr>
            <w:tcW w:w="548" w:type="dxa"/>
            <w:vAlign w:val="center"/>
          </w:tcPr>
          <w:p w14:paraId="770BBB19">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3</w:t>
            </w:r>
          </w:p>
        </w:tc>
        <w:tc>
          <w:tcPr>
            <w:tcW w:w="2991" w:type="dxa"/>
            <w:gridSpan w:val="2"/>
            <w:vAlign w:val="center"/>
          </w:tcPr>
          <w:p w14:paraId="6DDA33CE">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Microexplosion and ignition of biodiesel/ethanol blends droplets in</w:t>
            </w:r>
          </w:p>
          <w:p w14:paraId="344F29EC">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rPr>
              <w:t>oxygenated hot co-flow</w:t>
            </w:r>
            <w:r>
              <w:rPr>
                <w:rFonts w:hint="eastAsia" w:eastAsia="宋体" w:cs="Times New Roman"/>
                <w:color w:val="000000"/>
                <w:kern w:val="0"/>
                <w:sz w:val="18"/>
                <w:szCs w:val="18"/>
                <w:lang w:val="en-US" w:eastAsia="zh-CN"/>
              </w:rPr>
              <w:t xml:space="preserve"> / Journal of the Energy Institute / Kesheng Meng, Yakun Wu, Qizhao Lin, Fupeng Shan, Wei Fu, Kun Zhou, Tao Liu, Lanbo Song, Fengyu Li</w:t>
            </w:r>
          </w:p>
        </w:tc>
        <w:tc>
          <w:tcPr>
            <w:tcW w:w="1985" w:type="dxa"/>
            <w:vAlign w:val="center"/>
          </w:tcPr>
          <w:p w14:paraId="28EE892C">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rPr>
              <w:t>20</w:t>
            </w:r>
            <w:r>
              <w:rPr>
                <w:rFonts w:hint="eastAsia" w:eastAsia="宋体" w:cs="Times New Roman"/>
                <w:color w:val="000000"/>
                <w:kern w:val="0"/>
                <w:sz w:val="18"/>
                <w:szCs w:val="18"/>
                <w:lang w:val="en-US" w:eastAsia="zh-CN"/>
              </w:rPr>
              <w:t>19, 92,</w:t>
            </w:r>
            <w:r>
              <w:rPr>
                <w:rFonts w:hint="eastAsia" w:eastAsia="宋体" w:cs="Times New Roman"/>
                <w:color w:val="000000"/>
                <w:kern w:val="0"/>
                <w:sz w:val="18"/>
                <w:szCs w:val="18"/>
              </w:rPr>
              <w:t xml:space="preserve"> 1</w:t>
            </w:r>
            <w:r>
              <w:rPr>
                <w:rFonts w:hint="eastAsia" w:eastAsia="宋体" w:cs="Times New Roman"/>
                <w:color w:val="000000"/>
                <w:kern w:val="0"/>
                <w:sz w:val="18"/>
                <w:szCs w:val="18"/>
                <w:lang w:val="en-US" w:eastAsia="zh-CN"/>
              </w:rPr>
              <w:t>527-</w:t>
            </w:r>
            <w:r>
              <w:rPr>
                <w:rFonts w:hint="eastAsia" w:eastAsia="宋体" w:cs="Times New Roman"/>
                <w:color w:val="000000"/>
                <w:kern w:val="0"/>
                <w:sz w:val="18"/>
                <w:szCs w:val="18"/>
              </w:rPr>
              <w:t>1</w:t>
            </w:r>
            <w:r>
              <w:rPr>
                <w:rFonts w:hint="eastAsia" w:eastAsia="宋体" w:cs="Times New Roman"/>
                <w:color w:val="000000"/>
                <w:kern w:val="0"/>
                <w:sz w:val="18"/>
                <w:szCs w:val="18"/>
                <w:lang w:val="en-US" w:eastAsia="zh-CN"/>
              </w:rPr>
              <w:t>536</w:t>
            </w:r>
          </w:p>
        </w:tc>
        <w:tc>
          <w:tcPr>
            <w:tcW w:w="1275" w:type="dxa"/>
            <w:vAlign w:val="center"/>
          </w:tcPr>
          <w:p w14:paraId="478610D5">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2018.09.03</w:t>
            </w:r>
          </w:p>
        </w:tc>
        <w:tc>
          <w:tcPr>
            <w:tcW w:w="1418" w:type="dxa"/>
            <w:vAlign w:val="center"/>
          </w:tcPr>
          <w:p w14:paraId="1D6C8499">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Qizhao Lin</w:t>
            </w:r>
          </w:p>
        </w:tc>
        <w:tc>
          <w:tcPr>
            <w:tcW w:w="1417" w:type="dxa"/>
            <w:vAlign w:val="center"/>
          </w:tcPr>
          <w:p w14:paraId="263D7BDC">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Kesheng Meng</w:t>
            </w:r>
          </w:p>
        </w:tc>
        <w:tc>
          <w:tcPr>
            <w:tcW w:w="1701" w:type="dxa"/>
            <w:vAlign w:val="center"/>
          </w:tcPr>
          <w:p w14:paraId="4FF530D3">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孟柯生、吴亚锟、林其钊、单福鹏、付炜、周坤、刘涛、宋澜波、李奉誉</w:t>
            </w:r>
          </w:p>
        </w:tc>
        <w:tc>
          <w:tcPr>
            <w:tcW w:w="1701" w:type="dxa"/>
            <w:vAlign w:val="center"/>
          </w:tcPr>
          <w:p w14:paraId="6A50A740">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c>
          <w:tcPr>
            <w:tcW w:w="1524" w:type="dxa"/>
            <w:vAlign w:val="center"/>
          </w:tcPr>
          <w:p w14:paraId="7C076E4F">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r>
      <w:tr w14:paraId="1F8E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8" w:hRule="atLeast"/>
          <w:jc w:val="center"/>
        </w:trPr>
        <w:tc>
          <w:tcPr>
            <w:tcW w:w="548" w:type="dxa"/>
            <w:vAlign w:val="center"/>
          </w:tcPr>
          <w:p w14:paraId="5C847F00">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4</w:t>
            </w:r>
          </w:p>
        </w:tc>
        <w:tc>
          <w:tcPr>
            <w:tcW w:w="2991" w:type="dxa"/>
            <w:gridSpan w:val="2"/>
            <w:vAlign w:val="center"/>
          </w:tcPr>
          <w:p w14:paraId="62091B8F">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rPr>
              <w:t>Effect of micro-explosion of biodiesel and ethanol</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droplets on evaporation: A three-stage mixed fuel</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droplet</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evaporation model</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Physics of Fluids</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 Kesheng Meng</w:t>
            </w:r>
            <w:r>
              <w:rPr>
                <w:rFonts w:hint="eastAsia" w:eastAsia="宋体" w:cs="Times New Roman"/>
                <w:color w:val="000000"/>
                <w:kern w:val="0"/>
                <w:sz w:val="18"/>
                <w:szCs w:val="18"/>
                <w:lang w:val="en-US" w:eastAsia="zh-CN"/>
              </w:rPr>
              <w:t>,</w:t>
            </w:r>
            <w:r>
              <w:rPr>
                <w:rFonts w:hint="eastAsia" w:eastAsia="宋体" w:cs="Times New Roman"/>
                <w:color w:val="000000"/>
                <w:kern w:val="0"/>
                <w:sz w:val="18"/>
                <w:szCs w:val="18"/>
              </w:rPr>
              <w:t xml:space="preserve"> Zhiyong Huang</w:t>
            </w:r>
            <w:r>
              <w:rPr>
                <w:rFonts w:hint="eastAsia" w:eastAsia="宋体" w:cs="Times New Roman"/>
                <w:color w:val="000000"/>
                <w:kern w:val="0"/>
                <w:sz w:val="18"/>
                <w:szCs w:val="18"/>
                <w:lang w:val="en-US" w:eastAsia="zh-CN"/>
              </w:rPr>
              <w:t>,</w:t>
            </w:r>
            <w:r>
              <w:rPr>
                <w:rFonts w:hint="eastAsia" w:eastAsia="宋体" w:cs="Times New Roman"/>
                <w:color w:val="000000"/>
                <w:kern w:val="0"/>
                <w:sz w:val="18"/>
                <w:szCs w:val="18"/>
              </w:rPr>
              <w:t xml:space="preserve"> Xiaolei Zhang</w:t>
            </w:r>
            <w:r>
              <w:rPr>
                <w:rFonts w:hint="eastAsia" w:eastAsia="宋体" w:cs="Times New Roman"/>
                <w:color w:val="000000"/>
                <w:kern w:val="0"/>
                <w:sz w:val="18"/>
                <w:szCs w:val="18"/>
                <w:lang w:val="en-US" w:eastAsia="zh-CN"/>
              </w:rPr>
              <w:t>,</w:t>
            </w:r>
            <w:r>
              <w:rPr>
                <w:rFonts w:hint="eastAsia" w:eastAsia="宋体" w:cs="Times New Roman"/>
                <w:color w:val="000000"/>
                <w:kern w:val="0"/>
                <w:sz w:val="18"/>
                <w:szCs w:val="18"/>
              </w:rPr>
              <w:t xml:space="preserve"> Lan Li</w:t>
            </w:r>
            <w:r>
              <w:rPr>
                <w:rFonts w:hint="eastAsia" w:eastAsia="宋体" w:cs="Times New Roman"/>
                <w:color w:val="000000"/>
                <w:kern w:val="0"/>
                <w:sz w:val="18"/>
                <w:szCs w:val="18"/>
                <w:lang w:val="en-US" w:eastAsia="zh-CN"/>
              </w:rPr>
              <w:t>,</w:t>
            </w:r>
            <w:r>
              <w:rPr>
                <w:rFonts w:hint="eastAsia" w:eastAsia="宋体" w:cs="Times New Roman"/>
                <w:color w:val="000000"/>
                <w:kern w:val="0"/>
                <w:sz w:val="18"/>
                <w:szCs w:val="18"/>
              </w:rPr>
              <w:t xml:space="preserve"> Rui Li</w:t>
            </w:r>
            <w:r>
              <w:rPr>
                <w:rFonts w:hint="eastAsia" w:eastAsia="宋体" w:cs="Times New Roman"/>
                <w:color w:val="000000"/>
                <w:kern w:val="0"/>
                <w:sz w:val="18"/>
                <w:szCs w:val="18"/>
                <w:lang w:val="en-US" w:eastAsia="zh-CN"/>
              </w:rPr>
              <w:t>,</w:t>
            </w:r>
            <w:r>
              <w:rPr>
                <w:rFonts w:hint="eastAsia" w:eastAsia="宋体" w:cs="Times New Roman"/>
                <w:color w:val="000000"/>
                <w:kern w:val="0"/>
                <w:sz w:val="18"/>
                <w:szCs w:val="18"/>
              </w:rPr>
              <w:t xml:space="preserve"> Qizhao Lin </w:t>
            </w:r>
          </w:p>
        </w:tc>
        <w:tc>
          <w:tcPr>
            <w:tcW w:w="1985" w:type="dxa"/>
            <w:vAlign w:val="center"/>
          </w:tcPr>
          <w:p w14:paraId="127320C2">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rPr>
              <w:t>20</w:t>
            </w:r>
            <w:r>
              <w:rPr>
                <w:rFonts w:hint="eastAsia" w:eastAsia="宋体" w:cs="Times New Roman"/>
                <w:color w:val="000000"/>
                <w:kern w:val="0"/>
                <w:sz w:val="18"/>
                <w:szCs w:val="18"/>
                <w:lang w:val="en-US" w:eastAsia="zh-CN"/>
              </w:rPr>
              <w:t>22, 34,</w:t>
            </w:r>
            <w:r>
              <w:rPr>
                <w:rFonts w:hint="eastAsia" w:eastAsia="宋体" w:cs="Times New Roman"/>
                <w:color w:val="000000"/>
                <w:kern w:val="0"/>
                <w:sz w:val="18"/>
                <w:szCs w:val="18"/>
              </w:rPr>
              <w:t xml:space="preserve"> </w:t>
            </w:r>
            <w:r>
              <w:rPr>
                <w:rFonts w:hint="eastAsia" w:eastAsia="宋体" w:cs="Times New Roman"/>
                <w:color w:val="000000"/>
                <w:kern w:val="0"/>
                <w:sz w:val="18"/>
                <w:szCs w:val="18"/>
                <w:lang w:val="en-US" w:eastAsia="zh-CN"/>
              </w:rPr>
              <w:t>032113</w:t>
            </w:r>
          </w:p>
        </w:tc>
        <w:tc>
          <w:tcPr>
            <w:tcW w:w="1275" w:type="dxa"/>
            <w:vAlign w:val="center"/>
          </w:tcPr>
          <w:p w14:paraId="65BC63DA">
            <w:pPr>
              <w:pStyle w:val="4"/>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rPr>
              <w:t>20</w:t>
            </w:r>
            <w:r>
              <w:rPr>
                <w:rFonts w:hint="eastAsia" w:eastAsia="宋体" w:cs="Times New Roman"/>
                <w:color w:val="000000"/>
                <w:kern w:val="0"/>
                <w:sz w:val="18"/>
                <w:szCs w:val="18"/>
                <w:lang w:val="en-US" w:eastAsia="zh-CN"/>
              </w:rPr>
              <w:t>22.03.14</w:t>
            </w:r>
          </w:p>
        </w:tc>
        <w:tc>
          <w:tcPr>
            <w:tcW w:w="1418" w:type="dxa"/>
            <w:vAlign w:val="center"/>
          </w:tcPr>
          <w:p w14:paraId="41BF0D12">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Rui Li,</w:t>
            </w:r>
          </w:p>
          <w:p w14:paraId="074F96F0">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Qizhao Lin</w:t>
            </w:r>
          </w:p>
        </w:tc>
        <w:tc>
          <w:tcPr>
            <w:tcW w:w="1417" w:type="dxa"/>
            <w:vAlign w:val="center"/>
          </w:tcPr>
          <w:p w14:paraId="1E4513B1">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Kesheng Meng</w:t>
            </w:r>
          </w:p>
        </w:tc>
        <w:tc>
          <w:tcPr>
            <w:tcW w:w="1701" w:type="dxa"/>
            <w:vAlign w:val="center"/>
          </w:tcPr>
          <w:p w14:paraId="5B112891">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孟柯生、黄智勇、张筱蕾、李兰、李锐、林其钊</w:t>
            </w:r>
          </w:p>
        </w:tc>
        <w:tc>
          <w:tcPr>
            <w:tcW w:w="1701" w:type="dxa"/>
            <w:vAlign w:val="center"/>
          </w:tcPr>
          <w:p w14:paraId="6C52BA6D">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rPr>
              <w:t>否</w:t>
            </w:r>
          </w:p>
        </w:tc>
        <w:tc>
          <w:tcPr>
            <w:tcW w:w="1524" w:type="dxa"/>
            <w:vAlign w:val="center"/>
          </w:tcPr>
          <w:p w14:paraId="3C4E3684">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否</w:t>
            </w:r>
          </w:p>
        </w:tc>
      </w:tr>
      <w:tr w14:paraId="359C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8" w:hRule="atLeast"/>
          <w:jc w:val="center"/>
        </w:trPr>
        <w:tc>
          <w:tcPr>
            <w:tcW w:w="548" w:type="dxa"/>
            <w:vAlign w:val="center"/>
          </w:tcPr>
          <w:p w14:paraId="2E23EC93">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5</w:t>
            </w:r>
          </w:p>
        </w:tc>
        <w:tc>
          <w:tcPr>
            <w:tcW w:w="2991" w:type="dxa"/>
            <w:gridSpan w:val="2"/>
            <w:vAlign w:val="center"/>
          </w:tcPr>
          <w:p w14:paraId="3337A08A">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Comparison of ignition, injection and micro - Explosion characteristics of RP-3/ ethanol and biodiesel / ethanol mixed drops/ Journal of the Energy Institute</w:t>
            </w:r>
            <w:r>
              <w:rPr>
                <w:rFonts w:hint="eastAsia" w:eastAsia="宋体" w:cs="Times New Roman"/>
                <w:color w:val="000000"/>
                <w:kern w:val="0"/>
                <w:sz w:val="18"/>
                <w:szCs w:val="18"/>
                <w:lang w:val="en-US" w:eastAsia="zh-CN"/>
              </w:rPr>
              <w:t xml:space="preserve"> </w:t>
            </w:r>
            <w:r>
              <w:rPr>
                <w:rFonts w:hint="eastAsia" w:eastAsia="宋体" w:cs="Times New Roman"/>
                <w:color w:val="000000"/>
                <w:kern w:val="0"/>
                <w:sz w:val="18"/>
                <w:szCs w:val="18"/>
              </w:rPr>
              <w:t>/ Kesheng Meng, Wei Fu, Fengyu Li, Yanyan Lei, Qizhao Lin, Gaofeng Wang</w:t>
            </w:r>
          </w:p>
        </w:tc>
        <w:tc>
          <w:tcPr>
            <w:tcW w:w="1985" w:type="dxa"/>
            <w:vAlign w:val="center"/>
          </w:tcPr>
          <w:p w14:paraId="78169F80">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2020</w:t>
            </w:r>
            <w:r>
              <w:rPr>
                <w:rFonts w:hint="eastAsia" w:eastAsia="宋体" w:cs="Times New Roman"/>
                <w:color w:val="000000"/>
                <w:kern w:val="0"/>
                <w:sz w:val="18"/>
                <w:szCs w:val="18"/>
                <w:lang w:val="en-US" w:eastAsia="zh-CN"/>
              </w:rPr>
              <w:t>, 93,</w:t>
            </w:r>
            <w:r>
              <w:rPr>
                <w:rFonts w:hint="eastAsia" w:eastAsia="宋体" w:cs="Times New Roman"/>
                <w:color w:val="000000"/>
                <w:kern w:val="0"/>
                <w:sz w:val="18"/>
                <w:szCs w:val="18"/>
              </w:rPr>
              <w:t xml:space="preserve"> 152-164</w:t>
            </w:r>
          </w:p>
        </w:tc>
        <w:tc>
          <w:tcPr>
            <w:tcW w:w="1275" w:type="dxa"/>
            <w:vAlign w:val="center"/>
          </w:tcPr>
          <w:p w14:paraId="16F1FBBF">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2019.04.09</w:t>
            </w:r>
          </w:p>
        </w:tc>
        <w:tc>
          <w:tcPr>
            <w:tcW w:w="1418" w:type="dxa"/>
            <w:vAlign w:val="center"/>
          </w:tcPr>
          <w:p w14:paraId="2C6196C4">
            <w:pPr>
              <w:pStyle w:val="4"/>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rPr>
              <w:t>Qizhao Lin</w:t>
            </w:r>
            <w:r>
              <w:rPr>
                <w:rFonts w:hint="eastAsia" w:eastAsia="宋体" w:cs="Times New Roman"/>
                <w:color w:val="000000"/>
                <w:kern w:val="0"/>
                <w:sz w:val="18"/>
                <w:szCs w:val="18"/>
                <w:lang w:val="en-US" w:eastAsia="zh-CN"/>
              </w:rPr>
              <w:t>,</w:t>
            </w:r>
          </w:p>
          <w:p w14:paraId="5C5386CE">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Gaofeng Wang</w:t>
            </w:r>
          </w:p>
        </w:tc>
        <w:tc>
          <w:tcPr>
            <w:tcW w:w="1417" w:type="dxa"/>
            <w:vAlign w:val="center"/>
          </w:tcPr>
          <w:p w14:paraId="1D4FF92E">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Kesheng Meng</w:t>
            </w:r>
          </w:p>
        </w:tc>
        <w:tc>
          <w:tcPr>
            <w:tcW w:w="1701" w:type="dxa"/>
            <w:vAlign w:val="center"/>
          </w:tcPr>
          <w:p w14:paraId="20171A4D">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孟柯生、付炜、李奉誉、雷炎炎、林其钊、王高峰</w:t>
            </w:r>
          </w:p>
        </w:tc>
        <w:tc>
          <w:tcPr>
            <w:tcW w:w="1701" w:type="dxa"/>
            <w:vAlign w:val="center"/>
          </w:tcPr>
          <w:p w14:paraId="354A3A23">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否</w:t>
            </w:r>
          </w:p>
        </w:tc>
        <w:tc>
          <w:tcPr>
            <w:tcW w:w="1524" w:type="dxa"/>
            <w:vAlign w:val="center"/>
          </w:tcPr>
          <w:p w14:paraId="3158C57B">
            <w:pPr>
              <w:pStyle w:val="4"/>
              <w:widowControl w:val="0"/>
              <w:adjustRightInd w:val="0"/>
              <w:spacing w:line="240" w:lineRule="exact"/>
              <w:jc w:val="center"/>
              <w:outlineLvl w:val="1"/>
              <w:rPr>
                <w:rFonts w:hint="eastAsia" w:eastAsia="宋体" w:cs="Times New Roman"/>
                <w:color w:val="000000"/>
                <w:kern w:val="0"/>
                <w:sz w:val="18"/>
                <w:szCs w:val="18"/>
              </w:rPr>
            </w:pPr>
            <w:r>
              <w:rPr>
                <w:rFonts w:hint="eastAsia" w:eastAsia="宋体" w:cs="Times New Roman"/>
                <w:color w:val="000000"/>
                <w:kern w:val="0"/>
                <w:sz w:val="18"/>
                <w:szCs w:val="18"/>
              </w:rPr>
              <w:t>否</w:t>
            </w:r>
          </w:p>
        </w:tc>
      </w:tr>
      <w:bookmarkEnd w:id="0"/>
    </w:tbl>
    <w:p w14:paraId="360271FA">
      <w:pPr>
        <w:adjustRightInd w:val="0"/>
        <w:snapToGrid w:val="0"/>
        <w:spacing w:line="240" w:lineRule="auto"/>
        <w:rPr>
          <w:bCs/>
          <w:sz w:val="21"/>
          <w:szCs w:val="21"/>
        </w:rPr>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134" w:right="1134" w:bottom="567" w:left="1134" w:header="57" w:footer="57"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6BA96">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4952D">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1058">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18796">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DE837">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C5150">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1A6BF9"/>
    <w:multiLevelType w:val="multilevel"/>
    <w:tmpl w:val="081A6BF9"/>
    <w:lvl w:ilvl="0" w:tentative="0">
      <w:start w:val="1"/>
      <w:numFmt w:val="decimal"/>
      <w:lvlText w:val="%1."/>
      <w:lvlJc w:val="left"/>
      <w:pPr>
        <w:ind w:left="800" w:hanging="360"/>
      </w:pPr>
      <w:rPr>
        <w:rFonts w:hint="default" w:eastAsia="仿宋_GB2312" w:cstheme="minorBidi"/>
        <w:color w:val="auto"/>
        <w:sz w:val="22"/>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71F"/>
    <w:rsid w:val="000138D3"/>
    <w:rsid w:val="0010450D"/>
    <w:rsid w:val="001337B5"/>
    <w:rsid w:val="00192117"/>
    <w:rsid w:val="001F6AA8"/>
    <w:rsid w:val="00221553"/>
    <w:rsid w:val="00307BEE"/>
    <w:rsid w:val="003167C4"/>
    <w:rsid w:val="00332ABD"/>
    <w:rsid w:val="003752C8"/>
    <w:rsid w:val="00390B6C"/>
    <w:rsid w:val="00460E98"/>
    <w:rsid w:val="00490F48"/>
    <w:rsid w:val="004D2437"/>
    <w:rsid w:val="005921BC"/>
    <w:rsid w:val="00605341"/>
    <w:rsid w:val="0061326A"/>
    <w:rsid w:val="006A22D8"/>
    <w:rsid w:val="00710500"/>
    <w:rsid w:val="007625EC"/>
    <w:rsid w:val="007C24F6"/>
    <w:rsid w:val="009E0897"/>
    <w:rsid w:val="00AE7552"/>
    <w:rsid w:val="00CE0113"/>
    <w:rsid w:val="00D01278"/>
    <w:rsid w:val="00D2260A"/>
    <w:rsid w:val="00D434D2"/>
    <w:rsid w:val="00DB771F"/>
    <w:rsid w:val="011949CD"/>
    <w:rsid w:val="01707B34"/>
    <w:rsid w:val="02F2197A"/>
    <w:rsid w:val="039B3DC0"/>
    <w:rsid w:val="04B8274F"/>
    <w:rsid w:val="08510EF1"/>
    <w:rsid w:val="08E82FA3"/>
    <w:rsid w:val="08F42521"/>
    <w:rsid w:val="0A8729A8"/>
    <w:rsid w:val="0AAF4A50"/>
    <w:rsid w:val="0B6E5916"/>
    <w:rsid w:val="0D6E60A1"/>
    <w:rsid w:val="0F470958"/>
    <w:rsid w:val="0F8A7057"/>
    <w:rsid w:val="1189484A"/>
    <w:rsid w:val="13471DBA"/>
    <w:rsid w:val="13516249"/>
    <w:rsid w:val="13A26AA4"/>
    <w:rsid w:val="14900FF3"/>
    <w:rsid w:val="163A7468"/>
    <w:rsid w:val="17123F41"/>
    <w:rsid w:val="17AC6144"/>
    <w:rsid w:val="1876405C"/>
    <w:rsid w:val="1988673C"/>
    <w:rsid w:val="198C1D89"/>
    <w:rsid w:val="19A5109C"/>
    <w:rsid w:val="1A4B1C44"/>
    <w:rsid w:val="1CDA105D"/>
    <w:rsid w:val="1E320A25"/>
    <w:rsid w:val="1E9F5249"/>
    <w:rsid w:val="1EFA3C38"/>
    <w:rsid w:val="1F5E5F75"/>
    <w:rsid w:val="1F66307C"/>
    <w:rsid w:val="204038CD"/>
    <w:rsid w:val="21047F36"/>
    <w:rsid w:val="219E6AFD"/>
    <w:rsid w:val="21B31E7D"/>
    <w:rsid w:val="22372AAE"/>
    <w:rsid w:val="249D12EE"/>
    <w:rsid w:val="24FC68BD"/>
    <w:rsid w:val="257C53A7"/>
    <w:rsid w:val="259E0645"/>
    <w:rsid w:val="275D4D64"/>
    <w:rsid w:val="2AC14A79"/>
    <w:rsid w:val="2B4D6E9E"/>
    <w:rsid w:val="2C8E59C0"/>
    <w:rsid w:val="2D40315E"/>
    <w:rsid w:val="2E4A5917"/>
    <w:rsid w:val="2E7D3F3E"/>
    <w:rsid w:val="2FEE50F3"/>
    <w:rsid w:val="304312C5"/>
    <w:rsid w:val="304445D6"/>
    <w:rsid w:val="30D73BA2"/>
    <w:rsid w:val="311E5564"/>
    <w:rsid w:val="33745910"/>
    <w:rsid w:val="343D03F7"/>
    <w:rsid w:val="34F37CB6"/>
    <w:rsid w:val="35A324DC"/>
    <w:rsid w:val="36C727EB"/>
    <w:rsid w:val="38F45315"/>
    <w:rsid w:val="3A0B70D6"/>
    <w:rsid w:val="3A175247"/>
    <w:rsid w:val="3BF43FDC"/>
    <w:rsid w:val="3D64123D"/>
    <w:rsid w:val="3D8F1598"/>
    <w:rsid w:val="3DD319DB"/>
    <w:rsid w:val="410D4CAE"/>
    <w:rsid w:val="41200E85"/>
    <w:rsid w:val="432F1853"/>
    <w:rsid w:val="45E346FD"/>
    <w:rsid w:val="46CE7C5B"/>
    <w:rsid w:val="482C45B3"/>
    <w:rsid w:val="488717E9"/>
    <w:rsid w:val="48F03833"/>
    <w:rsid w:val="4BB52B12"/>
    <w:rsid w:val="4C1635B0"/>
    <w:rsid w:val="4C2A705C"/>
    <w:rsid w:val="4DD86643"/>
    <w:rsid w:val="4DE4323A"/>
    <w:rsid w:val="50575F45"/>
    <w:rsid w:val="50AF3C69"/>
    <w:rsid w:val="50BC3FFA"/>
    <w:rsid w:val="55733821"/>
    <w:rsid w:val="558477DD"/>
    <w:rsid w:val="55B17114"/>
    <w:rsid w:val="57081D47"/>
    <w:rsid w:val="576553EC"/>
    <w:rsid w:val="584E7888"/>
    <w:rsid w:val="5C9245C9"/>
    <w:rsid w:val="5CD56B70"/>
    <w:rsid w:val="5D916F3A"/>
    <w:rsid w:val="5DD07337"/>
    <w:rsid w:val="5F6917F1"/>
    <w:rsid w:val="608400CB"/>
    <w:rsid w:val="642F125B"/>
    <w:rsid w:val="6435150A"/>
    <w:rsid w:val="644665A5"/>
    <w:rsid w:val="64FC7253"/>
    <w:rsid w:val="665A1AAA"/>
    <w:rsid w:val="66E83943"/>
    <w:rsid w:val="675C7C66"/>
    <w:rsid w:val="68E343C2"/>
    <w:rsid w:val="68FD1303"/>
    <w:rsid w:val="6A86594D"/>
    <w:rsid w:val="6B036F9E"/>
    <w:rsid w:val="6B4F21E3"/>
    <w:rsid w:val="6B826114"/>
    <w:rsid w:val="6BEA1734"/>
    <w:rsid w:val="6C060AF4"/>
    <w:rsid w:val="6C094140"/>
    <w:rsid w:val="6C591704"/>
    <w:rsid w:val="6E2214E9"/>
    <w:rsid w:val="6E9248C1"/>
    <w:rsid w:val="71442AE2"/>
    <w:rsid w:val="722F2426"/>
    <w:rsid w:val="72F0605A"/>
    <w:rsid w:val="73593BFF"/>
    <w:rsid w:val="745B3786"/>
    <w:rsid w:val="74AE0965"/>
    <w:rsid w:val="755D6060"/>
    <w:rsid w:val="75F223AC"/>
    <w:rsid w:val="76E71522"/>
    <w:rsid w:val="786170B2"/>
    <w:rsid w:val="78782D79"/>
    <w:rsid w:val="78E26444"/>
    <w:rsid w:val="78FF6FF6"/>
    <w:rsid w:val="7CA81753"/>
    <w:rsid w:val="7CBE0F77"/>
    <w:rsid w:val="7EA45F4A"/>
    <w:rsid w:val="7F08297D"/>
    <w:rsid w:val="7F7A0CFE"/>
    <w:rsid w:val="7FCC39AA"/>
    <w:rsid w:val="FBFB3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widowControl w:val="0"/>
      <w:tabs>
        <w:tab w:val="center" w:pos="4153"/>
        <w:tab w:val="right" w:pos="8306"/>
      </w:tabs>
      <w:snapToGrid w:val="0"/>
      <w:spacing w:line="240" w:lineRule="auto"/>
    </w:pPr>
    <w:rPr>
      <w:rFonts w:asciiTheme="minorHAnsi" w:hAnsiTheme="minorHAnsi" w:eastAsiaTheme="minorEastAsia"/>
      <w:sz w:val="18"/>
      <w:szCs w:val="18"/>
    </w:rPr>
  </w:style>
  <w:style w:type="paragraph" w:styleId="3">
    <w:name w:val="header"/>
    <w:basedOn w:val="1"/>
    <w:link w:val="8"/>
    <w:unhideWhenUsed/>
    <w:qFormat/>
    <w:uiPriority w:val="99"/>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sz w:val="18"/>
      <w:szCs w:val="18"/>
    </w:rPr>
  </w:style>
  <w:style w:type="paragraph" w:styleId="4">
    <w:name w:val="Normal (Web)"/>
    <w:basedOn w:val="1"/>
    <w:semiHidden/>
    <w:unhideWhenUsed/>
    <w:qFormat/>
    <w:uiPriority w:val="99"/>
    <w:rPr>
      <w:sz w:val="24"/>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2003</Words>
  <Characters>3128</Characters>
  <Lines>2</Lines>
  <Paragraphs>1</Paragraphs>
  <TotalTime>393</TotalTime>
  <ScaleCrop>false</ScaleCrop>
  <LinksUpToDate>false</LinksUpToDate>
  <CharactersWithSpaces>3314</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2025-06-13T10:29:00Z</dcterms:created>
  <dc:creator>YQ</dc:creator>
  <cp:lastModifiedBy>钱晶</cp:lastModifiedBy>
  <dcterms:modified xsi:type="dcterms:W3CDTF">2026-09-02T15:04:33Z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eyJoZGlkIjoiZmI4YWVhMDJmZmE4NjVjMTExMzg0NzE0ZDk2ODJlNmYiLCJ1c2VySWQiOiI0Mjg5NTU2NDUifQ==</vt:lpwstr>
  </property>
  <property fmtid="{D5CDD505-2E9C-101B-9397-08002B2CF9AE}" pid="3" name="KSOProductBuildVer">
    <vt:lpwstr>2052-12.1.26046.26046</vt:lpwstr>
  </property>
  <property fmtid="{D5CDD505-2E9C-101B-9397-08002B2CF9AE}" pid="4" name="ICV">
    <vt:lpwstr>A4A946BF41852A9781CA976A2BA3F538_43</vt:lpwstr>
  </property>
</Properties>
</file>