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56" w:beforeLines="50" w:after="156" w:afterLines="50" w:lineRule="exact" w:line="400"/>
        <w:jc w:val="center"/>
        <w:rPr>
          <w:rFonts w:cs="Times New Roman" w:eastAsia="黑体"/>
          <w:bCs/>
          <w:sz w:val="36"/>
          <w:szCs w:val="21"/>
        </w:rPr>
      </w:pPr>
      <w:r>
        <w:rPr>
          <w:rFonts w:cs="Times New Roman" w:eastAsia="黑体"/>
          <w:bCs/>
          <w:kern w:val="0"/>
          <w:sz w:val="36"/>
          <w:szCs w:val="21"/>
        </w:rPr>
        <w:t>2023</w:t>
      </w:r>
      <w:r>
        <w:rPr>
          <w:rFonts w:cs="Times New Roman" w:eastAsia="黑体"/>
          <w:bCs/>
          <w:kern w:val="0"/>
          <w:sz w:val="36"/>
          <w:szCs w:val="21"/>
        </w:rPr>
        <w:t>年度湖北省科学技术奖公示表（自然科学）</w:t>
      </w:r>
    </w:p>
    <w:p>
      <w:pPr>
        <w:pStyle w:val="style0"/>
        <w:spacing w:before="156" w:beforeLines="50" w:after="156" w:afterLines="50" w:lineRule="exact" w:line="400"/>
        <w:jc w:val="center"/>
        <w:rPr>
          <w:rFonts w:cs="Times New Roman" w:eastAsia="方正小标宋简体"/>
          <w:bCs/>
          <w:sz w:val="36"/>
          <w:szCs w:val="21"/>
        </w:rPr>
      </w:pPr>
      <w:r>
        <w:rPr>
          <w:rFonts w:cs="Times New Roman" w:eastAsia="方正仿宋_GBK"/>
          <w:sz w:val="28"/>
        </w:rPr>
        <w:t>项目名称、提名者及提名意见、项目简介、代表性论文专著目录、主要完成人（完成单位）</w:t>
      </w:r>
    </w:p>
    <w:tbl>
      <w:tblPr>
        <w:tblStyle w:val="style154"/>
        <w:tblW w:w="136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10211"/>
      </w:tblGrid>
      <w:tr>
        <w:trPr>
          <w:trHeight w:val="476" w:hRule="atLeast"/>
          <w:jc w:val="center"/>
        </w:trPr>
        <w:tc>
          <w:tcPr>
            <w:tcW w:w="2313" w:type="dxa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cs="Times New Roman" w:eastAsia="黑体"/>
                <w:kern w:val="0"/>
                <w:sz w:val="22"/>
                <w:szCs w:val="20"/>
              </w:rPr>
            </w:pPr>
            <w:r>
              <w:rPr>
                <w:rFonts w:cs="Times New Roman" w:eastAsia="黑体"/>
                <w:kern w:val="0"/>
                <w:sz w:val="22"/>
                <w:szCs w:val="20"/>
              </w:rPr>
              <w:t>项目名称</w:t>
            </w:r>
          </w:p>
        </w:tc>
        <w:tc>
          <w:tcPr>
            <w:tcW w:w="11324" w:type="dxa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cs="Times New Roman" w:eastAsia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cs="Times New Roman" w:eastAsia="宋体" w:hint="eastAsia"/>
                <w:b/>
                <w:bCs/>
                <w:sz w:val="24"/>
                <w:szCs w:val="32"/>
              </w:rPr>
              <w:t>代谢型</w:t>
            </w:r>
            <w:r>
              <w:rPr>
                <w:rFonts w:cs="Times New Roman" w:eastAsia="宋体" w:hint="eastAsia"/>
                <w:b/>
                <w:bCs/>
                <w:sz w:val="24"/>
                <w:szCs w:val="32"/>
              </w:rPr>
              <w:t>GABA</w:t>
            </w:r>
            <w:r>
              <w:rPr>
                <w:rFonts w:cs="Times New Roman" w:eastAsia="宋体"/>
                <w:b/>
                <w:bCs/>
                <w:sz w:val="24"/>
                <w:szCs w:val="32"/>
              </w:rPr>
              <w:t>受体激活机制研究</w:t>
            </w:r>
          </w:p>
        </w:tc>
      </w:tr>
      <w:tr>
        <w:tblPrEx/>
        <w:trPr>
          <w:trHeight w:val="476" w:hRule="atLeast"/>
          <w:jc w:val="center"/>
        </w:trPr>
        <w:tc>
          <w:tcPr>
            <w:tcW w:w="2313" w:type="dxa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cs="Times New Roman" w:eastAsia="黑体"/>
                <w:kern w:val="0"/>
                <w:sz w:val="22"/>
                <w:szCs w:val="20"/>
              </w:rPr>
            </w:pPr>
            <w:r>
              <w:rPr>
                <w:rFonts w:cs="Times New Roman" w:eastAsia="黑体"/>
                <w:kern w:val="0"/>
                <w:sz w:val="22"/>
                <w:szCs w:val="20"/>
              </w:rPr>
              <w:t>提名单位</w:t>
            </w:r>
          </w:p>
        </w:tc>
        <w:tc>
          <w:tcPr>
            <w:tcW w:w="11324" w:type="dxa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cs="Times New Roman" w:eastAsia="宋体"/>
                <w:kern w:val="0"/>
                <w:sz w:val="21"/>
                <w:szCs w:val="21"/>
              </w:rPr>
            </w:pPr>
            <w:r>
              <w:rPr>
                <w:rFonts w:cs="Times New Roman" w:eastAsia="宋体"/>
                <w:kern w:val="0"/>
                <w:sz w:val="22"/>
              </w:rPr>
              <w:t>华中科技大学</w:t>
            </w:r>
          </w:p>
        </w:tc>
      </w:tr>
      <w:tr>
        <w:tblPrEx/>
        <w:trPr>
          <w:trHeight w:val="1083" w:hRule="atLeast"/>
          <w:jc w:val="center"/>
        </w:trPr>
        <w:tc>
          <w:tcPr>
            <w:tcW w:w="2313" w:type="dxa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cs="Times New Roman" w:eastAsia="黑体"/>
                <w:kern w:val="0"/>
                <w:sz w:val="22"/>
                <w:szCs w:val="20"/>
              </w:rPr>
            </w:pPr>
            <w:r>
              <w:rPr>
                <w:rFonts w:cs="Times New Roman" w:eastAsia="黑体"/>
                <w:kern w:val="0"/>
                <w:sz w:val="22"/>
                <w:szCs w:val="20"/>
              </w:rPr>
              <w:t>提名意见</w:t>
            </w:r>
          </w:p>
        </w:tc>
        <w:tc>
          <w:tcPr>
            <w:tcW w:w="11324" w:type="dxa"/>
            <w:tcBorders/>
            <w:vAlign w:val="center"/>
          </w:tcPr>
          <w:p>
            <w:pPr>
              <w:pStyle w:val="style0"/>
              <w:spacing w:lineRule="auto" w:line="240"/>
              <w:jc w:val="both"/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代谢型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GABA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（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γ-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氨基丁酸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）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受体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（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GABA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  <w:vertAlign w:val="subscript"/>
              </w:rPr>
              <w:t>B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受体）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是重要的神经递质受体，属于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G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蛋白偶联受体家族（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GPCR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），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具有重要的生理和病理功能，也是重要的药物治疗靶标。该项目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发现了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GABA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  <w:vertAlign w:val="subscript"/>
              </w:rPr>
              <w:t>B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受体激活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G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蛋白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的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新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范式，被认为是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GABA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  <w:vertAlign w:val="subscript"/>
              </w:rPr>
              <w:t>B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受体研究领域的里程碑工作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，同时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发现了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GABA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  <w:vertAlign w:val="subscript"/>
              </w:rPr>
              <w:t>B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受体参与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  <w:lang w:eastAsia="zh-CN"/>
              </w:rPr>
              <w:t>延缓衰老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的新功能和信号机制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，并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提出了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GABA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  <w:vertAlign w:val="subscript"/>
              </w:rPr>
              <w:t>B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受体药物开发的新策略，筛选出首类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GABA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  <w:vertAlign w:val="subscript"/>
              </w:rPr>
              <w:t>B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受体负向变构小分子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，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推动了以之为靶点的新药研发工作。项目成果具有创新性和国际影响力。</w:t>
            </w:r>
          </w:p>
          <w:p>
            <w:pPr>
              <w:pStyle w:val="style0"/>
              <w:spacing w:lineRule="auto" w:line="240"/>
              <w:jc w:val="both"/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推荐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提名该项目为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  <w:u w:val="single"/>
              </w:rPr>
              <w:t>2023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  <w:u w:val="single"/>
              </w:rPr>
              <w:t>年度湖北省自然科学奖一等奖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。</w:t>
            </w:r>
          </w:p>
        </w:tc>
      </w:tr>
      <w:tr>
        <w:tblPrEx/>
        <w:trPr>
          <w:trHeight w:val="476" w:hRule="atLeast"/>
          <w:jc w:val="center"/>
        </w:trPr>
        <w:tc>
          <w:tcPr>
            <w:tcW w:w="2313" w:type="dxa"/>
            <w:tcBorders/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cs="Times New Roman"/>
                <w:kern w:val="0"/>
                <w:sz w:val="22"/>
                <w:szCs w:val="20"/>
              </w:rPr>
            </w:pPr>
            <w:r>
              <w:rPr>
                <w:rFonts w:cs="Times New Roman" w:eastAsia="黑体"/>
                <w:kern w:val="0"/>
                <w:sz w:val="22"/>
                <w:szCs w:val="20"/>
              </w:rPr>
              <w:t>项目简介</w:t>
            </w:r>
          </w:p>
        </w:tc>
        <w:tc>
          <w:tcPr>
            <w:tcW w:w="11324" w:type="dxa"/>
            <w:tcBorders/>
            <w:vAlign w:val="center"/>
          </w:tcPr>
          <w:p>
            <w:pPr>
              <w:pStyle w:val="style0"/>
              <w:spacing w:lineRule="auto" w:line="240"/>
              <w:jc w:val="both"/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本项目属于生物医学和分子药理学研究领域。</w:t>
            </w:r>
          </w:p>
          <w:p>
            <w:pPr>
              <w:pStyle w:val="style0"/>
              <w:spacing w:lineRule="auto" w:line="240"/>
              <w:jc w:val="both"/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代谢型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GABA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（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γ-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氨基丁酸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）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受体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（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GABA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  <w:vertAlign w:val="subscript"/>
              </w:rPr>
              <w:t>B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受体）</w:t>
            </w:r>
            <w:r>
              <w:rPr>
                <w:rFonts w:cs="Times New Roman" w:eastAsia="宋体"/>
                <w:sz w:val="21"/>
                <w:szCs w:val="24"/>
              </w:rPr>
              <w:t>属于</w:t>
            </w:r>
            <w:r>
              <w:rPr>
                <w:rFonts w:cs="Times New Roman" w:eastAsia="宋体"/>
                <w:sz w:val="21"/>
                <w:szCs w:val="24"/>
              </w:rPr>
              <w:t>G</w:t>
            </w:r>
            <w:r>
              <w:rPr>
                <w:rFonts w:cs="Times New Roman" w:eastAsia="宋体"/>
                <w:sz w:val="21"/>
                <w:szCs w:val="24"/>
              </w:rPr>
              <w:t>蛋白偶联受体（</w:t>
            </w:r>
            <w:r>
              <w:rPr>
                <w:rFonts w:cs="Times New Roman" w:eastAsia="宋体"/>
                <w:sz w:val="21"/>
                <w:szCs w:val="24"/>
              </w:rPr>
              <w:t>GPCR</w:t>
            </w:r>
            <w:r>
              <w:rPr>
                <w:rFonts w:cs="Times New Roman" w:eastAsia="宋体"/>
                <w:sz w:val="21"/>
                <w:szCs w:val="24"/>
              </w:rPr>
              <w:t>）家族，是重要的神经递质受体。它被中枢神经系统中主要的抑制性神经递质</w:t>
            </w:r>
            <w:r>
              <w:rPr>
                <w:rFonts w:cs="Times New Roman" w:eastAsia="宋体" w:hint="eastAsia"/>
                <w:sz w:val="21"/>
                <w:szCs w:val="24"/>
              </w:rPr>
              <w:t>GABA</w:t>
            </w:r>
            <w:r>
              <w:rPr>
                <w:rFonts w:cs="Times New Roman" w:eastAsia="宋体"/>
                <w:sz w:val="21"/>
                <w:szCs w:val="24"/>
              </w:rPr>
              <w:t>所激活，调控多种神经生理和病理过程，是重要的药物靶点。作为数量最多的膜蛋白家族</w:t>
            </w:r>
            <w:r>
              <w:rPr>
                <w:rFonts w:cs="Times New Roman" w:eastAsia="宋体"/>
                <w:sz w:val="21"/>
                <w:szCs w:val="24"/>
              </w:rPr>
              <w:t>GPCR</w:t>
            </w:r>
            <w:r>
              <w:rPr>
                <w:rFonts w:cs="Times New Roman" w:eastAsia="宋体"/>
                <w:sz w:val="21"/>
                <w:szCs w:val="24"/>
              </w:rPr>
              <w:t>家族的一员，</w:t>
            </w:r>
            <w:r>
              <w:rPr>
                <w:rFonts w:cs="Times New Roman" w:eastAsia="宋体"/>
                <w:sz w:val="21"/>
                <w:szCs w:val="24"/>
              </w:rPr>
              <w:t>GABA</w:t>
            </w:r>
            <w:r>
              <w:rPr>
                <w:rFonts w:cs="Times New Roman" w:eastAsia="宋体"/>
                <w:sz w:val="21"/>
                <w:szCs w:val="24"/>
                <w:vertAlign w:val="subscript"/>
              </w:rPr>
              <w:t>B</w:t>
            </w:r>
            <w:r>
              <w:rPr>
                <w:rFonts w:cs="Times New Roman" w:eastAsia="宋体"/>
                <w:sz w:val="21"/>
                <w:szCs w:val="24"/>
              </w:rPr>
              <w:t>受体是首个被发现的异源二聚体受体。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在国家自然科学基金杰出青年项目、重点项目、国际合作重点项目、面上项目（多项）和科技部重点研发计划子课题支持下，本项目做出了以下重要科学发现：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1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）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阐明了</w:t>
            </w:r>
            <w:r>
              <w:rPr>
                <w:rFonts w:cs="Times New Roman" w:eastAsia="宋体"/>
                <w:sz w:val="21"/>
                <w:szCs w:val="24"/>
              </w:rPr>
              <w:t>GABA</w:t>
            </w:r>
            <w:r>
              <w:rPr>
                <w:rFonts w:cs="Times New Roman" w:eastAsia="宋体"/>
                <w:sz w:val="21"/>
                <w:szCs w:val="24"/>
                <w:vertAlign w:val="subscript"/>
              </w:rPr>
              <w:t>B</w:t>
            </w:r>
            <w:r>
              <w:rPr>
                <w:rFonts w:cs="Times New Roman" w:eastAsia="宋体"/>
                <w:sz w:val="21"/>
                <w:szCs w:val="24"/>
              </w:rPr>
              <w:t>受体</w:t>
            </w:r>
            <w:r>
              <w:rPr>
                <w:rFonts w:cs="Times New Roman" w:eastAsia="宋体" w:hint="eastAsia"/>
                <w:sz w:val="21"/>
                <w:szCs w:val="24"/>
              </w:rPr>
              <w:t>二聚体激活机制</w:t>
            </w:r>
            <w:r>
              <w:rPr>
                <w:rFonts w:cs="Times New Roman" w:eastAsia="宋体"/>
                <w:sz w:val="21"/>
                <w:szCs w:val="24"/>
              </w:rPr>
              <w:t>，</w:t>
            </w:r>
            <w:r>
              <w:rPr>
                <w:rFonts w:cs="Times New Roman" w:eastAsia="宋体" w:hint="eastAsia"/>
                <w:sz w:val="21"/>
                <w:szCs w:val="24"/>
              </w:rPr>
              <w:t>提出</w:t>
            </w:r>
            <w:r>
              <w:rPr>
                <w:rFonts w:cs="Times New Roman" w:eastAsia="宋体"/>
                <w:sz w:val="21"/>
                <w:szCs w:val="24"/>
              </w:rPr>
              <w:t>了</w:t>
            </w:r>
            <w:r>
              <w:rPr>
                <w:rFonts w:cs="Times New Roman" w:eastAsia="宋体"/>
                <w:sz w:val="21"/>
                <w:szCs w:val="24"/>
              </w:rPr>
              <w:t>GPCR</w:t>
            </w:r>
            <w:r>
              <w:rPr>
                <w:rFonts w:cs="Times New Roman" w:eastAsia="宋体"/>
                <w:sz w:val="21"/>
                <w:szCs w:val="24"/>
              </w:rPr>
              <w:t>二聚体激活的标志性特征，</w:t>
            </w:r>
            <w:r>
              <w:rPr>
                <w:rFonts w:cs="Times New Roman" w:eastAsia="宋体" w:hint="eastAsia"/>
                <w:sz w:val="21"/>
                <w:szCs w:val="24"/>
              </w:rPr>
              <w:t>并</w:t>
            </w:r>
            <w:r>
              <w:rPr>
                <w:rFonts w:cs="Times New Roman" w:eastAsia="宋体"/>
                <w:sz w:val="21"/>
                <w:szCs w:val="24"/>
              </w:rPr>
              <w:t>更新了</w:t>
            </w:r>
            <w:r>
              <w:rPr>
                <w:rFonts w:cs="Times New Roman" w:eastAsia="宋体"/>
                <w:sz w:val="21"/>
                <w:szCs w:val="24"/>
              </w:rPr>
              <w:t>GPCR</w:t>
            </w:r>
            <w:r>
              <w:rPr>
                <w:rFonts w:cs="Times New Roman" w:eastAsia="宋体"/>
                <w:sz w:val="21"/>
                <w:szCs w:val="24"/>
              </w:rPr>
              <w:t>信号激活的范式，被认为是</w:t>
            </w:r>
            <w:r>
              <w:rPr>
                <w:rFonts w:cs="Times New Roman" w:eastAsia="宋体"/>
                <w:sz w:val="21"/>
                <w:szCs w:val="24"/>
              </w:rPr>
              <w:t>GABA</w:t>
            </w:r>
            <w:r>
              <w:rPr>
                <w:rFonts w:cs="Times New Roman" w:eastAsia="宋体"/>
                <w:sz w:val="21"/>
                <w:szCs w:val="24"/>
                <w:vertAlign w:val="subscript"/>
              </w:rPr>
              <w:t>B</w:t>
            </w:r>
            <w:r>
              <w:rPr>
                <w:rFonts w:cs="Times New Roman" w:eastAsia="宋体"/>
                <w:sz w:val="21"/>
                <w:szCs w:val="24"/>
              </w:rPr>
              <w:t>受体研究领域的里程碑工作；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 xml:space="preserve"> 2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）发现了</w:t>
            </w:r>
            <w:r>
              <w:rPr>
                <w:rFonts w:cs="Times New Roman" w:eastAsia="宋体"/>
                <w:sz w:val="21"/>
                <w:szCs w:val="24"/>
              </w:rPr>
              <w:t>GABA</w:t>
            </w:r>
            <w:r>
              <w:rPr>
                <w:rFonts w:cs="Times New Roman" w:eastAsia="宋体"/>
                <w:sz w:val="21"/>
                <w:szCs w:val="24"/>
                <w:vertAlign w:val="subscript"/>
              </w:rPr>
              <w:t>B</w:t>
            </w:r>
            <w:r>
              <w:rPr>
                <w:rFonts w:cs="Times New Roman" w:eastAsia="宋体"/>
                <w:sz w:val="21"/>
                <w:szCs w:val="24"/>
              </w:rPr>
              <w:t>受体参与</w:t>
            </w:r>
            <w:r>
              <w:rPr>
                <w:rFonts w:cs="Times New Roman" w:eastAsia="宋体" w:hint="eastAsia"/>
                <w:sz w:val="21"/>
                <w:szCs w:val="24"/>
                <w:lang w:eastAsia="zh-CN"/>
              </w:rPr>
              <w:t>延缓衰老</w:t>
            </w:r>
            <w:r>
              <w:rPr>
                <w:rFonts w:cs="Times New Roman" w:eastAsia="宋体"/>
                <w:sz w:val="21"/>
                <w:szCs w:val="24"/>
              </w:rPr>
              <w:t>的新功能和信号机制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；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3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）发现了</w:t>
            </w:r>
            <w:r>
              <w:rPr>
                <w:rFonts w:cs="Times New Roman" w:eastAsia="宋体"/>
                <w:sz w:val="21"/>
                <w:szCs w:val="24"/>
              </w:rPr>
              <w:t>变构调控小分子调控</w:t>
            </w:r>
            <w:r>
              <w:rPr>
                <w:rFonts w:cs="Times New Roman" w:eastAsia="宋体"/>
                <w:sz w:val="21"/>
                <w:szCs w:val="24"/>
              </w:rPr>
              <w:t>GPCR</w:t>
            </w:r>
            <w:r>
              <w:rPr>
                <w:rFonts w:cs="Times New Roman" w:eastAsia="宋体"/>
                <w:sz w:val="21"/>
                <w:szCs w:val="24"/>
              </w:rPr>
              <w:t>二聚体激活的新方式，提出了</w:t>
            </w:r>
            <w:r>
              <w:rPr>
                <w:rFonts w:cs="Times New Roman" w:eastAsia="宋体"/>
                <w:sz w:val="21"/>
                <w:szCs w:val="24"/>
              </w:rPr>
              <w:t>GABA</w:t>
            </w:r>
            <w:r>
              <w:rPr>
                <w:rFonts w:cs="Times New Roman" w:eastAsia="宋体"/>
                <w:sz w:val="21"/>
                <w:szCs w:val="24"/>
                <w:vertAlign w:val="subscript"/>
              </w:rPr>
              <w:t>B</w:t>
            </w:r>
            <w:r>
              <w:rPr>
                <w:rFonts w:cs="Times New Roman" w:eastAsia="宋体"/>
                <w:sz w:val="21"/>
                <w:szCs w:val="24"/>
              </w:rPr>
              <w:t>受体药物开发的新策略，并筛选出首类</w:t>
            </w:r>
            <w:r>
              <w:rPr>
                <w:rFonts w:cs="Times New Roman" w:eastAsia="宋体"/>
                <w:sz w:val="21"/>
                <w:szCs w:val="24"/>
              </w:rPr>
              <w:t>GABA</w:t>
            </w:r>
            <w:r>
              <w:rPr>
                <w:rFonts w:cs="Times New Roman" w:eastAsia="宋体"/>
                <w:sz w:val="21"/>
                <w:szCs w:val="24"/>
                <w:vertAlign w:val="subscript"/>
              </w:rPr>
              <w:t>B</w:t>
            </w:r>
            <w:r>
              <w:rPr>
                <w:rFonts w:cs="Times New Roman" w:eastAsia="宋体"/>
                <w:sz w:val="21"/>
                <w:szCs w:val="24"/>
              </w:rPr>
              <w:t>受体负向变构小分子。</w:t>
            </w:r>
          </w:p>
          <w:p>
            <w:pPr>
              <w:pStyle w:val="style0"/>
              <w:spacing w:lineRule="auto" w:line="240"/>
              <w:jc w:val="both"/>
              <w:rPr>
                <w:rFonts w:cs="Times New Roman" w:eastAsia="宋体"/>
                <w:kern w:val="0"/>
                <w:sz w:val="21"/>
                <w:szCs w:val="21"/>
              </w:rPr>
            </w:pP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核心代表论文发表在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Nature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，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Nat Commun.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（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2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篇）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, Cell Res.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，中国药理学通报等国内外期刊上，被他引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130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次，包括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Science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，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Cell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，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Nature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，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Nat Struct Mol Biol.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，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Nat Chem Biol.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，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Nat Commun.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，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Sci Adv.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，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Chem Rev.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，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Pharmacol Ther.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等期刊</w:t>
            </w:r>
            <w:r>
              <w:rPr>
                <w:rFonts w:cs="Times New Roman" w:eastAsia="宋体" w:hint="eastAsia"/>
                <w:color w:val="000000"/>
                <w:spacing w:val="2"/>
                <w:kern w:val="0"/>
                <w:sz w:val="21"/>
                <w:szCs w:val="21"/>
              </w:rPr>
              <w:t>论文的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正面引用，并受到同行专家点评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“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将可以触发有关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GPCR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研究新方向，并帮助我们了解了这些重要药物靶标的功能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”</w:t>
            </w:r>
            <w:r>
              <w:rPr>
                <w:rFonts w:cs="Times New Roman" w:eastAsia="宋体"/>
                <w:color w:val="000000"/>
                <w:spacing w:val="2"/>
                <w:kern w:val="0"/>
                <w:sz w:val="21"/>
                <w:szCs w:val="21"/>
              </w:rPr>
              <w:t>。</w:t>
            </w:r>
          </w:p>
        </w:tc>
      </w:tr>
      <w:tr>
        <w:tblPrEx/>
        <w:trPr>
          <w:trHeight w:val="450" w:hRule="atLeast"/>
          <w:jc w:val="center"/>
        </w:trPr>
        <w:tc>
          <w:tcPr>
            <w:tcW w:w="2313" w:type="dxa"/>
            <w:tcBorders/>
            <w:vAlign w:val="center"/>
          </w:tcPr>
          <w:p>
            <w:pPr>
              <w:pStyle w:val="style0"/>
              <w:spacing w:lineRule="exact" w:line="280"/>
              <w:jc w:val="center"/>
              <w:rPr>
                <w:rFonts w:cs="Times New Roman" w:eastAsia="黑体"/>
                <w:kern w:val="0"/>
                <w:sz w:val="22"/>
                <w:szCs w:val="20"/>
              </w:rPr>
            </w:pPr>
            <w:r>
              <w:rPr>
                <w:rFonts w:cs="Times New Roman" w:eastAsia="黑体"/>
                <w:kern w:val="0"/>
                <w:sz w:val="22"/>
                <w:szCs w:val="20"/>
              </w:rPr>
              <w:t>主要完成人</w:t>
            </w:r>
          </w:p>
          <w:p>
            <w:pPr>
              <w:pStyle w:val="style0"/>
              <w:spacing w:lineRule="exact" w:line="280"/>
              <w:jc w:val="center"/>
              <w:rPr>
                <w:rFonts w:cs="Times New Roman"/>
                <w:kern w:val="0"/>
                <w:sz w:val="22"/>
                <w:szCs w:val="20"/>
              </w:rPr>
            </w:pPr>
            <w:r>
              <w:rPr>
                <w:rFonts w:cs="Times New Roman" w:eastAsia="黑体"/>
                <w:kern w:val="0"/>
                <w:sz w:val="22"/>
                <w:szCs w:val="20"/>
              </w:rPr>
              <w:t>（完成单位）</w:t>
            </w:r>
          </w:p>
        </w:tc>
        <w:tc>
          <w:tcPr>
            <w:tcW w:w="11324" w:type="dxa"/>
            <w:tcBorders/>
            <w:vAlign w:val="center"/>
          </w:tcPr>
          <w:p>
            <w:pPr>
              <w:pStyle w:val="style0"/>
              <w:spacing w:lineRule="exact" w:line="240"/>
              <w:rPr>
                <w:rFonts w:cs="Times New Roman" w:eastAsia="宋体"/>
                <w:kern w:val="0"/>
                <w:sz w:val="21"/>
                <w:szCs w:val="21"/>
              </w:rPr>
            </w:pPr>
            <w:r>
              <w:rPr>
                <w:rFonts w:cs="Times New Roman" w:eastAsia="宋体"/>
                <w:kern w:val="0"/>
                <w:sz w:val="21"/>
                <w:szCs w:val="21"/>
              </w:rPr>
              <w:t>刘剑峰（华中科技大学），张岩（浙江大学），许婵娟（华中科技大学），春雷（华中科技大学），申仓松（华中科技大学）</w:t>
            </w:r>
          </w:p>
        </w:tc>
      </w:tr>
      <w:tr>
        <w:tblPrEx/>
        <w:trPr>
          <w:trHeight w:val="476" w:hRule="atLeast"/>
          <w:jc w:val="center"/>
        </w:trPr>
        <w:tc>
          <w:tcPr>
            <w:tcW w:w="13637" w:type="dxa"/>
            <w:gridSpan w:val="2"/>
            <w:tcBorders/>
            <w:vAlign w:val="center"/>
          </w:tcPr>
          <w:tbl>
            <w:tblPr>
              <w:tblStyle w:val="style154"/>
              <w:tblpPr w:leftFromText="180" w:rightFromText="180" w:topFromText="0" w:bottomFromText="0" w:vertAnchor="text" w:horzAnchor="page" w:tblpX="-13" w:tblpY="365"/>
              <w:tblOverlap w:val="never"/>
              <w:tblW w:w="1361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3"/>
              <w:gridCol w:w="3817"/>
              <w:gridCol w:w="2614"/>
              <w:gridCol w:w="1593"/>
              <w:gridCol w:w="1677"/>
              <w:gridCol w:w="1570"/>
              <w:gridCol w:w="1676"/>
            </w:tblGrid>
            <w:tr>
              <w:trPr>
                <w:trHeight w:val="692" w:hRule="atLeast"/>
              </w:trPr>
              <w:tc>
                <w:tcPr>
                  <w:tcW w:w="693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rPr>
                      <w:rFonts w:cs="Times New Roman"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cs="Times New Roman" w:eastAsia="黑体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3900" w:type="dxa"/>
                  <w:tcBorders/>
                  <w:vAlign w:val="center"/>
                </w:tcPr>
                <w:p>
                  <w:pPr>
                    <w:pStyle w:val="style0"/>
                    <w:jc w:val="center"/>
                    <w:rPr>
                      <w:rFonts w:cs="Times New Roman"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cs="Times New Roman" w:eastAsia="黑体"/>
                      <w:sz w:val="18"/>
                      <w:szCs w:val="18"/>
                    </w:rPr>
                    <w:t>论文（专著）名称</w:t>
                  </w:r>
                  <w:r>
                    <w:rPr>
                      <w:rFonts w:cs="Times New Roman" w:eastAsia="黑体"/>
                      <w:sz w:val="18"/>
                      <w:szCs w:val="18"/>
                    </w:rPr>
                    <w:t>/</w:t>
                  </w:r>
                  <w:r>
                    <w:rPr>
                      <w:rFonts w:cs="Times New Roman" w:eastAsia="黑体"/>
                      <w:sz w:val="18"/>
                      <w:szCs w:val="18"/>
                    </w:rPr>
                    <w:t>刊名</w:t>
                  </w:r>
                  <w:r>
                    <w:rPr>
                      <w:rFonts w:cs="Times New Roman" w:eastAsia="黑体"/>
                      <w:sz w:val="18"/>
                      <w:szCs w:val="18"/>
                    </w:rPr>
                    <w:t>/</w:t>
                  </w:r>
                  <w:r>
                    <w:rPr>
                      <w:rFonts w:cs="Times New Roman" w:eastAsia="黑体"/>
                      <w:sz w:val="18"/>
                      <w:szCs w:val="18"/>
                    </w:rPr>
                    <w:t>作者</w:t>
                  </w:r>
                </w:p>
              </w:tc>
              <w:tc>
                <w:tcPr>
                  <w:tcW w:w="2355" w:type="dxa"/>
                  <w:tcBorders/>
                  <w:vAlign w:val="center"/>
                </w:tcPr>
                <w:p>
                  <w:pPr>
                    <w:pStyle w:val="style0"/>
                    <w:jc w:val="center"/>
                    <w:rPr>
                      <w:rFonts w:cs="Times New Roman"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cs="Times New Roman" w:eastAsia="黑体"/>
                      <w:sz w:val="18"/>
                      <w:szCs w:val="18"/>
                    </w:rPr>
                    <w:t>年、卷、页码</w:t>
                  </w:r>
                </w:p>
              </w:tc>
              <w:tc>
                <w:tcPr>
                  <w:tcW w:w="1639" w:type="dxa"/>
                  <w:tcBorders/>
                  <w:vAlign w:val="center"/>
                </w:tcPr>
                <w:p>
                  <w:pPr>
                    <w:pStyle w:val="style0"/>
                    <w:jc w:val="center"/>
                    <w:rPr>
                      <w:rFonts w:cs="Times New Roman"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cs="Times New Roman" w:eastAsia="黑体"/>
                      <w:sz w:val="18"/>
                      <w:szCs w:val="18"/>
                    </w:rPr>
                    <w:t>发表时间（年月日）</w:t>
                  </w:r>
                </w:p>
              </w:tc>
              <w:tc>
                <w:tcPr>
                  <w:tcW w:w="1689" w:type="dxa"/>
                  <w:tcBorders/>
                  <w:vAlign w:val="center"/>
                </w:tcPr>
                <w:p>
                  <w:pPr>
                    <w:pStyle w:val="style0"/>
                    <w:jc w:val="center"/>
                    <w:rPr>
                      <w:rFonts w:cs="Times New Roman"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cs="Times New Roman" w:eastAsia="黑体"/>
                      <w:sz w:val="18"/>
                      <w:szCs w:val="18"/>
                    </w:rPr>
                    <w:t>通讯作者（含共同）</w:t>
                  </w:r>
                </w:p>
              </w:tc>
              <w:tc>
                <w:tcPr>
                  <w:tcW w:w="1610" w:type="dxa"/>
                  <w:tcBorders/>
                  <w:vAlign w:val="center"/>
                </w:tcPr>
                <w:p>
                  <w:pPr>
                    <w:pStyle w:val="style0"/>
                    <w:jc w:val="center"/>
                    <w:rPr>
                      <w:rFonts w:cs="Times New Roman"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cs="Times New Roman" w:eastAsia="黑体"/>
                      <w:sz w:val="18"/>
                      <w:szCs w:val="18"/>
                    </w:rPr>
                    <w:t>第一作者（含共同）</w:t>
                  </w:r>
                </w:p>
              </w:tc>
              <w:tc>
                <w:tcPr>
                  <w:tcW w:w="1731" w:type="dxa"/>
                  <w:tcBorders/>
                  <w:vAlign w:val="center"/>
                </w:tcPr>
                <w:p>
                  <w:pPr>
                    <w:pStyle w:val="style0"/>
                    <w:jc w:val="center"/>
                    <w:rPr>
                      <w:rFonts w:cs="Times New Roman" w:eastAsia="黑体"/>
                      <w:kern w:val="0"/>
                      <w:sz w:val="18"/>
                      <w:szCs w:val="18"/>
                    </w:rPr>
                  </w:pPr>
                  <w:r>
                    <w:rPr>
                      <w:rFonts w:cs="Times New Roman" w:eastAsia="黑体"/>
                      <w:sz w:val="18"/>
                      <w:szCs w:val="18"/>
                    </w:rPr>
                    <w:t>国内作者</w:t>
                  </w:r>
                </w:p>
              </w:tc>
            </w:tr>
            <w:tr>
              <w:tblPrEx/>
              <w:trPr>
                <w:trHeight w:val="687" w:hRule="atLeast"/>
              </w:trPr>
              <w:tc>
                <w:tcPr>
                  <w:tcW w:w="693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cs="Times New Roman" w:eastAsia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900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/>
                      <w:kern w:val="0"/>
                      <w:sz w:val="21"/>
                      <w:szCs w:val="21"/>
                    </w:rPr>
                    <w:t>Structural basis of GABA</w:t>
                  </w:r>
                  <w:r>
                    <w:rPr>
                      <w:rFonts w:cs="Times New Roman"/>
                      <w:kern w:val="0"/>
                      <w:sz w:val="21"/>
                      <w:szCs w:val="21"/>
                      <w:vertAlign w:val="subscript"/>
                    </w:rPr>
                    <w:t>B</w:t>
                  </w:r>
                  <w:r>
                    <w:rPr>
                      <w:rFonts w:cs="Times New Roman"/>
                      <w:kern w:val="0"/>
                      <w:sz w:val="21"/>
                      <w:szCs w:val="21"/>
                    </w:rPr>
                    <w:t xml:space="preserve"> receptor-Gi protein coupling.</w:t>
                  </w:r>
                  <w:r>
                    <w:rPr>
                      <w:rFonts w:cs="Times New Roman"/>
                      <w:b/>
                      <w:i/>
                      <w:kern w:val="0"/>
                      <w:sz w:val="21"/>
                      <w:szCs w:val="21"/>
                    </w:rPr>
                    <w:t xml:space="preserve"> /Nature</w:t>
                  </w:r>
                  <w:r>
                    <w:rPr>
                      <w:rFonts w:cs="Times New Roman"/>
                      <w:kern w:val="0"/>
                      <w:sz w:val="21"/>
                      <w:szCs w:val="21"/>
                    </w:rPr>
                    <w:t>/</w:t>
                  </w:r>
                  <w:r>
                    <w:rPr>
                      <w:rFonts w:hint="eastAsia"/>
                      <w:sz w:val="21"/>
                      <w:szCs w:val="21"/>
                    </w:rPr>
                    <w:t>Cangsong Shen, Chunyou Mao, Chanjuan Xu, Nan Jin, Huibing Zhang, Dan-Dan Shen, Qingya Shen, Xiaomei Wang, Tingjun Hou, Zhong Chen, Philippe Rondard, Jean-Philippe Pin</w:t>
                  </w:r>
                  <w:r>
                    <w:rPr>
                      <w:sz w:val="21"/>
                      <w:szCs w:val="21"/>
                    </w:rPr>
                    <w:t>*</w:t>
                  </w:r>
                  <w:r>
                    <w:rPr>
                      <w:rFonts w:hint="eastAsia"/>
                      <w:sz w:val="21"/>
                      <w:szCs w:val="21"/>
                    </w:rPr>
                    <w:t>, Yan Zhang</w:t>
                  </w:r>
                  <w:r>
                    <w:rPr>
                      <w:sz w:val="21"/>
                      <w:szCs w:val="21"/>
                    </w:rPr>
                    <w:t>*</w:t>
                  </w:r>
                  <w:r>
                    <w:rPr>
                      <w:rFonts w:hint="eastAsia"/>
                      <w:sz w:val="21"/>
                      <w:szCs w:val="21"/>
                    </w:rPr>
                    <w:t>, Jianfeng Liu</w:t>
                  </w:r>
                  <w:r>
                    <w:rPr>
                      <w:sz w:val="21"/>
                      <w:szCs w:val="21"/>
                    </w:rPr>
                    <w:t>*</w:t>
                  </w:r>
                  <w:r>
                    <w:rPr>
                      <w:rFonts w:cs="Times New Roman"/>
                      <w:kern w:val="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2355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/>
                      <w:kern w:val="0"/>
                      <w:sz w:val="21"/>
                      <w:szCs w:val="21"/>
                    </w:rPr>
                    <w:t>202</w:t>
                  </w:r>
                  <w:r>
                    <w:rPr>
                      <w:rFonts w:cs="Times New Roman" w:hint="eastAsia"/>
                      <w:kern w:val="0"/>
                      <w:sz w:val="21"/>
                      <w:szCs w:val="21"/>
                    </w:rPr>
                    <w:t>1</w:t>
                  </w:r>
                  <w:r>
                    <w:rPr>
                      <w:rFonts w:cs="Times New Roman"/>
                      <w:kern w:val="0"/>
                      <w:sz w:val="21"/>
                      <w:szCs w:val="21"/>
                    </w:rPr>
                    <w:t>;594(7864):594-598.</w:t>
                  </w:r>
                </w:p>
              </w:tc>
              <w:tc>
                <w:tcPr>
                  <w:tcW w:w="1639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2021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年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4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月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28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1689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 xml:space="preserve">Jean-Philippe Pin, 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张岩，刘剑峰</w:t>
                  </w:r>
                </w:p>
              </w:tc>
              <w:tc>
                <w:tcPr>
                  <w:tcW w:w="1610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申仓松，毛春友，许婵娟，晋楠</w:t>
                  </w:r>
                </w:p>
              </w:tc>
              <w:tc>
                <w:tcPr>
                  <w:tcW w:w="1731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张会冰，沈丹丹，沈庆亚，王小妹，侯廷军，陈忠</w:t>
                  </w:r>
                </w:p>
              </w:tc>
            </w:tr>
            <w:tr>
              <w:tblPrEx/>
              <w:trPr>
                <w:trHeight w:val="687" w:hRule="atLeast"/>
              </w:trPr>
              <w:tc>
                <w:tcPr>
                  <w:tcW w:w="693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cs="Times New Roman" w:eastAsia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00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/>
                      <w:sz w:val="21"/>
                      <w:szCs w:val="21"/>
                    </w:rPr>
                    <w:t>Cryo-EM structures of inactive and active GABA</w:t>
                  </w:r>
                  <w:r>
                    <w:rPr>
                      <w:rFonts w:cs="Times New Roman"/>
                      <w:sz w:val="21"/>
                      <w:szCs w:val="21"/>
                      <w:vertAlign w:val="subscript"/>
                    </w:rPr>
                    <w:t>B</w:t>
                  </w:r>
                  <w:r>
                    <w:rPr>
                      <w:rFonts w:cs="Times New Roman"/>
                      <w:sz w:val="21"/>
                      <w:szCs w:val="21"/>
                    </w:rPr>
                    <w:t xml:space="preserve"> receptor./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  <w:sz w:val="21"/>
                      <w:szCs w:val="21"/>
                    </w:rPr>
                    <w:t>Cell Res.</w:t>
                  </w:r>
                  <w:r>
                    <w:rPr>
                      <w:rFonts w:cs="Times New Roman"/>
                      <w:sz w:val="21"/>
                      <w:szCs w:val="21"/>
                    </w:rPr>
                    <w:t>/Chunyou Mao, Cangsong Shen, Chuntao Li, Dan-Dan Shen, Chanjuan Xu, Shenglan Zhang, Rui Zhou, Qingya Shen, Li-Nan Chen, Zhinong Jiang, Jianfeng Liu</w:t>
                  </w:r>
                  <w:r>
                    <w:rPr>
                      <w:sz w:val="21"/>
                      <w:szCs w:val="21"/>
                    </w:rPr>
                    <w:t>*</w:t>
                  </w:r>
                  <w:r>
                    <w:rPr>
                      <w:rFonts w:cs="Times New Roman"/>
                      <w:sz w:val="21"/>
                      <w:szCs w:val="21"/>
                    </w:rPr>
                    <w:t>, Yan Zhang</w:t>
                  </w:r>
                  <w:r>
                    <w:rPr>
                      <w:sz w:val="21"/>
                      <w:szCs w:val="21"/>
                    </w:rPr>
                    <w:t>*</w:t>
                  </w:r>
                </w:p>
              </w:tc>
              <w:tc>
                <w:tcPr>
                  <w:tcW w:w="2355" w:type="dxa"/>
                  <w:tcBorders/>
                  <w:vAlign w:val="center"/>
                </w:tcPr>
                <w:p>
                  <w:pPr>
                    <w:pStyle w:val="style0"/>
                    <w:spacing w:before="156" w:beforeLines="50" w:after="156" w:afterLines="50"/>
                    <w:jc w:val="center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/>
                      <w:kern w:val="0"/>
                      <w:sz w:val="21"/>
                      <w:szCs w:val="21"/>
                    </w:rPr>
                    <w:t>2020;30(7):564-573.</w:t>
                  </w:r>
                </w:p>
              </w:tc>
              <w:tc>
                <w:tcPr>
                  <w:tcW w:w="1639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2020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年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3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月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3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1689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刘剑峰，张岩</w:t>
                  </w:r>
                </w:p>
              </w:tc>
              <w:tc>
                <w:tcPr>
                  <w:tcW w:w="1610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毛春友，申仓松</w:t>
                  </w:r>
                </w:p>
              </w:tc>
              <w:tc>
                <w:tcPr>
                  <w:tcW w:w="1731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李春桃，沈丹丹，张胜蓝，周芮，沈庆亚，陈礼楠，姜支农</w:t>
                  </w:r>
                </w:p>
              </w:tc>
            </w:tr>
            <w:tr>
              <w:tblPrEx/>
              <w:trPr>
                <w:trHeight w:val="687" w:hRule="atLeast"/>
              </w:trPr>
              <w:tc>
                <w:tcPr>
                  <w:tcW w:w="693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cs="Times New Roman" w:eastAsia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900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黑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/>
                      <w:sz w:val="21"/>
                      <w:szCs w:val="21"/>
                    </w:rPr>
                    <w:t xml:space="preserve">Rearrangement of the transmembrane domain interfaces associated with the activation of a GPCR hetero-oligomer./ </w:t>
                  </w:r>
                  <w:r>
                    <w:rPr>
                      <w:rFonts w:cs="Times New Roman" w:eastAsia="黑体"/>
                      <w:b/>
                      <w:i/>
                      <w:sz w:val="21"/>
                      <w:szCs w:val="21"/>
                    </w:rPr>
                    <w:t>Nat Commun./</w:t>
                  </w:r>
                  <w:r>
                    <w:rPr>
                      <w:rFonts w:cs="Times New Roman"/>
                      <w:sz w:val="21"/>
                      <w:szCs w:val="21"/>
                    </w:rPr>
                    <w:t>Li Xue, Qian Sun, Han Zhao, Xavier Rovira, Siyu Gai, Qianwen He, Jean-Philippe Pin</w:t>
                  </w:r>
                  <w:r>
                    <w:rPr>
                      <w:sz w:val="21"/>
                      <w:szCs w:val="21"/>
                    </w:rPr>
                    <w:t>*</w:t>
                  </w:r>
                  <w:r>
                    <w:rPr>
                      <w:rFonts w:cs="Times New Roman"/>
                      <w:sz w:val="21"/>
                      <w:szCs w:val="21"/>
                    </w:rPr>
                    <w:t>, Jianfeng Liu</w:t>
                  </w:r>
                  <w:r>
                    <w:rPr>
                      <w:sz w:val="21"/>
                      <w:szCs w:val="21"/>
                    </w:rPr>
                    <w:t>*</w:t>
                  </w:r>
                  <w:r>
                    <w:rPr>
                      <w:rFonts w:cs="Times New Roman"/>
                      <w:sz w:val="21"/>
                      <w:szCs w:val="21"/>
                    </w:rPr>
                    <w:t>, Philippe Rondard</w:t>
                  </w:r>
                </w:p>
              </w:tc>
              <w:tc>
                <w:tcPr>
                  <w:tcW w:w="2355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/>
                      <w:sz w:val="21"/>
                      <w:szCs w:val="21"/>
                    </w:rPr>
                    <w:t>2019;10(1):2765.</w:t>
                  </w:r>
                </w:p>
              </w:tc>
              <w:tc>
                <w:tcPr>
                  <w:tcW w:w="1639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2019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年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6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月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24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1689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Jean-Philippe Pin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，刘剑峰</w:t>
                  </w:r>
                </w:p>
              </w:tc>
              <w:tc>
                <w:tcPr>
                  <w:tcW w:w="1610" w:type="dxa"/>
                  <w:tcBorders/>
                  <w:vAlign w:val="center"/>
                </w:tcPr>
                <w:p>
                  <w:pPr>
                    <w:pStyle w:val="style0"/>
                    <w:spacing w:lineRule="auto" w:line="240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薛礼，孙倩，赵菡，</w:t>
                  </w:r>
                  <w:r>
                    <w:rPr>
                      <w:rFonts w:cs="Times New Roman" w:eastAsia="AdvOTf23bb480"/>
                      <w:kern w:val="0"/>
                      <w:sz w:val="21"/>
                      <w:szCs w:val="21"/>
                    </w:rPr>
                    <w:t>Xavier Rovira</w:t>
                  </w:r>
                </w:p>
              </w:tc>
              <w:tc>
                <w:tcPr>
                  <w:tcW w:w="1731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盖思雨、何倩文</w:t>
                  </w:r>
                </w:p>
              </w:tc>
            </w:tr>
            <w:tr>
              <w:tblPrEx/>
              <w:trPr>
                <w:trHeight w:val="687" w:hRule="atLeast"/>
              </w:trPr>
              <w:tc>
                <w:tcPr>
                  <w:tcW w:w="693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cs="Times New Roman" w:eastAsia="宋体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900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黑体"/>
                      <w:bCs/>
                      <w:sz w:val="21"/>
                      <w:szCs w:val="21"/>
                    </w:rPr>
                    <w:t>Metabotropic GABA signalling modulates longevity in C. elegans.</w:t>
                  </w:r>
                  <w:r>
                    <w:rPr>
                      <w:rFonts w:cs="Times New Roman" w:eastAsia="黑体"/>
                      <w:b/>
                      <w:bCs/>
                      <w:i/>
                      <w:sz w:val="21"/>
                      <w:szCs w:val="21"/>
                    </w:rPr>
                    <w:t>/</w:t>
                  </w:r>
                  <w:r>
                    <w:rPr>
                      <w:rFonts w:cs="Times New Roman" w:eastAsia="黑体"/>
                      <w:b/>
                      <w:i/>
                      <w:sz w:val="21"/>
                      <w:szCs w:val="21"/>
                    </w:rPr>
                    <w:t>Nat Commun./</w:t>
                  </w:r>
                  <w:r>
                    <w:rPr>
                      <w:rFonts w:cs="Times New Roman" w:eastAsia="黑体"/>
                      <w:bCs/>
                      <w:sz w:val="21"/>
                      <w:szCs w:val="21"/>
                    </w:rPr>
                    <w:t>Lei Chun, Jianke Gong, Fengling Yuan, Bi Zhang, Hongkang Liu, Tianlin Zheng, Teng Yu, X Z Shawn Xu</w:t>
                  </w:r>
                  <w:r>
                    <w:rPr>
                      <w:sz w:val="21"/>
                      <w:szCs w:val="21"/>
                    </w:rPr>
                    <w:t>*</w:t>
                  </w:r>
                  <w:r>
                    <w:rPr>
                      <w:rFonts w:cs="Times New Roman" w:eastAsia="黑体"/>
                      <w:bCs/>
                      <w:sz w:val="21"/>
                      <w:szCs w:val="21"/>
                    </w:rPr>
                    <w:t>, Jianfeng Liu</w:t>
                  </w:r>
                  <w:r>
                    <w:rPr>
                      <w:sz w:val="21"/>
                      <w:szCs w:val="21"/>
                    </w:rPr>
                    <w:t>*</w:t>
                  </w:r>
                </w:p>
              </w:tc>
              <w:tc>
                <w:tcPr>
                  <w:tcW w:w="2355" w:type="dxa"/>
                  <w:tcBorders/>
                  <w:vAlign w:val="center"/>
                </w:tcPr>
                <w:p>
                  <w:pPr>
                    <w:pStyle w:val="style94"/>
                    <w:spacing w:before="156" w:beforeLines="50" w:after="156" w:afterLines="50"/>
                    <w:jc w:val="center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黑体"/>
                      <w:bCs/>
                      <w:sz w:val="21"/>
                      <w:szCs w:val="21"/>
                    </w:rPr>
                    <w:t>2015:6:8828.</w:t>
                  </w:r>
                </w:p>
              </w:tc>
              <w:tc>
                <w:tcPr>
                  <w:tcW w:w="1639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2015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年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11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月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5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1689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许献忠，刘剑峰</w:t>
                  </w:r>
                </w:p>
              </w:tc>
              <w:tc>
                <w:tcPr>
                  <w:tcW w:w="1610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春雷</w:t>
                  </w:r>
                </w:p>
              </w:tc>
              <w:tc>
                <w:tcPr>
                  <w:tcW w:w="1731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龚健科，袁凤玲，张辟，刘弘康，郑天琳，于腾</w:t>
                  </w:r>
                </w:p>
              </w:tc>
            </w:tr>
            <w:tr>
              <w:tblPrEx/>
              <w:trPr>
                <w:trHeight w:val="687" w:hRule="atLeast"/>
              </w:trPr>
              <w:tc>
                <w:tcPr>
                  <w:tcW w:w="693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cs="Times New Roman" w:eastAsia="宋体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900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/>
                      <w:sz w:val="21"/>
                      <w:szCs w:val="21"/>
                    </w:rPr>
                    <w:t>GABA</w:t>
                  </w:r>
                  <w:r>
                    <w:rPr>
                      <w:rFonts w:cs="Times New Roman"/>
                      <w:sz w:val="21"/>
                      <w:szCs w:val="21"/>
                      <w:vertAlign w:val="subscript"/>
                    </w:rPr>
                    <w:t>B</w:t>
                  </w:r>
                  <w:r>
                    <w:rPr>
                      <w:rFonts w:cs="Times New Roman"/>
                      <w:sz w:val="21"/>
                      <w:szCs w:val="21"/>
                    </w:rPr>
                    <w:t>受体变构调节剂及其应用研究进展</w:t>
                  </w:r>
                  <w:r>
                    <w:rPr>
                      <w:rFonts w:cs="Times New Roman"/>
                      <w:sz w:val="21"/>
                      <w:szCs w:val="21"/>
                    </w:rPr>
                    <w:t>/</w:t>
                  </w:r>
                  <w:r>
                    <w:rPr>
                      <w:rFonts w:cs="Times New Roman"/>
                      <w:sz w:val="21"/>
                      <w:szCs w:val="21"/>
                    </w:rPr>
                    <w:t>中国药理学通报</w:t>
                  </w:r>
                  <w:r>
                    <w:rPr>
                      <w:rFonts w:cs="Times New Roman"/>
                      <w:sz w:val="21"/>
                      <w:szCs w:val="21"/>
                    </w:rPr>
                    <w:t>/</w:t>
                  </w:r>
                  <w:r>
                    <w:rPr>
                      <w:rFonts w:cs="Times New Roman"/>
                      <w:sz w:val="21"/>
                      <w:szCs w:val="21"/>
                    </w:rPr>
                    <w:t>刘磊，许婵娟，刘剑峰</w:t>
                  </w:r>
                </w:p>
              </w:tc>
              <w:tc>
                <w:tcPr>
                  <w:tcW w:w="2355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黑体"/>
                      <w:bCs/>
                      <w:sz w:val="21"/>
                      <w:szCs w:val="21"/>
                    </w:rPr>
                    <w:t>2018;34(10):1352-5</w:t>
                  </w:r>
                  <w:r>
                    <w:rPr>
                      <w:rFonts w:cs="Times New Roman" w:eastAsia="黑体" w:hint="eastAsia"/>
                      <w:bCs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1639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2018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年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9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月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21</w:t>
                  </w: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1689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刘剑峰</w:t>
                  </w:r>
                </w:p>
              </w:tc>
              <w:tc>
                <w:tcPr>
                  <w:tcW w:w="1610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刘磊</w:t>
                  </w:r>
                </w:p>
              </w:tc>
              <w:tc>
                <w:tcPr>
                  <w:tcW w:w="1731" w:type="dxa"/>
                  <w:tcBorders/>
                  <w:vAlign w:val="center"/>
                </w:tcPr>
                <w:p>
                  <w:pPr>
                    <w:pStyle w:val="style94"/>
                    <w:widowControl w:val="false"/>
                    <w:adjustRightInd w:val="false"/>
                    <w:spacing w:lineRule="exact" w:line="240"/>
                    <w:jc w:val="center"/>
                    <w:outlineLvl w:val="1"/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</w:pPr>
                  <w:r>
                    <w:rPr>
                      <w:rFonts w:cs="Times New Roman" w:eastAsia="宋体"/>
                      <w:kern w:val="0"/>
                      <w:sz w:val="21"/>
                      <w:szCs w:val="21"/>
                    </w:rPr>
                    <w:t>许婵娟</w:t>
                  </w:r>
                </w:p>
              </w:tc>
            </w:tr>
          </w:tbl>
          <w:p>
            <w:pPr>
              <w:pStyle w:val="style94"/>
              <w:widowControl w:val="false"/>
              <w:adjustRightInd w:val="false"/>
              <w:spacing w:lineRule="exact" w:line="240"/>
              <w:jc w:val="center"/>
              <w:outlineLvl w:val="1"/>
              <w:rPr>
                <w:rFonts w:cs="Times New Roman" w:eastAsia="黑体"/>
                <w:color w:val="000000"/>
                <w:kern w:val="0"/>
                <w:sz w:val="22"/>
                <w:szCs w:val="20"/>
              </w:rPr>
            </w:pPr>
          </w:p>
        </w:tc>
      </w:tr>
    </w:tbl>
    <w:p>
      <w:pPr>
        <w:pStyle w:val="style0"/>
        <w:rPr>
          <w:rFonts w:cs="Times New Roman"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34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lineRule="exact" w:line="560"/>
    </w:pPr>
    <w:rPr>
      <w:rFonts w:cs="宋体" w:eastAsia="仿宋_GB2312"/>
      <w:kern w:val="2"/>
      <w:sz w:val="3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spacing w:lineRule="atLeast" w:line="240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lineRule="atLeast" w:line="240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/>
    <w:rPr>
      <w:sz w:val="24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uiPriority w:val="99"/>
    <w:rPr>
      <w:rFonts w:ascii="Times New Roman" w:eastAsia="仿宋_GB2312" w:hAnsi="Times New Roman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rFonts w:ascii="Times New Roman" w:eastAsia="仿宋_GB2312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1266</Words>
  <Pages>3</Pages>
  <Characters>2257</Characters>
  <Application>WPS Office</Application>
  <DocSecurity>0</DocSecurity>
  <Paragraphs>72</Paragraphs>
  <ScaleCrop>false</ScaleCrop>
  <LinksUpToDate>false</LinksUpToDate>
  <CharactersWithSpaces>2398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2023-11-05T12:03:08Z</dcterms:created>
  <dc:creator>Lenovo</dc:creator>
  <lastModifiedBy>2201123C</lastModifiedBy>
  <dcterms:modified xsi:type="dcterms:W3CDTF">2023-11-05T12:39:48Z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644696c8bfe249edb89d97907460f4d9_23</vt:lpwstr>
  </property>
</Properties>
</file>